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  <w:rPr>
          <w:b/>
        </w:rPr>
      </w:pPr>
    </w:p>
    <w:p w:rsidR="006F095F" w:rsidRDefault="006F095F" w:rsidP="006F095F">
      <w:pPr>
        <w:ind w:right="113"/>
        <w:jc w:val="center"/>
      </w:pPr>
      <w:bookmarkStart w:id="0" w:name="_GoBack"/>
      <w:bookmarkEnd w:id="0"/>
      <w:r>
        <w:rPr>
          <w:b/>
        </w:rPr>
        <w:t>B. PŘÍBALOVÁ INFORMACE</w:t>
      </w:r>
    </w:p>
    <w:p w:rsidR="006F095F" w:rsidRDefault="006F095F" w:rsidP="006F095F">
      <w:pPr>
        <w:jc w:val="center"/>
      </w:pPr>
      <w:r>
        <w:br w:type="page"/>
      </w:r>
      <w:r>
        <w:rPr>
          <w:b/>
        </w:rPr>
        <w:lastRenderedPageBreak/>
        <w:t>PŘÍBALOVÁ INFORMACE PRO:</w:t>
      </w:r>
    </w:p>
    <w:p w:rsidR="006F095F" w:rsidRDefault="006F095F" w:rsidP="006F095F">
      <w:pPr>
        <w:tabs>
          <w:tab w:val="left" w:pos="708"/>
        </w:tabs>
        <w:jc w:val="center"/>
        <w:rPr>
          <w:b/>
          <w:szCs w:val="22"/>
        </w:rPr>
      </w:pPr>
      <w:proofErr w:type="spellStart"/>
      <w:r>
        <w:rPr>
          <w:b/>
          <w:szCs w:val="22"/>
        </w:rPr>
        <w:t>Boflox</w:t>
      </w:r>
      <w:proofErr w:type="spellEnd"/>
      <w:r>
        <w:rPr>
          <w:b/>
          <w:szCs w:val="22"/>
        </w:rPr>
        <w:t>, 100 mg/ml injekční roztok pro skot a prasata</w:t>
      </w:r>
    </w:p>
    <w:p w:rsidR="006F095F" w:rsidRDefault="006F095F" w:rsidP="006F095F">
      <w:pPr>
        <w:jc w:val="center"/>
      </w:pPr>
      <w:r>
        <w:t>Přípravek s indikačním omezením</w:t>
      </w:r>
    </w:p>
    <w:p w:rsidR="006F095F" w:rsidRDefault="006F095F" w:rsidP="006F095F"/>
    <w:p w:rsidR="006F095F" w:rsidRDefault="006F095F" w:rsidP="006F095F"/>
    <w:p w:rsidR="006F095F" w:rsidRDefault="006F095F" w:rsidP="006F095F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6F095F" w:rsidRDefault="006F095F" w:rsidP="006F095F">
      <w:pPr>
        <w:rPr>
          <w:b/>
        </w:rPr>
      </w:pPr>
    </w:p>
    <w:p w:rsidR="006F095F" w:rsidRDefault="006F095F" w:rsidP="006F095F">
      <w:pPr>
        <w:rPr>
          <w:iCs/>
        </w:rPr>
      </w:pPr>
      <w:r>
        <w:rPr>
          <w:iCs/>
          <w:u w:val="single"/>
        </w:rPr>
        <w:t>Držitel rozhodnutí o registraci:</w:t>
      </w:r>
    </w:p>
    <w:p w:rsidR="006F095F" w:rsidRDefault="006F095F" w:rsidP="006F095F">
      <w:pPr>
        <w:tabs>
          <w:tab w:val="left" w:pos="-720"/>
        </w:tabs>
        <w:suppressAutoHyphens/>
        <w:jc w:val="both"/>
        <w:rPr>
          <w:szCs w:val="22"/>
          <w:lang w:eastAsia="fr-FR"/>
        </w:rPr>
      </w:pPr>
      <w:proofErr w:type="spellStart"/>
      <w:r>
        <w:rPr>
          <w:szCs w:val="22"/>
        </w:rPr>
        <w:t>Industrial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Veterinaria</w:t>
      </w:r>
      <w:proofErr w:type="spellEnd"/>
      <w:r>
        <w:rPr>
          <w:szCs w:val="22"/>
        </w:rPr>
        <w:t xml:space="preserve">, </w:t>
      </w:r>
      <w:proofErr w:type="gramStart"/>
      <w:r>
        <w:rPr>
          <w:szCs w:val="22"/>
        </w:rPr>
        <w:t>S.A.</w:t>
      </w:r>
      <w:proofErr w:type="gramEnd"/>
    </w:p>
    <w:p w:rsidR="006F095F" w:rsidRDefault="006F095F" w:rsidP="006F095F">
      <w:pPr>
        <w:tabs>
          <w:tab w:val="left" w:pos="-720"/>
        </w:tabs>
        <w:suppressAutoHyphens/>
        <w:jc w:val="both"/>
        <w:rPr>
          <w:szCs w:val="22"/>
          <w:lang w:eastAsia="fr-FR"/>
        </w:rPr>
      </w:pPr>
      <w:r>
        <w:rPr>
          <w:szCs w:val="22"/>
        </w:rPr>
        <w:t>Esmeralda, 19</w:t>
      </w:r>
    </w:p>
    <w:p w:rsidR="006F095F" w:rsidRDefault="006F095F" w:rsidP="006F095F">
      <w:pPr>
        <w:tabs>
          <w:tab w:val="left" w:pos="-720"/>
        </w:tabs>
        <w:suppressAutoHyphens/>
        <w:jc w:val="both"/>
        <w:rPr>
          <w:szCs w:val="22"/>
          <w:lang w:eastAsia="fr-FR"/>
        </w:rPr>
      </w:pPr>
      <w:r>
        <w:rPr>
          <w:szCs w:val="22"/>
        </w:rPr>
        <w:t xml:space="preserve">E-08950 </w:t>
      </w:r>
      <w:proofErr w:type="spellStart"/>
      <w:r>
        <w:rPr>
          <w:szCs w:val="22"/>
        </w:rPr>
        <w:t>Esplugues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Llobregat</w:t>
      </w:r>
      <w:proofErr w:type="spellEnd"/>
      <w:r>
        <w:rPr>
          <w:szCs w:val="22"/>
        </w:rPr>
        <w:t xml:space="preserve"> (Barcelona), Španělsko</w:t>
      </w:r>
    </w:p>
    <w:p w:rsidR="006F095F" w:rsidRDefault="006F095F" w:rsidP="006F095F">
      <w:pPr>
        <w:ind w:left="0" w:firstLine="0"/>
        <w:rPr>
          <w:b/>
          <w:bCs/>
          <w:u w:val="single"/>
        </w:rPr>
      </w:pPr>
    </w:p>
    <w:p w:rsidR="006F095F" w:rsidRDefault="006F095F" w:rsidP="006F095F">
      <w:pPr>
        <w:rPr>
          <w:bCs/>
          <w:u w:val="single"/>
        </w:rPr>
      </w:pPr>
      <w:r>
        <w:rPr>
          <w:bCs/>
          <w:u w:val="single"/>
        </w:rPr>
        <w:t>Výrobce odpovědný za uvolnění šarže</w:t>
      </w:r>
      <w:r>
        <w:t>:</w:t>
      </w:r>
    </w:p>
    <w:p w:rsidR="006F095F" w:rsidRDefault="006F095F" w:rsidP="006F095F">
      <w:pPr>
        <w:tabs>
          <w:tab w:val="left" w:pos="708"/>
        </w:tabs>
        <w:rPr>
          <w:iCs/>
          <w:szCs w:val="22"/>
        </w:rPr>
      </w:pPr>
      <w:proofErr w:type="spellStart"/>
      <w:r>
        <w:rPr>
          <w:iCs/>
          <w:szCs w:val="22"/>
        </w:rPr>
        <w:t>Kela</w:t>
      </w:r>
      <w:proofErr w:type="spellEnd"/>
      <w:r>
        <w:rPr>
          <w:iCs/>
          <w:szCs w:val="22"/>
        </w:rPr>
        <w:t xml:space="preserve"> </w:t>
      </w:r>
      <w:proofErr w:type="gramStart"/>
      <w:r>
        <w:rPr>
          <w:iCs/>
          <w:szCs w:val="22"/>
        </w:rPr>
        <w:t>N.V.</w:t>
      </w:r>
      <w:proofErr w:type="gramEnd"/>
    </w:p>
    <w:p w:rsidR="006F095F" w:rsidRDefault="006F095F" w:rsidP="006F095F">
      <w:pPr>
        <w:tabs>
          <w:tab w:val="left" w:pos="708"/>
        </w:tabs>
        <w:rPr>
          <w:iCs/>
          <w:szCs w:val="22"/>
        </w:rPr>
      </w:pPr>
      <w:r>
        <w:rPr>
          <w:iCs/>
          <w:szCs w:val="22"/>
        </w:rPr>
        <w:t xml:space="preserve">St. </w:t>
      </w:r>
      <w:proofErr w:type="spellStart"/>
      <w:r>
        <w:rPr>
          <w:iCs/>
          <w:szCs w:val="22"/>
        </w:rPr>
        <w:t>Lenaartseweg</w:t>
      </w:r>
      <w:proofErr w:type="spellEnd"/>
      <w:r>
        <w:rPr>
          <w:iCs/>
          <w:szCs w:val="22"/>
        </w:rPr>
        <w:t xml:space="preserve"> 48</w:t>
      </w:r>
    </w:p>
    <w:p w:rsidR="006F095F" w:rsidRDefault="006F095F" w:rsidP="006F095F">
      <w:pPr>
        <w:tabs>
          <w:tab w:val="left" w:pos="708"/>
        </w:tabs>
        <w:rPr>
          <w:iCs/>
          <w:szCs w:val="22"/>
        </w:rPr>
      </w:pPr>
      <w:r>
        <w:rPr>
          <w:iCs/>
          <w:szCs w:val="22"/>
        </w:rPr>
        <w:t xml:space="preserve">2320 </w:t>
      </w:r>
      <w:proofErr w:type="spellStart"/>
      <w:r>
        <w:rPr>
          <w:iCs/>
          <w:szCs w:val="22"/>
        </w:rPr>
        <w:t>Hoogstraten</w:t>
      </w:r>
      <w:proofErr w:type="spellEnd"/>
    </w:p>
    <w:p w:rsidR="006F095F" w:rsidRDefault="006F095F" w:rsidP="006F095F">
      <w:pPr>
        <w:tabs>
          <w:tab w:val="left" w:pos="708"/>
        </w:tabs>
        <w:rPr>
          <w:iCs/>
          <w:szCs w:val="22"/>
        </w:rPr>
      </w:pPr>
      <w:r>
        <w:rPr>
          <w:iCs/>
          <w:szCs w:val="22"/>
        </w:rPr>
        <w:t>Belgie</w:t>
      </w:r>
    </w:p>
    <w:p w:rsidR="006F095F" w:rsidRDefault="006F095F" w:rsidP="006F095F">
      <w:pPr>
        <w:tabs>
          <w:tab w:val="left" w:pos="708"/>
        </w:tabs>
        <w:rPr>
          <w:iCs/>
          <w:szCs w:val="22"/>
        </w:rPr>
      </w:pPr>
    </w:p>
    <w:p w:rsidR="006F095F" w:rsidRDefault="006F095F" w:rsidP="006F095F">
      <w:pPr>
        <w:tabs>
          <w:tab w:val="left" w:pos="708"/>
        </w:tabs>
        <w:rPr>
          <w:iCs/>
          <w:szCs w:val="22"/>
        </w:rPr>
      </w:pPr>
      <w:r>
        <w:rPr>
          <w:iCs/>
          <w:szCs w:val="22"/>
        </w:rPr>
        <w:t>a</w:t>
      </w:r>
    </w:p>
    <w:p w:rsidR="006F095F" w:rsidRDefault="006F095F" w:rsidP="006F095F">
      <w:pPr>
        <w:tabs>
          <w:tab w:val="left" w:pos="708"/>
        </w:tabs>
        <w:rPr>
          <w:iCs/>
          <w:szCs w:val="22"/>
        </w:rPr>
      </w:pPr>
    </w:p>
    <w:p w:rsidR="006F095F" w:rsidRDefault="006F095F" w:rsidP="006F095F">
      <w:pPr>
        <w:tabs>
          <w:tab w:val="left" w:pos="708"/>
        </w:tabs>
        <w:rPr>
          <w:iCs/>
          <w:szCs w:val="22"/>
        </w:rPr>
      </w:pPr>
      <w:proofErr w:type="spellStart"/>
      <w:r>
        <w:rPr>
          <w:iCs/>
          <w:szCs w:val="22"/>
        </w:rPr>
        <w:t>Industrial</w:t>
      </w:r>
      <w:proofErr w:type="spellEnd"/>
      <w:r>
        <w:rPr>
          <w:iCs/>
          <w:szCs w:val="22"/>
        </w:rPr>
        <w:t xml:space="preserve"> </w:t>
      </w:r>
      <w:proofErr w:type="spellStart"/>
      <w:r>
        <w:rPr>
          <w:iCs/>
          <w:szCs w:val="22"/>
        </w:rPr>
        <w:t>Veterinaria</w:t>
      </w:r>
      <w:proofErr w:type="spellEnd"/>
      <w:r>
        <w:rPr>
          <w:iCs/>
          <w:szCs w:val="22"/>
        </w:rPr>
        <w:t xml:space="preserve">, </w:t>
      </w:r>
      <w:proofErr w:type="gramStart"/>
      <w:r>
        <w:rPr>
          <w:iCs/>
          <w:szCs w:val="22"/>
        </w:rPr>
        <w:t>S.A.</w:t>
      </w:r>
      <w:proofErr w:type="gramEnd"/>
    </w:p>
    <w:p w:rsidR="006F095F" w:rsidRDefault="006F095F" w:rsidP="006F095F">
      <w:pPr>
        <w:tabs>
          <w:tab w:val="left" w:pos="708"/>
        </w:tabs>
        <w:rPr>
          <w:iCs/>
          <w:szCs w:val="22"/>
        </w:rPr>
      </w:pPr>
      <w:r>
        <w:rPr>
          <w:iCs/>
          <w:szCs w:val="22"/>
        </w:rPr>
        <w:t>Esmeralda 19</w:t>
      </w:r>
    </w:p>
    <w:p w:rsidR="006F095F" w:rsidRDefault="006F095F" w:rsidP="006F095F">
      <w:pPr>
        <w:tabs>
          <w:tab w:val="left" w:pos="708"/>
        </w:tabs>
        <w:rPr>
          <w:iCs/>
          <w:szCs w:val="22"/>
        </w:rPr>
      </w:pPr>
      <w:r>
        <w:rPr>
          <w:iCs/>
          <w:szCs w:val="22"/>
        </w:rPr>
        <w:t xml:space="preserve">E-08950 </w:t>
      </w:r>
      <w:proofErr w:type="spellStart"/>
      <w:r>
        <w:rPr>
          <w:szCs w:val="22"/>
        </w:rPr>
        <w:t>Esplugues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Llobregat</w:t>
      </w:r>
      <w:proofErr w:type="spellEnd"/>
      <w:r>
        <w:rPr>
          <w:szCs w:val="22"/>
        </w:rPr>
        <w:t xml:space="preserve"> (Barcelona), Španělsko</w:t>
      </w:r>
    </w:p>
    <w:p w:rsidR="006F095F" w:rsidRDefault="006F095F" w:rsidP="006F095F"/>
    <w:p w:rsidR="006F095F" w:rsidRDefault="006F095F" w:rsidP="006F095F">
      <w:pPr>
        <w:rPr>
          <w:bCs/>
          <w:u w:val="single"/>
        </w:rPr>
      </w:pPr>
      <w:r>
        <w:rPr>
          <w:bCs/>
          <w:u w:val="single"/>
        </w:rPr>
        <w:t>Distributor:</w:t>
      </w:r>
    </w:p>
    <w:p w:rsidR="006F095F" w:rsidRDefault="006F095F" w:rsidP="006F095F">
      <w:pPr>
        <w:rPr>
          <w:bCs/>
        </w:rPr>
      </w:pPr>
      <w:r>
        <w:rPr>
          <w:bCs/>
        </w:rPr>
        <w:t>DR. BUBENÍČEK, SPOL S.R.O.</w:t>
      </w:r>
    </w:p>
    <w:p w:rsidR="006F095F" w:rsidRDefault="006F095F" w:rsidP="006F095F">
      <w:pPr>
        <w:rPr>
          <w:lang w:val="es-ES"/>
        </w:rPr>
      </w:pPr>
      <w:r>
        <w:rPr>
          <w:lang w:val="es-ES"/>
        </w:rPr>
        <w:t xml:space="preserve">Šimáčkova 104 </w:t>
      </w:r>
    </w:p>
    <w:p w:rsidR="006F095F" w:rsidRDefault="006F095F" w:rsidP="006F095F">
      <w:pPr>
        <w:rPr>
          <w:lang w:val="es-ES"/>
        </w:rPr>
      </w:pPr>
      <w:r>
        <w:rPr>
          <w:lang w:val="es-ES"/>
        </w:rPr>
        <w:t>628 00 Brno</w:t>
      </w:r>
    </w:p>
    <w:p w:rsidR="006F095F" w:rsidRDefault="006F095F" w:rsidP="006F095F">
      <w:pPr>
        <w:rPr>
          <w:lang w:val="es-ES"/>
        </w:rPr>
      </w:pPr>
      <w:r>
        <w:rPr>
          <w:lang w:val="es-ES"/>
        </w:rPr>
        <w:t>Czech Republic</w:t>
      </w:r>
    </w:p>
    <w:p w:rsidR="006F095F" w:rsidRDefault="006F095F" w:rsidP="006F095F"/>
    <w:p w:rsidR="006F095F" w:rsidRDefault="006F095F" w:rsidP="006F095F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6F095F" w:rsidRDefault="006F095F" w:rsidP="006F095F">
      <w:pPr>
        <w:ind w:left="0" w:firstLine="0"/>
      </w:pPr>
    </w:p>
    <w:p w:rsidR="006F095F" w:rsidRDefault="006F095F" w:rsidP="006F095F">
      <w:pPr>
        <w:rPr>
          <w:szCs w:val="22"/>
        </w:rPr>
      </w:pPr>
      <w:proofErr w:type="spellStart"/>
      <w:r>
        <w:rPr>
          <w:szCs w:val="22"/>
        </w:rPr>
        <w:t>Boflox</w:t>
      </w:r>
      <w:proofErr w:type="spellEnd"/>
      <w:r>
        <w:rPr>
          <w:szCs w:val="22"/>
        </w:rPr>
        <w:t xml:space="preserve">, 100 mg/ml injekční roztok pro skot a prasata </w:t>
      </w:r>
    </w:p>
    <w:p w:rsidR="006F095F" w:rsidRDefault="006F095F" w:rsidP="006F095F">
      <w:pPr>
        <w:tabs>
          <w:tab w:val="left" w:pos="708"/>
        </w:tabs>
        <w:rPr>
          <w:szCs w:val="22"/>
          <w:lang w:val="en-GB"/>
        </w:rPr>
      </w:pPr>
      <w:proofErr w:type="spellStart"/>
      <w:r>
        <w:rPr>
          <w:i/>
          <w:iCs/>
          <w:szCs w:val="22"/>
          <w:lang w:val="en-GB"/>
        </w:rPr>
        <w:t>Marbofloxacinum</w:t>
      </w:r>
      <w:proofErr w:type="spellEnd"/>
    </w:p>
    <w:p w:rsidR="006F095F" w:rsidRDefault="006F095F" w:rsidP="006F095F">
      <w:r>
        <w:t>Přípravek s indikačním omezením</w:t>
      </w:r>
    </w:p>
    <w:p w:rsidR="006F095F" w:rsidRDefault="006F095F" w:rsidP="006F095F"/>
    <w:p w:rsidR="006F095F" w:rsidRDefault="006F095F" w:rsidP="006F095F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6F095F" w:rsidRDefault="006F095F" w:rsidP="006F095F">
      <w:pPr>
        <w:rPr>
          <w:b/>
        </w:rPr>
      </w:pPr>
    </w:p>
    <w:p w:rsidR="006F095F" w:rsidRDefault="006F095F" w:rsidP="006F095F">
      <w:pPr>
        <w:rPr>
          <w:szCs w:val="22"/>
        </w:rPr>
      </w:pPr>
      <w:r>
        <w:rPr>
          <w:szCs w:val="22"/>
        </w:rPr>
        <w:t>Množství v 1 ml</w:t>
      </w:r>
    </w:p>
    <w:p w:rsidR="006F095F" w:rsidRDefault="006F095F" w:rsidP="006F095F"/>
    <w:p w:rsidR="006F095F" w:rsidRDefault="006F095F" w:rsidP="006F095F">
      <w:pPr>
        <w:rPr>
          <w:b/>
        </w:rPr>
      </w:pPr>
      <w:r>
        <w:rPr>
          <w:b/>
        </w:rPr>
        <w:t>Léčivá látka:</w:t>
      </w:r>
    </w:p>
    <w:p w:rsidR="006F095F" w:rsidRDefault="006F095F" w:rsidP="006F095F">
      <w:pPr>
        <w:tabs>
          <w:tab w:val="left" w:pos="567"/>
          <w:tab w:val="left" w:pos="2127"/>
        </w:tabs>
        <w:rPr>
          <w:iCs/>
          <w:szCs w:val="22"/>
        </w:rPr>
      </w:pPr>
      <w:proofErr w:type="spellStart"/>
      <w:r>
        <w:rPr>
          <w:iCs/>
          <w:szCs w:val="22"/>
        </w:rPr>
        <w:t>Marbofloxacinum</w:t>
      </w:r>
      <w:proofErr w:type="spellEnd"/>
      <w:r>
        <w:rPr>
          <w:szCs w:val="22"/>
        </w:rPr>
        <w:tab/>
        <w:t>100 mg</w:t>
      </w:r>
    </w:p>
    <w:p w:rsidR="006F095F" w:rsidRDefault="006F095F" w:rsidP="006F095F">
      <w:pPr>
        <w:tabs>
          <w:tab w:val="left" w:pos="1701"/>
        </w:tabs>
        <w:ind w:left="0" w:firstLine="0"/>
        <w:rPr>
          <w:iCs/>
        </w:rPr>
      </w:pPr>
    </w:p>
    <w:p w:rsidR="006F095F" w:rsidRDefault="006F095F" w:rsidP="006F095F">
      <w:pPr>
        <w:rPr>
          <w:b/>
        </w:rPr>
      </w:pPr>
      <w:r>
        <w:rPr>
          <w:b/>
        </w:rPr>
        <w:t>Pomocné látky:</w:t>
      </w:r>
    </w:p>
    <w:p w:rsidR="006F095F" w:rsidRDefault="006F095F" w:rsidP="006F095F">
      <w:pPr>
        <w:rPr>
          <w:szCs w:val="22"/>
        </w:rPr>
      </w:pPr>
      <w:proofErr w:type="spellStart"/>
      <w:r>
        <w:rPr>
          <w:szCs w:val="22"/>
        </w:rPr>
        <w:t>Disodium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edetate</w:t>
      </w:r>
      <w:proofErr w:type="spellEnd"/>
      <w:r>
        <w:rPr>
          <w:szCs w:val="22"/>
        </w:rPr>
        <w:tab/>
      </w:r>
      <w:r>
        <w:rPr>
          <w:szCs w:val="22"/>
        </w:rPr>
        <w:tab/>
        <w:t>0,10 mg</w:t>
      </w:r>
    </w:p>
    <w:p w:rsidR="006F095F" w:rsidRDefault="006F095F" w:rsidP="006F095F">
      <w:pPr>
        <w:rPr>
          <w:szCs w:val="22"/>
        </w:rPr>
      </w:pPr>
      <w:proofErr w:type="spellStart"/>
      <w:r>
        <w:rPr>
          <w:szCs w:val="22"/>
        </w:rPr>
        <w:t>Monothioglycerol</w:t>
      </w:r>
      <w:proofErr w:type="spellEnd"/>
      <w:r>
        <w:rPr>
          <w:szCs w:val="22"/>
        </w:rPr>
        <w:tab/>
      </w:r>
      <w:r>
        <w:rPr>
          <w:szCs w:val="22"/>
        </w:rPr>
        <w:tab/>
        <w:t>1 mg</w:t>
      </w:r>
    </w:p>
    <w:p w:rsidR="006F095F" w:rsidRDefault="006F095F" w:rsidP="006F095F">
      <w:pPr>
        <w:rPr>
          <w:szCs w:val="22"/>
        </w:rPr>
      </w:pPr>
      <w:proofErr w:type="spellStart"/>
      <w:r>
        <w:rPr>
          <w:iCs/>
          <w:szCs w:val="22"/>
        </w:rPr>
        <w:t>Metacresol</w:t>
      </w:r>
      <w:proofErr w:type="spellEnd"/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szCs w:val="22"/>
        </w:rPr>
        <w:t>2 mg</w:t>
      </w:r>
    </w:p>
    <w:p w:rsidR="006F095F" w:rsidRDefault="006F095F" w:rsidP="006F095F"/>
    <w:p w:rsidR="006F095F" w:rsidRDefault="006F095F" w:rsidP="006F095F">
      <w:pPr>
        <w:rPr>
          <w:szCs w:val="22"/>
        </w:rPr>
      </w:pPr>
      <w:r>
        <w:rPr>
          <w:szCs w:val="22"/>
        </w:rPr>
        <w:t>Čirý žlutozelený až žlutohnědý roztok.</w:t>
      </w:r>
    </w:p>
    <w:p w:rsidR="006F095F" w:rsidRDefault="006F095F" w:rsidP="006F095F"/>
    <w:p w:rsidR="006F095F" w:rsidRDefault="006F095F" w:rsidP="006F095F"/>
    <w:p w:rsidR="006F095F" w:rsidRDefault="006F095F" w:rsidP="006F095F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6F095F" w:rsidRDefault="006F095F" w:rsidP="006F095F">
      <w:pPr>
        <w:rPr>
          <w:b/>
        </w:rPr>
      </w:pP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lastRenderedPageBreak/>
        <w:t>U skotu:</w:t>
      </w:r>
    </w:p>
    <w:p w:rsidR="006F095F" w:rsidRDefault="006F095F" w:rsidP="006F095F">
      <w:pPr>
        <w:tabs>
          <w:tab w:val="left" w:pos="284"/>
        </w:tabs>
        <w:ind w:left="284" w:hanging="284"/>
        <w:jc w:val="both"/>
        <w:rPr>
          <w:szCs w:val="22"/>
        </w:rPr>
      </w:pPr>
      <w:r>
        <w:rPr>
          <w:szCs w:val="22"/>
        </w:rPr>
        <w:t xml:space="preserve">- </w:t>
      </w:r>
      <w:r>
        <w:rPr>
          <w:szCs w:val="22"/>
        </w:rPr>
        <w:tab/>
        <w:t xml:space="preserve">léčba respiračních infekcí vyvolaných kmeny </w:t>
      </w:r>
      <w:proofErr w:type="spellStart"/>
      <w:r>
        <w:rPr>
          <w:i/>
          <w:szCs w:val="22"/>
        </w:rPr>
        <w:t>Histophilus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somni</w:t>
      </w:r>
      <w:proofErr w:type="spellEnd"/>
      <w:r>
        <w:rPr>
          <w:szCs w:val="22"/>
        </w:rPr>
        <w:t xml:space="preserve">, </w:t>
      </w:r>
      <w:proofErr w:type="spellStart"/>
      <w:r>
        <w:rPr>
          <w:i/>
          <w:szCs w:val="22"/>
        </w:rPr>
        <w:t>Mannheimia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haemolytica</w:t>
      </w:r>
      <w:proofErr w:type="spellEnd"/>
      <w:r>
        <w:rPr>
          <w:szCs w:val="22"/>
        </w:rPr>
        <w:t xml:space="preserve">,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bovis</w:t>
      </w:r>
      <w:proofErr w:type="spellEnd"/>
      <w:r>
        <w:rPr>
          <w:szCs w:val="22"/>
        </w:rPr>
        <w:t xml:space="preserve">,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rPr>
          <w:szCs w:val="22"/>
        </w:rPr>
        <w:t xml:space="preserve"> citlivými na </w:t>
      </w:r>
      <w:proofErr w:type="spellStart"/>
      <w:r>
        <w:rPr>
          <w:szCs w:val="22"/>
        </w:rPr>
        <w:t>marbofloxacin</w:t>
      </w:r>
      <w:proofErr w:type="spellEnd"/>
      <w:r>
        <w:rPr>
          <w:szCs w:val="22"/>
        </w:rPr>
        <w:t>.</w:t>
      </w:r>
    </w:p>
    <w:p w:rsidR="006F095F" w:rsidRDefault="006F095F" w:rsidP="006F095F">
      <w:pPr>
        <w:tabs>
          <w:tab w:val="left" w:pos="284"/>
        </w:tabs>
        <w:ind w:left="284" w:hanging="284"/>
        <w:jc w:val="both"/>
        <w:rPr>
          <w:szCs w:val="22"/>
        </w:rPr>
      </w:pPr>
      <w:r>
        <w:rPr>
          <w:szCs w:val="22"/>
        </w:rPr>
        <w:t xml:space="preserve">- </w:t>
      </w:r>
      <w:r>
        <w:rPr>
          <w:szCs w:val="22"/>
        </w:rPr>
        <w:tab/>
        <w:t xml:space="preserve">léčba akutní mastitidy vyvolané kmeny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coli</w:t>
      </w:r>
      <w:r>
        <w:rPr>
          <w:szCs w:val="22"/>
        </w:rPr>
        <w:t xml:space="preserve"> citlivými na </w:t>
      </w:r>
      <w:proofErr w:type="spellStart"/>
      <w:r>
        <w:rPr>
          <w:szCs w:val="22"/>
        </w:rPr>
        <w:t>marbofloxacin</w:t>
      </w:r>
      <w:proofErr w:type="spellEnd"/>
      <w:r>
        <w:rPr>
          <w:szCs w:val="22"/>
        </w:rPr>
        <w:t xml:space="preserve"> v laktačním období.</w:t>
      </w:r>
    </w:p>
    <w:p w:rsidR="006F095F" w:rsidRDefault="006F095F" w:rsidP="006F095F">
      <w:pPr>
        <w:ind w:left="0" w:firstLine="0"/>
        <w:rPr>
          <w:szCs w:val="22"/>
        </w:rPr>
      </w:pPr>
    </w:p>
    <w:p w:rsidR="006F095F" w:rsidRDefault="006F095F" w:rsidP="006F095F">
      <w:pPr>
        <w:ind w:left="0" w:firstLine="0"/>
        <w:rPr>
          <w:szCs w:val="22"/>
        </w:rPr>
      </w:pPr>
      <w:r>
        <w:rPr>
          <w:szCs w:val="22"/>
        </w:rPr>
        <w:t>U prasat:</w:t>
      </w:r>
    </w:p>
    <w:p w:rsidR="006F095F" w:rsidRDefault="006F095F" w:rsidP="006F095F">
      <w:pPr>
        <w:tabs>
          <w:tab w:val="left" w:pos="284"/>
        </w:tabs>
        <w:ind w:left="284" w:hanging="284"/>
        <w:jc w:val="both"/>
        <w:rPr>
          <w:szCs w:val="22"/>
        </w:rPr>
      </w:pPr>
      <w:r>
        <w:rPr>
          <w:szCs w:val="22"/>
        </w:rPr>
        <w:t xml:space="preserve">- </w:t>
      </w:r>
      <w:r>
        <w:rPr>
          <w:szCs w:val="22"/>
        </w:rPr>
        <w:tab/>
        <w:t xml:space="preserve">léčba poporodního syndromu </w:t>
      </w:r>
      <w:proofErr w:type="spellStart"/>
      <w:r>
        <w:rPr>
          <w:szCs w:val="22"/>
        </w:rPr>
        <w:t>dysgalakcie</w:t>
      </w:r>
      <w:proofErr w:type="spellEnd"/>
      <w:r>
        <w:rPr>
          <w:szCs w:val="22"/>
        </w:rPr>
        <w:t xml:space="preserve"> – PDS (syndromu metritidy, mastitidy a agalakcie), vyvolaného kmeny bakterií citlivými na </w:t>
      </w:r>
      <w:proofErr w:type="spellStart"/>
      <w:r>
        <w:rPr>
          <w:szCs w:val="22"/>
        </w:rPr>
        <w:t>marbofloxacin</w:t>
      </w:r>
      <w:proofErr w:type="spellEnd"/>
      <w:r>
        <w:rPr>
          <w:szCs w:val="22"/>
        </w:rPr>
        <w:t>.</w:t>
      </w:r>
    </w:p>
    <w:p w:rsidR="006F095F" w:rsidRDefault="006F095F" w:rsidP="006F095F">
      <w:pPr>
        <w:rPr>
          <w:b/>
        </w:rPr>
      </w:pPr>
    </w:p>
    <w:p w:rsidR="006F095F" w:rsidRDefault="006F095F" w:rsidP="006F095F">
      <w:pPr>
        <w:rPr>
          <w:b/>
        </w:rPr>
      </w:pPr>
    </w:p>
    <w:p w:rsidR="006F095F" w:rsidRDefault="006F095F" w:rsidP="006F095F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6F095F" w:rsidRDefault="006F095F" w:rsidP="006F095F"/>
    <w:p w:rsidR="006F095F" w:rsidRDefault="006F095F" w:rsidP="006F095F">
      <w:pPr>
        <w:ind w:left="0" w:firstLine="0"/>
        <w:jc w:val="both"/>
        <w:rPr>
          <w:bCs/>
          <w:szCs w:val="22"/>
        </w:rPr>
      </w:pPr>
      <w:r>
        <w:rPr>
          <w:bCs/>
          <w:szCs w:val="22"/>
        </w:rPr>
        <w:t xml:space="preserve">Nepoužívat v případech, kdy je příslušný patogen rezistentní vůči jiným </w:t>
      </w:r>
      <w:proofErr w:type="spellStart"/>
      <w:r>
        <w:rPr>
          <w:bCs/>
          <w:szCs w:val="22"/>
        </w:rPr>
        <w:t>fluorochinolonům</w:t>
      </w:r>
      <w:proofErr w:type="spellEnd"/>
      <w:r>
        <w:rPr>
          <w:bCs/>
          <w:szCs w:val="22"/>
        </w:rPr>
        <w:t xml:space="preserve"> (zkřížená rezistence).</w:t>
      </w:r>
    </w:p>
    <w:p w:rsidR="006F095F" w:rsidRDefault="006F095F" w:rsidP="006F095F">
      <w:pPr>
        <w:ind w:left="0" w:firstLine="0"/>
        <w:jc w:val="both"/>
        <w:rPr>
          <w:bCs/>
          <w:szCs w:val="22"/>
        </w:rPr>
      </w:pPr>
      <w:r>
        <w:rPr>
          <w:bCs/>
          <w:szCs w:val="22"/>
        </w:rPr>
        <w:t xml:space="preserve">Nepoužívat u zvířat v případě přecitlivělosti na léčivou(é) </w:t>
      </w:r>
      <w:proofErr w:type="gramStart"/>
      <w:r>
        <w:rPr>
          <w:bCs/>
          <w:szCs w:val="22"/>
        </w:rPr>
        <w:t>látku(y) nebo</w:t>
      </w:r>
      <w:proofErr w:type="gramEnd"/>
      <w:r>
        <w:rPr>
          <w:bCs/>
          <w:szCs w:val="22"/>
        </w:rPr>
        <w:t xml:space="preserve"> na jiný </w:t>
      </w:r>
      <w:proofErr w:type="spellStart"/>
      <w:r>
        <w:rPr>
          <w:bCs/>
          <w:szCs w:val="22"/>
        </w:rPr>
        <w:t>chinolon</w:t>
      </w:r>
      <w:proofErr w:type="spellEnd"/>
      <w:r>
        <w:rPr>
          <w:bCs/>
          <w:szCs w:val="22"/>
        </w:rPr>
        <w:t xml:space="preserve"> nebo na některou z pomocných látek.</w:t>
      </w:r>
    </w:p>
    <w:p w:rsidR="006F095F" w:rsidRDefault="006F095F" w:rsidP="006F095F"/>
    <w:p w:rsidR="006F095F" w:rsidRDefault="006F095F" w:rsidP="006F095F">
      <w:r>
        <w:rPr>
          <w:b/>
        </w:rPr>
        <w:t>6.</w:t>
      </w:r>
      <w:r>
        <w:rPr>
          <w:b/>
        </w:rPr>
        <w:tab/>
        <w:t>NEŽÁDOUCÍ ÚČINKY</w:t>
      </w:r>
    </w:p>
    <w:p w:rsidR="006F095F" w:rsidRDefault="006F095F" w:rsidP="006F095F">
      <w:pPr>
        <w:tabs>
          <w:tab w:val="left" w:pos="708"/>
        </w:tabs>
        <w:ind w:left="0" w:firstLine="0"/>
        <w:rPr>
          <w:szCs w:val="22"/>
        </w:rPr>
      </w:pP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t>Při intramuskulárním nebo subkutánním podání mohou v místě injekčního podání vzniknout přechodné zánětlivé léze, které se neprojeví klinicky.</w:t>
      </w:r>
    </w:p>
    <w:p w:rsidR="006F095F" w:rsidRDefault="006F095F" w:rsidP="006F095F">
      <w:pPr>
        <w:ind w:left="0" w:firstLine="0"/>
        <w:jc w:val="both"/>
        <w:rPr>
          <w:szCs w:val="22"/>
          <w:lang w:eastAsia="en-GB"/>
        </w:rPr>
      </w:pPr>
      <w:r>
        <w:rPr>
          <w:szCs w:val="22"/>
        </w:rPr>
        <w:t>Podání intramuskulární cestou může vyvolat přechodné lokální reakce, například bolest a otok v místě injekčního podání a zánětlivé léze, které mohou trvat minimálně 12 dnů po podání injekce.</w:t>
      </w:r>
    </w:p>
    <w:p w:rsidR="006F095F" w:rsidRDefault="006F095F" w:rsidP="006F095F">
      <w:pPr>
        <w:ind w:left="0" w:firstLine="0"/>
        <w:jc w:val="both"/>
        <w:rPr>
          <w:szCs w:val="22"/>
          <w:lang w:eastAsia="en-GB"/>
        </w:rPr>
      </w:pPr>
      <w:r>
        <w:rPr>
          <w:szCs w:val="22"/>
        </w:rPr>
        <w:t>Prokázalo se však, že skot lokálně snáší subkutánní podání lépe než intramuskulární podání. U těžkého skotu se tedy doporučuje subkutánní cesta podání.</w:t>
      </w:r>
    </w:p>
    <w:p w:rsidR="006F095F" w:rsidRDefault="006F095F" w:rsidP="006F095F">
      <w:pPr>
        <w:pStyle w:val="Textvysvtlivek"/>
        <w:tabs>
          <w:tab w:val="left" w:pos="708"/>
        </w:tabs>
        <w:ind w:left="0" w:firstLine="0"/>
        <w:jc w:val="both"/>
        <w:rPr>
          <w:szCs w:val="22"/>
        </w:rPr>
      </w:pPr>
      <w:r>
        <w:rPr>
          <w:szCs w:val="22"/>
        </w:rPr>
        <w:t>Jestliže zaznamenáte jakékoliv závažné nežádoucí účinky či jiné reakce, které nejsou uvedeny v této příbalové informaci, oznamte to prosím vašemu veterinárnímu lékaři.</w:t>
      </w:r>
    </w:p>
    <w:p w:rsidR="006F095F" w:rsidRDefault="006F095F" w:rsidP="006F095F"/>
    <w:p w:rsidR="006F095F" w:rsidRDefault="006F095F" w:rsidP="006F095F"/>
    <w:p w:rsidR="006F095F" w:rsidRDefault="006F095F" w:rsidP="006F095F">
      <w:r>
        <w:rPr>
          <w:b/>
        </w:rPr>
        <w:t>7.</w:t>
      </w:r>
      <w:r>
        <w:rPr>
          <w:b/>
        </w:rPr>
        <w:tab/>
        <w:t>CÍLOVÝ DRUH ZVÍŘAT</w:t>
      </w:r>
    </w:p>
    <w:p w:rsidR="006F095F" w:rsidRDefault="006F095F" w:rsidP="006F095F"/>
    <w:p w:rsidR="006F095F" w:rsidRDefault="006F095F" w:rsidP="006F095F">
      <w:pPr>
        <w:pStyle w:val="Textvysvtlivek"/>
        <w:tabs>
          <w:tab w:val="left" w:pos="708"/>
        </w:tabs>
        <w:rPr>
          <w:szCs w:val="22"/>
        </w:rPr>
      </w:pPr>
      <w:r>
        <w:rPr>
          <w:szCs w:val="22"/>
        </w:rPr>
        <w:t>Skot, prasata (prasnice)</w:t>
      </w:r>
    </w:p>
    <w:p w:rsidR="006F095F" w:rsidRDefault="006F095F" w:rsidP="006F095F">
      <w:pPr>
        <w:rPr>
          <w:b/>
        </w:rPr>
      </w:pPr>
    </w:p>
    <w:p w:rsidR="006F095F" w:rsidRDefault="006F095F" w:rsidP="006F095F">
      <w:pPr>
        <w:rPr>
          <w:b/>
        </w:rPr>
      </w:pPr>
    </w:p>
    <w:p w:rsidR="006F095F" w:rsidRDefault="006F095F" w:rsidP="006F095F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6F095F" w:rsidRDefault="006F095F" w:rsidP="006F095F"/>
    <w:p w:rsidR="006F095F" w:rsidRDefault="006F095F" w:rsidP="006F095F">
      <w:pPr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Skot:</w:t>
      </w:r>
    </w:p>
    <w:p w:rsidR="006F095F" w:rsidRDefault="006F095F" w:rsidP="006F095F">
      <w:pPr>
        <w:jc w:val="both"/>
        <w:rPr>
          <w:bCs/>
          <w:szCs w:val="22"/>
          <w:u w:val="single"/>
        </w:rPr>
      </w:pPr>
    </w:p>
    <w:p w:rsidR="006F095F" w:rsidRDefault="006F095F" w:rsidP="006F095F">
      <w:pPr>
        <w:tabs>
          <w:tab w:val="left" w:pos="0"/>
        </w:tabs>
        <w:jc w:val="both"/>
        <w:rPr>
          <w:b/>
          <w:bCs/>
          <w:szCs w:val="22"/>
          <w:lang w:eastAsia="sl-SI"/>
        </w:rPr>
      </w:pPr>
      <w:r>
        <w:rPr>
          <w:b/>
          <w:bCs/>
          <w:szCs w:val="22"/>
        </w:rPr>
        <w:t>Respirační</w:t>
      </w:r>
      <w:r>
        <w:rPr>
          <w:b/>
          <w:szCs w:val="22"/>
        </w:rPr>
        <w:t xml:space="preserve"> infekce:</w:t>
      </w: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Doporučené dávkování je 8 mg </w:t>
      </w:r>
      <w:proofErr w:type="spellStart"/>
      <w:r>
        <w:rPr>
          <w:szCs w:val="22"/>
        </w:rPr>
        <w:t>marbofloxacinu</w:t>
      </w:r>
      <w:proofErr w:type="spellEnd"/>
      <w:r>
        <w:rPr>
          <w:szCs w:val="22"/>
        </w:rPr>
        <w:t xml:space="preserve">/kg ž. </w:t>
      </w:r>
      <w:proofErr w:type="gramStart"/>
      <w:r>
        <w:rPr>
          <w:szCs w:val="22"/>
        </w:rPr>
        <w:t>hm</w:t>
      </w:r>
      <w:proofErr w:type="gramEnd"/>
      <w:r>
        <w:rPr>
          <w:szCs w:val="22"/>
        </w:rPr>
        <w:t>. (2 ml přípravku/25 kg ž. hm.), jednorázově  formou intramuskulární injekce. Má-li být injekčně podán objem přípravku překračující 20 ml, dávku je nutné rozdělit do dvou nebo více míst injekčního podání.</w:t>
      </w: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 případě respiračních infekcí vyvolaných kmeny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bovis</w:t>
      </w:r>
      <w:proofErr w:type="spellEnd"/>
      <w:r>
        <w:rPr>
          <w:szCs w:val="22"/>
        </w:rPr>
        <w:t xml:space="preserve"> je doporučená dávka 2 mg </w:t>
      </w:r>
      <w:proofErr w:type="spellStart"/>
      <w:r>
        <w:rPr>
          <w:szCs w:val="22"/>
        </w:rPr>
        <w:t>marbofloxacinu</w:t>
      </w:r>
      <w:proofErr w:type="spellEnd"/>
      <w:r>
        <w:rPr>
          <w:szCs w:val="22"/>
        </w:rPr>
        <w:t xml:space="preserve">/kg ž. </w:t>
      </w:r>
      <w:proofErr w:type="gramStart"/>
      <w:r>
        <w:rPr>
          <w:szCs w:val="22"/>
        </w:rPr>
        <w:t>hm</w:t>
      </w:r>
      <w:proofErr w:type="gramEnd"/>
      <w:r>
        <w:rPr>
          <w:szCs w:val="22"/>
        </w:rPr>
        <w:t>. (1 ml přípravku/50 kg ž. hm.)  jedenkrát denně po dobu 3 až 5 po sobě následujících dní formou intramuskulární nebo subkutánní injekce. První injekci je možné podat nitrožilně.</w:t>
      </w:r>
    </w:p>
    <w:p w:rsidR="006F095F" w:rsidRDefault="006F095F" w:rsidP="006F095F">
      <w:pPr>
        <w:ind w:left="0" w:firstLine="0"/>
        <w:jc w:val="both"/>
        <w:rPr>
          <w:lang w:eastAsia="sl-SI"/>
        </w:rPr>
      </w:pPr>
    </w:p>
    <w:p w:rsidR="006F095F" w:rsidRDefault="006F095F" w:rsidP="006F095F">
      <w:pPr>
        <w:ind w:left="0" w:right="97" w:firstLine="0"/>
        <w:rPr>
          <w:b/>
          <w:szCs w:val="22"/>
          <w:lang w:eastAsia="sl-SI"/>
        </w:rPr>
      </w:pPr>
      <w:r>
        <w:rPr>
          <w:b/>
          <w:szCs w:val="22"/>
        </w:rPr>
        <w:t>Akutní mastitida:</w:t>
      </w:r>
    </w:p>
    <w:p w:rsidR="006F095F" w:rsidRDefault="006F095F" w:rsidP="006F095F">
      <w:pPr>
        <w:ind w:left="0" w:right="97" w:firstLine="0"/>
        <w:rPr>
          <w:b/>
          <w:szCs w:val="22"/>
          <w:lang w:eastAsia="sl-SI"/>
        </w:rPr>
      </w:pPr>
    </w:p>
    <w:p w:rsidR="006F095F" w:rsidRDefault="006F095F" w:rsidP="006F095F">
      <w:pPr>
        <w:ind w:left="0" w:right="97" w:firstLine="0"/>
        <w:rPr>
          <w:szCs w:val="22"/>
          <w:lang w:eastAsia="sl-SI"/>
        </w:rPr>
      </w:pPr>
      <w:r>
        <w:rPr>
          <w:szCs w:val="22"/>
          <w:u w:val="single"/>
        </w:rPr>
        <w:t>Intramuskulární nebo subkutánní podání:</w:t>
      </w: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Doporučené dávkování je 2 mg </w:t>
      </w:r>
      <w:proofErr w:type="spellStart"/>
      <w:r>
        <w:rPr>
          <w:szCs w:val="22"/>
        </w:rPr>
        <w:t>marbofloxacinu</w:t>
      </w:r>
      <w:proofErr w:type="spellEnd"/>
      <w:r>
        <w:rPr>
          <w:szCs w:val="22"/>
        </w:rPr>
        <w:t xml:space="preserve">/kg ž. </w:t>
      </w:r>
      <w:proofErr w:type="gramStart"/>
      <w:r>
        <w:rPr>
          <w:szCs w:val="22"/>
        </w:rPr>
        <w:t>hm</w:t>
      </w:r>
      <w:proofErr w:type="gramEnd"/>
      <w:r>
        <w:rPr>
          <w:szCs w:val="22"/>
        </w:rPr>
        <w:t>. (1 ml přípravku/50 kg ž. hm.)  formou injekce podávané jedenkrát denně po dobu 3 po sobě následujících dnů. První injekci je rovněž možné podat nitrožilně.</w:t>
      </w:r>
    </w:p>
    <w:p w:rsidR="006F095F" w:rsidRDefault="006F095F" w:rsidP="006F095F">
      <w:pPr>
        <w:ind w:left="0" w:right="97" w:firstLine="0"/>
        <w:jc w:val="both"/>
        <w:rPr>
          <w:lang w:eastAsia="sl-SI"/>
        </w:rPr>
      </w:pPr>
    </w:p>
    <w:p w:rsidR="006F095F" w:rsidRDefault="006F095F" w:rsidP="006F095F">
      <w:pPr>
        <w:ind w:left="0" w:right="97" w:firstLine="0"/>
        <w:jc w:val="both"/>
        <w:rPr>
          <w:lang w:eastAsia="sl-SI"/>
        </w:rPr>
      </w:pPr>
    </w:p>
    <w:p w:rsidR="006F095F" w:rsidRDefault="006F095F" w:rsidP="006F095F">
      <w:pPr>
        <w:ind w:left="0" w:right="97" w:firstLine="0"/>
        <w:jc w:val="both"/>
        <w:rPr>
          <w:b/>
          <w:szCs w:val="22"/>
          <w:u w:val="single"/>
          <w:lang w:eastAsia="sl-SI"/>
        </w:rPr>
      </w:pPr>
      <w:r>
        <w:rPr>
          <w:b/>
          <w:szCs w:val="22"/>
          <w:u w:val="single"/>
        </w:rPr>
        <w:t>Prasata (prasnice):</w:t>
      </w:r>
    </w:p>
    <w:p w:rsidR="006F095F" w:rsidRDefault="006F095F" w:rsidP="006F095F">
      <w:pPr>
        <w:ind w:left="0" w:right="97" w:firstLine="0"/>
        <w:jc w:val="both"/>
        <w:rPr>
          <w:szCs w:val="22"/>
          <w:u w:val="single"/>
          <w:lang w:eastAsia="sl-SI"/>
        </w:rPr>
      </w:pPr>
    </w:p>
    <w:p w:rsidR="006F095F" w:rsidRDefault="006F095F" w:rsidP="006F095F">
      <w:pPr>
        <w:ind w:right="97"/>
        <w:jc w:val="both"/>
        <w:rPr>
          <w:szCs w:val="22"/>
          <w:u w:val="single"/>
        </w:rPr>
      </w:pPr>
      <w:r>
        <w:rPr>
          <w:szCs w:val="22"/>
          <w:u w:val="single"/>
        </w:rPr>
        <w:t>Intramuskulární podání:</w:t>
      </w: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Doporučené dávkování je 2 mg </w:t>
      </w:r>
      <w:proofErr w:type="spellStart"/>
      <w:r>
        <w:rPr>
          <w:szCs w:val="22"/>
        </w:rPr>
        <w:t>marbofloxacinu</w:t>
      </w:r>
      <w:proofErr w:type="spellEnd"/>
      <w:r>
        <w:rPr>
          <w:szCs w:val="22"/>
        </w:rPr>
        <w:t xml:space="preserve">/kg ž. </w:t>
      </w:r>
      <w:proofErr w:type="gramStart"/>
      <w:r>
        <w:rPr>
          <w:szCs w:val="22"/>
        </w:rPr>
        <w:t>hm</w:t>
      </w:r>
      <w:proofErr w:type="gramEnd"/>
      <w:r>
        <w:rPr>
          <w:szCs w:val="22"/>
        </w:rPr>
        <w:t>. (1 ml přípravku/50 kg ž. hm.) formou injekce podávané  jedenkrát denně po dobu 3 po sobě následujících dnů.</w:t>
      </w:r>
    </w:p>
    <w:p w:rsidR="006F095F" w:rsidRDefault="006F095F" w:rsidP="006F095F">
      <w:pPr>
        <w:ind w:left="0" w:firstLine="0"/>
        <w:jc w:val="both"/>
        <w:rPr>
          <w:szCs w:val="22"/>
        </w:rPr>
      </w:pP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t xml:space="preserve">K zajištění podání správné dávky, je nutné co nejpřesněji stanovit hmotnost zvířete, aby nedošlo k </w:t>
      </w:r>
      <w:proofErr w:type="spellStart"/>
      <w:r>
        <w:rPr>
          <w:szCs w:val="22"/>
        </w:rPr>
        <w:t>poddávkování</w:t>
      </w:r>
      <w:proofErr w:type="spellEnd"/>
      <w:r>
        <w:rPr>
          <w:szCs w:val="22"/>
        </w:rPr>
        <w:t>.</w:t>
      </w: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t>U skotu a prasat je přednostním místem injekčního podání oblast krku.</w:t>
      </w: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t>Zátku lze bezpečně propíchnout až 30krát. Je třeba, aby uživatel zvolil co nejvhodnější velikost lahvičky podle ošetřovaného cílového druhu.</w:t>
      </w:r>
    </w:p>
    <w:p w:rsidR="006F095F" w:rsidRDefault="006F095F" w:rsidP="006F095F"/>
    <w:p w:rsidR="006F095F" w:rsidRDefault="006F095F" w:rsidP="006F095F">
      <w:r>
        <w:rPr>
          <w:b/>
        </w:rPr>
        <w:t>9.</w:t>
      </w:r>
      <w:r>
        <w:rPr>
          <w:b/>
        </w:rPr>
        <w:tab/>
        <w:t>POKYNY PRO SPRÁVNÉ PODÁNÍ</w:t>
      </w:r>
    </w:p>
    <w:p w:rsidR="006F095F" w:rsidRDefault="006F095F" w:rsidP="006F095F"/>
    <w:p w:rsidR="006F095F" w:rsidRDefault="006F095F" w:rsidP="006F095F"/>
    <w:p w:rsidR="006F095F" w:rsidRDefault="006F095F" w:rsidP="006F095F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6F095F" w:rsidRDefault="006F095F" w:rsidP="006F095F">
      <w:pPr>
        <w:rPr>
          <w:iCs/>
        </w:rPr>
      </w:pPr>
    </w:p>
    <w:p w:rsidR="006F095F" w:rsidRDefault="006F095F" w:rsidP="006F095F">
      <w:pPr>
        <w:rPr>
          <w:b/>
          <w:szCs w:val="22"/>
          <w:lang w:eastAsia="sl-SI"/>
        </w:rPr>
      </w:pPr>
      <w:r>
        <w:rPr>
          <w:b/>
          <w:szCs w:val="22"/>
        </w:rPr>
        <w:t>Skot:</w:t>
      </w:r>
    </w:p>
    <w:p w:rsidR="006F095F" w:rsidRDefault="006F095F" w:rsidP="006F095F">
      <w:pPr>
        <w:rPr>
          <w:szCs w:val="22"/>
          <w:lang w:eastAsia="sl-SI"/>
        </w:rPr>
      </w:pPr>
      <w:r>
        <w:rPr>
          <w:szCs w:val="22"/>
        </w:rPr>
        <w:t>8 mg/kg jednorázově (</w:t>
      </w:r>
      <w:proofErr w:type="spellStart"/>
      <w:proofErr w:type="gramStart"/>
      <w:r>
        <w:rPr>
          <w:szCs w:val="22"/>
        </w:rPr>
        <w:t>i.m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>)</w:t>
      </w:r>
    </w:p>
    <w:p w:rsidR="006F095F" w:rsidRDefault="006F095F" w:rsidP="006F095F">
      <w:pPr>
        <w:rPr>
          <w:szCs w:val="22"/>
          <w:lang w:eastAsia="sl-SI"/>
        </w:rPr>
      </w:pPr>
      <w:r>
        <w:rPr>
          <w:szCs w:val="22"/>
        </w:rPr>
        <w:t>Maso: 3 dny</w:t>
      </w:r>
    </w:p>
    <w:p w:rsidR="006F095F" w:rsidRDefault="006F095F" w:rsidP="006F095F">
      <w:pPr>
        <w:rPr>
          <w:szCs w:val="22"/>
          <w:lang w:eastAsia="sl-SI"/>
        </w:rPr>
      </w:pPr>
      <w:r>
        <w:rPr>
          <w:szCs w:val="22"/>
        </w:rPr>
        <w:t>Mléko: 72 hodin</w:t>
      </w:r>
    </w:p>
    <w:p w:rsidR="006F095F" w:rsidRDefault="006F095F" w:rsidP="006F095F">
      <w:pPr>
        <w:rPr>
          <w:szCs w:val="22"/>
          <w:lang w:eastAsia="sl-SI"/>
        </w:rPr>
      </w:pPr>
    </w:p>
    <w:p w:rsidR="006F095F" w:rsidRDefault="006F095F" w:rsidP="006F095F">
      <w:pPr>
        <w:rPr>
          <w:szCs w:val="22"/>
          <w:lang w:eastAsia="sl-SI"/>
        </w:rPr>
      </w:pPr>
      <w:r>
        <w:rPr>
          <w:szCs w:val="22"/>
        </w:rPr>
        <w:t>2 mg/kg po dobu 3 až 5 dnů (</w:t>
      </w:r>
      <w:proofErr w:type="spellStart"/>
      <w:proofErr w:type="gramStart"/>
      <w:r>
        <w:rPr>
          <w:szCs w:val="22"/>
        </w:rPr>
        <w:t>i.v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>/</w:t>
      </w:r>
      <w:proofErr w:type="spellStart"/>
      <w:r>
        <w:rPr>
          <w:szCs w:val="22"/>
        </w:rPr>
        <w:t>s.c</w:t>
      </w:r>
      <w:proofErr w:type="spellEnd"/>
      <w:r>
        <w:rPr>
          <w:szCs w:val="22"/>
        </w:rPr>
        <w:t>./</w:t>
      </w:r>
      <w:proofErr w:type="spellStart"/>
      <w:r>
        <w:rPr>
          <w:szCs w:val="22"/>
        </w:rPr>
        <w:t>i.m</w:t>
      </w:r>
      <w:proofErr w:type="spellEnd"/>
      <w:r>
        <w:rPr>
          <w:szCs w:val="22"/>
        </w:rPr>
        <w:t>.)</w:t>
      </w:r>
    </w:p>
    <w:p w:rsidR="006F095F" w:rsidRDefault="006F095F" w:rsidP="006F095F">
      <w:pPr>
        <w:rPr>
          <w:szCs w:val="22"/>
          <w:lang w:eastAsia="sl-SI"/>
        </w:rPr>
      </w:pPr>
      <w:r>
        <w:rPr>
          <w:szCs w:val="22"/>
        </w:rPr>
        <w:t>Maso: 6 dnů</w:t>
      </w:r>
    </w:p>
    <w:p w:rsidR="006F095F" w:rsidRDefault="006F095F" w:rsidP="006F095F">
      <w:pPr>
        <w:rPr>
          <w:szCs w:val="22"/>
          <w:lang w:eastAsia="sl-SI"/>
        </w:rPr>
      </w:pPr>
      <w:r>
        <w:rPr>
          <w:szCs w:val="22"/>
        </w:rPr>
        <w:t>Mléko: 36 hodin</w:t>
      </w:r>
    </w:p>
    <w:p w:rsidR="006F095F" w:rsidRDefault="006F095F" w:rsidP="006F095F">
      <w:pPr>
        <w:rPr>
          <w:szCs w:val="22"/>
          <w:lang w:eastAsia="sl-SI"/>
        </w:rPr>
      </w:pPr>
    </w:p>
    <w:p w:rsidR="006F095F" w:rsidRDefault="006F095F" w:rsidP="006F095F">
      <w:pPr>
        <w:rPr>
          <w:b/>
          <w:szCs w:val="22"/>
          <w:lang w:eastAsia="sl-SI"/>
        </w:rPr>
      </w:pPr>
      <w:r>
        <w:rPr>
          <w:b/>
          <w:szCs w:val="22"/>
        </w:rPr>
        <w:t>Prasata (prasnice):</w:t>
      </w:r>
    </w:p>
    <w:p w:rsidR="006F095F" w:rsidRDefault="006F095F" w:rsidP="006F095F">
      <w:pPr>
        <w:rPr>
          <w:szCs w:val="22"/>
          <w:lang w:eastAsia="sl-SI"/>
        </w:rPr>
      </w:pPr>
      <w:r>
        <w:rPr>
          <w:szCs w:val="22"/>
        </w:rPr>
        <w:t>Maso: 4 dny</w:t>
      </w:r>
    </w:p>
    <w:p w:rsidR="006F095F" w:rsidRDefault="006F095F" w:rsidP="006F095F"/>
    <w:p w:rsidR="006F095F" w:rsidRDefault="006F095F" w:rsidP="006F095F">
      <w:pPr>
        <w:rPr>
          <w:iCs/>
        </w:rPr>
      </w:pPr>
    </w:p>
    <w:p w:rsidR="006F095F" w:rsidRDefault="006F095F" w:rsidP="006F095F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6F095F" w:rsidRDefault="006F095F" w:rsidP="006F095F"/>
    <w:p w:rsidR="006F095F" w:rsidRDefault="006F095F" w:rsidP="006F095F">
      <w:pPr>
        <w:jc w:val="both"/>
        <w:rPr>
          <w:szCs w:val="22"/>
        </w:rPr>
      </w:pPr>
      <w:r>
        <w:rPr>
          <w:szCs w:val="22"/>
        </w:rPr>
        <w:t>Uchovávat mimo dosah dětí.</w:t>
      </w:r>
    </w:p>
    <w:p w:rsidR="006F095F" w:rsidRDefault="006F095F" w:rsidP="006F095F">
      <w:pPr>
        <w:tabs>
          <w:tab w:val="num" w:pos="284"/>
        </w:tabs>
        <w:ind w:left="720" w:hanging="720"/>
        <w:jc w:val="both"/>
        <w:rPr>
          <w:szCs w:val="22"/>
        </w:rPr>
      </w:pPr>
      <w:r>
        <w:rPr>
          <w:szCs w:val="22"/>
        </w:rPr>
        <w:t>Uchovávejte lahvičky v původním obalu, aby byly chráněny před světlem.</w:t>
      </w:r>
    </w:p>
    <w:p w:rsidR="006F095F" w:rsidRDefault="006F095F" w:rsidP="006F095F">
      <w:pPr>
        <w:tabs>
          <w:tab w:val="num" w:pos="284"/>
        </w:tabs>
        <w:ind w:left="720" w:hanging="720"/>
        <w:jc w:val="both"/>
        <w:rPr>
          <w:szCs w:val="22"/>
        </w:rPr>
      </w:pPr>
    </w:p>
    <w:p w:rsidR="006F095F" w:rsidRDefault="006F095F" w:rsidP="006F095F">
      <w:pPr>
        <w:tabs>
          <w:tab w:val="left" w:pos="567"/>
        </w:tabs>
        <w:spacing w:line="260" w:lineRule="exact"/>
        <w:ind w:right="-2"/>
        <w:jc w:val="both"/>
        <w:rPr>
          <w:szCs w:val="22"/>
        </w:rPr>
      </w:pPr>
      <w:r>
        <w:rPr>
          <w:szCs w:val="22"/>
        </w:rPr>
        <w:t>Nepoužívejte tento veterinární léčivý přípravek po uplynutí doby použitelnosti uvedené na etiketě.</w:t>
      </w:r>
    </w:p>
    <w:p w:rsidR="006F095F" w:rsidRDefault="006F095F" w:rsidP="006F095F">
      <w:pPr>
        <w:tabs>
          <w:tab w:val="left" w:pos="708"/>
        </w:tabs>
        <w:ind w:right="-2"/>
        <w:jc w:val="both"/>
        <w:rPr>
          <w:szCs w:val="22"/>
        </w:rPr>
      </w:pPr>
      <w:r>
        <w:rPr>
          <w:szCs w:val="22"/>
        </w:rPr>
        <w:t>Doba použitelnosti po prvním otevření vnitřního obalu: 28 dnů.</w:t>
      </w:r>
    </w:p>
    <w:p w:rsidR="006F095F" w:rsidRDefault="006F095F" w:rsidP="006F095F">
      <w:pPr>
        <w:pStyle w:val="Textvysvtlivek"/>
        <w:tabs>
          <w:tab w:val="left" w:pos="708"/>
        </w:tabs>
        <w:rPr>
          <w:szCs w:val="22"/>
        </w:rPr>
      </w:pPr>
    </w:p>
    <w:p w:rsidR="006F095F" w:rsidRDefault="006F095F" w:rsidP="006F095F"/>
    <w:p w:rsidR="006F095F" w:rsidRDefault="006F095F" w:rsidP="006F095F">
      <w:pPr>
        <w:ind w:left="0" w:right="-318" w:firstLine="0"/>
      </w:pPr>
    </w:p>
    <w:p w:rsidR="006F095F" w:rsidRDefault="006F095F" w:rsidP="006F095F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6F095F" w:rsidRDefault="006F095F" w:rsidP="006F095F"/>
    <w:p w:rsidR="006F095F" w:rsidRDefault="006F095F" w:rsidP="006F095F">
      <w:pPr>
        <w:tabs>
          <w:tab w:val="left" w:pos="709"/>
        </w:tabs>
        <w:ind w:left="0" w:firstLine="0"/>
        <w:rPr>
          <w:szCs w:val="22"/>
          <w:u w:val="single"/>
        </w:rPr>
      </w:pPr>
      <w:r>
        <w:rPr>
          <w:szCs w:val="22"/>
          <w:u w:val="single"/>
        </w:rPr>
        <w:t>Zvláštní opatření pro použití u zvířat:</w:t>
      </w:r>
    </w:p>
    <w:p w:rsidR="006F095F" w:rsidRDefault="006F095F" w:rsidP="006F095F">
      <w:pPr>
        <w:tabs>
          <w:tab w:val="left" w:pos="709"/>
        </w:tabs>
        <w:ind w:left="0" w:firstLine="0"/>
        <w:rPr>
          <w:szCs w:val="22"/>
          <w:lang w:eastAsia="en-GB"/>
        </w:rPr>
      </w:pPr>
    </w:p>
    <w:p w:rsidR="006F095F" w:rsidRDefault="006F095F" w:rsidP="006F095F">
      <w:pPr>
        <w:autoSpaceDE w:val="0"/>
        <w:autoSpaceDN w:val="0"/>
        <w:adjustRightInd w:val="0"/>
        <w:spacing w:line="240" w:lineRule="atLeast"/>
      </w:pPr>
      <w:r>
        <w:rPr>
          <w:szCs w:val="24"/>
        </w:rPr>
        <w:t xml:space="preserve">Při použití přípravku </w:t>
      </w:r>
      <w:r>
        <w:t xml:space="preserve">je nutno vzít v úvahu oficiální a místní pravidla antibiotické politiky. </w:t>
      </w:r>
    </w:p>
    <w:p w:rsidR="006F095F" w:rsidRDefault="006F095F" w:rsidP="006F095F">
      <w:pPr>
        <w:ind w:left="0" w:firstLine="0"/>
        <w:jc w:val="both"/>
        <w:rPr>
          <w:szCs w:val="24"/>
        </w:rPr>
      </w:pPr>
    </w:p>
    <w:p w:rsidR="006F095F" w:rsidRDefault="006F095F" w:rsidP="006F095F">
      <w:p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Fluorochinolony</w:t>
      </w:r>
      <w:proofErr w:type="spellEnd"/>
      <w:r>
        <w:rPr>
          <w:szCs w:val="24"/>
        </w:rPr>
        <w:t xml:space="preserve"> by měly být vyhrazeny pro léčbu klinických případů, které mají slabou odezvu, nebo se očekává, že budou mít slabou odezvu na jiné farmakologické skupiny antimikrobiálních látek. Kdykoliv je to možné, </w:t>
      </w:r>
      <w:proofErr w:type="spellStart"/>
      <w:r>
        <w:rPr>
          <w:szCs w:val="24"/>
        </w:rPr>
        <w:t>fluorochinolony</w:t>
      </w:r>
      <w:proofErr w:type="spellEnd"/>
      <w:r>
        <w:rPr>
          <w:szCs w:val="24"/>
        </w:rPr>
        <w:t xml:space="preserve"> by se měly používat na základě stanovení citlivosti. Použití přípravku v rozporu s pokyny uvedenými v SPC může způsobit nárůst prevalence kmenů bakterií rezistentních na </w:t>
      </w:r>
      <w:proofErr w:type="spellStart"/>
      <w:r>
        <w:rPr>
          <w:szCs w:val="24"/>
        </w:rPr>
        <w:t>fluorochinolony</w:t>
      </w:r>
      <w:proofErr w:type="spellEnd"/>
      <w:r>
        <w:rPr>
          <w:szCs w:val="24"/>
        </w:rPr>
        <w:t xml:space="preserve"> a může snížit účinnost léčby ostatními </w:t>
      </w:r>
      <w:proofErr w:type="spellStart"/>
      <w:r>
        <w:rPr>
          <w:szCs w:val="24"/>
        </w:rPr>
        <w:t>chinolony</w:t>
      </w:r>
      <w:proofErr w:type="spellEnd"/>
      <w:r>
        <w:rPr>
          <w:szCs w:val="24"/>
        </w:rPr>
        <w:t xml:space="preserve"> z důvodů možné zkřížené rezistence. </w:t>
      </w:r>
    </w:p>
    <w:p w:rsidR="006F095F" w:rsidRDefault="006F095F" w:rsidP="006F095F">
      <w:pPr>
        <w:tabs>
          <w:tab w:val="num" w:pos="284"/>
          <w:tab w:val="left" w:pos="709"/>
        </w:tabs>
        <w:ind w:left="0" w:firstLine="0"/>
        <w:jc w:val="both"/>
        <w:rPr>
          <w:szCs w:val="22"/>
        </w:rPr>
      </w:pPr>
    </w:p>
    <w:p w:rsidR="006F095F" w:rsidRDefault="006F095F" w:rsidP="006F095F">
      <w:pPr>
        <w:tabs>
          <w:tab w:val="num" w:pos="284"/>
          <w:tab w:val="left" w:pos="709"/>
        </w:tabs>
        <w:ind w:left="0" w:firstLine="0"/>
        <w:jc w:val="both"/>
        <w:rPr>
          <w:szCs w:val="22"/>
        </w:rPr>
      </w:pPr>
      <w:r>
        <w:rPr>
          <w:szCs w:val="22"/>
        </w:rPr>
        <w:lastRenderedPageBreak/>
        <w:t xml:space="preserve">Z údajů o účinnosti vyplývá, že přípravek není dostatečně účinný při léčbě akutních mastitid vyvolaných </w:t>
      </w:r>
      <w:proofErr w:type="spellStart"/>
      <w:r>
        <w:rPr>
          <w:szCs w:val="22"/>
        </w:rPr>
        <w:t>grampozitivními</w:t>
      </w:r>
      <w:proofErr w:type="spellEnd"/>
      <w:r>
        <w:rPr>
          <w:szCs w:val="22"/>
        </w:rPr>
        <w:t xml:space="preserve"> bakteriemi.</w:t>
      </w:r>
    </w:p>
    <w:p w:rsidR="006F095F" w:rsidRDefault="006F095F" w:rsidP="006F095F">
      <w:pPr>
        <w:tabs>
          <w:tab w:val="left" w:pos="709"/>
        </w:tabs>
        <w:ind w:left="0" w:firstLine="0"/>
        <w:rPr>
          <w:szCs w:val="22"/>
        </w:rPr>
      </w:pPr>
    </w:p>
    <w:p w:rsidR="006F095F" w:rsidRDefault="006F095F" w:rsidP="006F095F">
      <w:pPr>
        <w:tabs>
          <w:tab w:val="left" w:pos="709"/>
        </w:tabs>
        <w:ind w:left="0" w:firstLine="0"/>
        <w:rPr>
          <w:szCs w:val="22"/>
        </w:rPr>
      </w:pPr>
    </w:p>
    <w:p w:rsidR="006F095F" w:rsidRDefault="006F095F" w:rsidP="006F095F">
      <w:pPr>
        <w:tabs>
          <w:tab w:val="left" w:pos="709"/>
        </w:tabs>
        <w:ind w:left="0" w:firstLine="0"/>
        <w:rPr>
          <w:szCs w:val="22"/>
          <w:u w:val="single"/>
        </w:rPr>
      </w:pPr>
      <w:r>
        <w:rPr>
          <w:szCs w:val="22"/>
          <w:u w:val="single"/>
        </w:rPr>
        <w:t>Upozornění pro uživatele:</w:t>
      </w:r>
    </w:p>
    <w:p w:rsidR="006F095F" w:rsidRDefault="006F095F" w:rsidP="006F095F">
      <w:pPr>
        <w:tabs>
          <w:tab w:val="left" w:pos="709"/>
        </w:tabs>
        <w:ind w:left="0" w:firstLine="0"/>
        <w:rPr>
          <w:szCs w:val="22"/>
        </w:rPr>
      </w:pPr>
    </w:p>
    <w:p w:rsidR="006F095F" w:rsidRDefault="006F095F" w:rsidP="006F095F">
      <w:pPr>
        <w:tabs>
          <w:tab w:val="left" w:pos="709"/>
        </w:tabs>
        <w:ind w:left="0" w:firstLine="0"/>
        <w:jc w:val="both"/>
        <w:rPr>
          <w:szCs w:val="22"/>
          <w:lang w:eastAsia="en-GB"/>
        </w:rPr>
      </w:pPr>
      <w:r>
        <w:rPr>
          <w:szCs w:val="22"/>
          <w:lang w:eastAsia="cs-CZ"/>
        </w:rPr>
        <w:t>Lidé se známou přecitlivělostí na (</w:t>
      </w:r>
      <w:proofErr w:type="spellStart"/>
      <w:r>
        <w:rPr>
          <w:szCs w:val="22"/>
          <w:lang w:eastAsia="cs-CZ"/>
        </w:rPr>
        <w:t>fluoro</w:t>
      </w:r>
      <w:proofErr w:type="spellEnd"/>
      <w:r>
        <w:rPr>
          <w:szCs w:val="22"/>
          <w:lang w:eastAsia="cs-CZ"/>
        </w:rPr>
        <w:t>)</w:t>
      </w:r>
      <w:proofErr w:type="spellStart"/>
      <w:r>
        <w:rPr>
          <w:szCs w:val="22"/>
          <w:lang w:eastAsia="cs-CZ"/>
        </w:rPr>
        <w:t>chinolony</w:t>
      </w:r>
      <w:proofErr w:type="spellEnd"/>
      <w:r>
        <w:rPr>
          <w:szCs w:val="22"/>
          <w:lang w:eastAsia="cs-CZ"/>
        </w:rPr>
        <w:t xml:space="preserve"> by se měli vyhnout kontaktu s veterinárním léčivým přípravkem. Předcházejte náhodnému </w:t>
      </w:r>
      <w:proofErr w:type="spellStart"/>
      <w:r>
        <w:rPr>
          <w:szCs w:val="22"/>
          <w:lang w:eastAsia="cs-CZ"/>
        </w:rPr>
        <w:t>samopodání</w:t>
      </w:r>
      <w:proofErr w:type="spellEnd"/>
      <w:r>
        <w:rPr>
          <w:szCs w:val="22"/>
          <w:lang w:eastAsia="cs-CZ"/>
        </w:rPr>
        <w:t xml:space="preserve"> injekce, protože může vyvolat mírné podráždění.</w:t>
      </w:r>
    </w:p>
    <w:p w:rsidR="006F095F" w:rsidRDefault="006F095F" w:rsidP="006F095F">
      <w:pPr>
        <w:tabs>
          <w:tab w:val="num" w:pos="284"/>
          <w:tab w:val="left" w:pos="709"/>
        </w:tabs>
        <w:ind w:left="0" w:firstLine="0"/>
        <w:jc w:val="both"/>
        <w:rPr>
          <w:szCs w:val="22"/>
          <w:lang w:eastAsia="cs-CZ"/>
        </w:rPr>
      </w:pPr>
      <w:r>
        <w:rPr>
          <w:szCs w:val="22"/>
          <w:lang w:eastAsia="cs-CZ"/>
        </w:rPr>
        <w:t>V případě náhodného sebepoškození injekčně aplikovaným přípravkem, vyhledejte ihned lékařskou pomoc a ukažte příbalovou informaci nebo etiketu praktickému lékaři.</w:t>
      </w:r>
    </w:p>
    <w:p w:rsidR="006F095F" w:rsidRDefault="006F095F" w:rsidP="006F095F">
      <w:pPr>
        <w:tabs>
          <w:tab w:val="num" w:pos="284"/>
          <w:tab w:val="left" w:pos="709"/>
        </w:tabs>
        <w:ind w:left="0" w:firstLine="0"/>
        <w:jc w:val="both"/>
        <w:rPr>
          <w:szCs w:val="22"/>
          <w:lang w:eastAsia="cs-CZ"/>
        </w:rPr>
      </w:pPr>
      <w:r>
        <w:rPr>
          <w:szCs w:val="22"/>
          <w:lang w:eastAsia="cs-CZ"/>
        </w:rPr>
        <w:t>V případě kontaktu s kůží nebo očima postižené místo opláchněte velkým množstvím vody.</w:t>
      </w:r>
    </w:p>
    <w:p w:rsidR="006F095F" w:rsidRDefault="006F095F" w:rsidP="006F095F">
      <w:pPr>
        <w:tabs>
          <w:tab w:val="num" w:pos="284"/>
          <w:tab w:val="left" w:pos="709"/>
        </w:tabs>
        <w:ind w:left="0" w:firstLine="0"/>
        <w:jc w:val="both"/>
        <w:rPr>
          <w:szCs w:val="22"/>
          <w:lang w:eastAsia="cs-CZ"/>
        </w:rPr>
      </w:pPr>
      <w:r>
        <w:rPr>
          <w:szCs w:val="22"/>
          <w:lang w:eastAsia="cs-CZ"/>
        </w:rPr>
        <w:t>Po použití si umyjte ruce.</w:t>
      </w:r>
    </w:p>
    <w:p w:rsidR="006F095F" w:rsidRDefault="006F095F" w:rsidP="006F095F">
      <w:pPr>
        <w:ind w:left="0" w:firstLine="0"/>
        <w:rPr>
          <w:szCs w:val="22"/>
        </w:rPr>
      </w:pPr>
    </w:p>
    <w:p w:rsidR="006F095F" w:rsidRDefault="006F095F" w:rsidP="006F095F">
      <w:pPr>
        <w:ind w:left="0" w:firstLine="0"/>
        <w:rPr>
          <w:szCs w:val="22"/>
        </w:rPr>
      </w:pPr>
    </w:p>
    <w:p w:rsidR="006F095F" w:rsidRDefault="006F095F" w:rsidP="006F095F">
      <w:pPr>
        <w:rPr>
          <w:szCs w:val="22"/>
          <w:u w:val="single"/>
        </w:rPr>
      </w:pPr>
      <w:r>
        <w:rPr>
          <w:szCs w:val="22"/>
          <w:u w:val="single"/>
        </w:rPr>
        <w:t>Březost a laktace:</w:t>
      </w:r>
    </w:p>
    <w:p w:rsidR="006F095F" w:rsidRDefault="006F095F" w:rsidP="006F095F">
      <w:pPr>
        <w:rPr>
          <w:szCs w:val="22"/>
        </w:rPr>
      </w:pPr>
    </w:p>
    <w:p w:rsidR="006F095F" w:rsidRDefault="006F095F" w:rsidP="006F095F">
      <w:pPr>
        <w:ind w:left="0" w:firstLine="0"/>
        <w:jc w:val="both"/>
        <w:rPr>
          <w:szCs w:val="22"/>
          <w:lang w:eastAsia="en-GB"/>
        </w:rPr>
      </w:pPr>
      <w:r>
        <w:rPr>
          <w:szCs w:val="22"/>
        </w:rPr>
        <w:t xml:space="preserve">Laboratorní studie u potkanů a králíků nepodaly důkaz o teratogenním účinku ani o fetální či </w:t>
      </w:r>
      <w:proofErr w:type="spellStart"/>
      <w:r>
        <w:rPr>
          <w:szCs w:val="22"/>
        </w:rPr>
        <w:t>maternální</w:t>
      </w:r>
      <w:proofErr w:type="spellEnd"/>
      <w:r>
        <w:rPr>
          <w:szCs w:val="22"/>
        </w:rPr>
        <w:t xml:space="preserve"> toxicitě.</w:t>
      </w:r>
    </w:p>
    <w:p w:rsidR="006F095F" w:rsidRDefault="006F095F" w:rsidP="006F095F">
      <w:pPr>
        <w:ind w:left="0" w:firstLine="0"/>
        <w:jc w:val="both"/>
        <w:rPr>
          <w:szCs w:val="22"/>
          <w:lang w:eastAsia="en-GB"/>
        </w:rPr>
      </w:pPr>
    </w:p>
    <w:p w:rsidR="006F095F" w:rsidRDefault="006F095F" w:rsidP="006F095F">
      <w:pPr>
        <w:ind w:left="0" w:firstLine="0"/>
        <w:jc w:val="both"/>
        <w:rPr>
          <w:szCs w:val="22"/>
          <w:lang w:eastAsia="en-GB"/>
        </w:rPr>
      </w:pPr>
      <w:r>
        <w:rPr>
          <w:szCs w:val="22"/>
        </w:rPr>
        <w:t>Byla stanovena bezpečnost veterinárního léčivého přípravku v dávce 2 mg/kg živé hmotnosti u březích krav a sajících telat a selat při použití přípravku u krav a prasnic. Lze použít během březosti a laktace.</w:t>
      </w:r>
    </w:p>
    <w:p w:rsidR="006F095F" w:rsidRDefault="006F095F" w:rsidP="006F095F">
      <w:pPr>
        <w:ind w:left="0" w:firstLine="0"/>
        <w:jc w:val="both"/>
        <w:rPr>
          <w:szCs w:val="22"/>
          <w:lang w:eastAsia="en-GB"/>
        </w:rPr>
      </w:pP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t>Nebyla stanovena bezpečnost veterinárního léčivého přípravku v dávce 8 mg/kg živé hmotnosti u březích krav ani sajících telat při použití přípravku u krav. Tento režim dávkování je tedy nutné používat jen po zvážení poměru terapeutického prospěchu a rizika příslušným veterinárním lékařem.</w:t>
      </w:r>
    </w:p>
    <w:p w:rsidR="006F095F" w:rsidRDefault="006F095F" w:rsidP="006F095F">
      <w:pPr>
        <w:ind w:left="0" w:firstLine="0"/>
        <w:jc w:val="both"/>
        <w:rPr>
          <w:szCs w:val="22"/>
          <w:lang w:eastAsia="en-GB"/>
        </w:rPr>
      </w:pPr>
    </w:p>
    <w:p w:rsidR="006F095F" w:rsidRDefault="006F095F" w:rsidP="006F095F">
      <w:pPr>
        <w:tabs>
          <w:tab w:val="num" w:pos="284"/>
        </w:tabs>
        <w:ind w:left="0" w:firstLine="0"/>
        <w:jc w:val="both"/>
        <w:rPr>
          <w:szCs w:val="22"/>
        </w:rPr>
      </w:pPr>
      <w:r>
        <w:rPr>
          <w:szCs w:val="22"/>
        </w:rPr>
        <w:t>V případě použití u krav v době laktace, viz bod „ochranná lhůta“.</w:t>
      </w:r>
    </w:p>
    <w:p w:rsidR="006F095F" w:rsidRDefault="006F095F" w:rsidP="006F095F">
      <w:pPr>
        <w:ind w:left="0" w:firstLine="0"/>
        <w:rPr>
          <w:szCs w:val="22"/>
        </w:rPr>
      </w:pPr>
    </w:p>
    <w:p w:rsidR="006F095F" w:rsidRDefault="006F095F" w:rsidP="006F095F">
      <w:pPr>
        <w:rPr>
          <w:szCs w:val="22"/>
        </w:rPr>
      </w:pPr>
    </w:p>
    <w:p w:rsidR="006F095F" w:rsidRDefault="006F095F" w:rsidP="006F095F">
      <w:pPr>
        <w:pStyle w:val="Zkladntext"/>
        <w:rPr>
          <w:u w:val="single"/>
        </w:rPr>
      </w:pPr>
      <w:r>
        <w:rPr>
          <w:u w:val="single"/>
        </w:rPr>
        <w:t>Interakce s dalšími léčivými přípravky a další formy interakce:</w:t>
      </w:r>
    </w:p>
    <w:p w:rsidR="006F095F" w:rsidRDefault="006F095F" w:rsidP="006F095F">
      <w:pPr>
        <w:rPr>
          <w:szCs w:val="22"/>
        </w:rPr>
      </w:pPr>
    </w:p>
    <w:p w:rsidR="006F095F" w:rsidRDefault="006F095F" w:rsidP="006F095F">
      <w:pPr>
        <w:tabs>
          <w:tab w:val="num" w:pos="284"/>
        </w:tabs>
        <w:ind w:left="0" w:firstLine="0"/>
        <w:rPr>
          <w:szCs w:val="22"/>
        </w:rPr>
      </w:pPr>
      <w:r>
        <w:rPr>
          <w:szCs w:val="22"/>
        </w:rPr>
        <w:t>Nejsou známy.</w:t>
      </w:r>
    </w:p>
    <w:p w:rsidR="006F095F" w:rsidRDefault="006F095F" w:rsidP="006F095F">
      <w:pPr>
        <w:tabs>
          <w:tab w:val="num" w:pos="284"/>
        </w:tabs>
        <w:ind w:left="0" w:firstLine="0"/>
        <w:rPr>
          <w:szCs w:val="22"/>
        </w:rPr>
      </w:pPr>
    </w:p>
    <w:p w:rsidR="006F095F" w:rsidRDefault="006F095F" w:rsidP="006F095F">
      <w:pPr>
        <w:tabs>
          <w:tab w:val="left" w:pos="708"/>
        </w:tabs>
        <w:ind w:left="0" w:firstLine="0"/>
        <w:rPr>
          <w:szCs w:val="22"/>
        </w:rPr>
      </w:pPr>
    </w:p>
    <w:p w:rsidR="006F095F" w:rsidRDefault="006F095F" w:rsidP="006F095F">
      <w:pPr>
        <w:pStyle w:val="Zkladntext"/>
        <w:ind w:left="0" w:firstLine="0"/>
        <w:rPr>
          <w:u w:val="single"/>
        </w:rPr>
      </w:pPr>
      <w:r>
        <w:rPr>
          <w:u w:val="single"/>
        </w:rPr>
        <w:t xml:space="preserve">Předávkování (symptomy, první pomoc, </w:t>
      </w:r>
      <w:proofErr w:type="spellStart"/>
      <w:r>
        <w:rPr>
          <w:u w:val="single"/>
        </w:rPr>
        <w:t>antidota</w:t>
      </w:r>
      <w:proofErr w:type="spellEnd"/>
      <w:r>
        <w:rPr>
          <w:u w:val="single"/>
        </w:rPr>
        <w:t>):</w:t>
      </w:r>
    </w:p>
    <w:p w:rsidR="006F095F" w:rsidRDefault="006F095F" w:rsidP="006F095F">
      <w:pPr>
        <w:ind w:left="0" w:firstLine="0"/>
        <w:rPr>
          <w:szCs w:val="22"/>
          <w:lang w:eastAsia="en-GB"/>
        </w:rPr>
      </w:pPr>
    </w:p>
    <w:p w:rsidR="006F095F" w:rsidRDefault="006F095F" w:rsidP="006F095F">
      <w:pPr>
        <w:ind w:left="0" w:firstLine="0"/>
        <w:jc w:val="both"/>
        <w:rPr>
          <w:szCs w:val="22"/>
          <w:lang w:eastAsia="sl-SI"/>
        </w:rPr>
      </w:pPr>
      <w:r>
        <w:rPr>
          <w:szCs w:val="22"/>
        </w:rPr>
        <w:t>Po podání 3násobku doporučené dávky nebyly pozorovány žádné příznaky předávkování.</w:t>
      </w:r>
    </w:p>
    <w:p w:rsidR="006F095F" w:rsidRDefault="006F095F" w:rsidP="006F095F">
      <w:pPr>
        <w:ind w:left="0" w:firstLine="0"/>
        <w:jc w:val="both"/>
        <w:rPr>
          <w:szCs w:val="22"/>
          <w:lang w:eastAsia="sl-SI"/>
        </w:rPr>
      </w:pPr>
      <w:r>
        <w:rPr>
          <w:szCs w:val="22"/>
        </w:rPr>
        <w:t>Při překročení dávky se mohou objevit příznaky akutní neurologické poruchy. Tyto příznaky je nutné léčit symptomaticky. Nepřekračujte doporučenou dávku.</w:t>
      </w:r>
    </w:p>
    <w:p w:rsidR="006F095F" w:rsidRDefault="006F095F" w:rsidP="006F095F">
      <w:pPr>
        <w:tabs>
          <w:tab w:val="num" w:pos="284"/>
        </w:tabs>
        <w:ind w:left="0" w:firstLine="0"/>
        <w:jc w:val="both"/>
        <w:rPr>
          <w:szCs w:val="22"/>
        </w:rPr>
      </w:pPr>
    </w:p>
    <w:p w:rsidR="006F095F" w:rsidRDefault="006F095F" w:rsidP="006F095F">
      <w:pPr>
        <w:tabs>
          <w:tab w:val="num" w:pos="284"/>
        </w:tabs>
        <w:ind w:left="0" w:firstLine="0"/>
        <w:jc w:val="both"/>
        <w:rPr>
          <w:szCs w:val="22"/>
        </w:rPr>
      </w:pPr>
    </w:p>
    <w:p w:rsidR="006F095F" w:rsidRDefault="006F095F" w:rsidP="006F095F">
      <w:pPr>
        <w:tabs>
          <w:tab w:val="left" w:pos="708"/>
        </w:tabs>
        <w:ind w:left="0" w:firstLine="0"/>
        <w:rPr>
          <w:szCs w:val="22"/>
          <w:u w:val="single"/>
        </w:rPr>
      </w:pPr>
      <w:r>
        <w:rPr>
          <w:bCs/>
          <w:szCs w:val="22"/>
          <w:u w:val="single"/>
        </w:rPr>
        <w:t>Inkompatibility:</w:t>
      </w:r>
    </w:p>
    <w:p w:rsidR="006F095F" w:rsidRDefault="006F095F" w:rsidP="006F095F">
      <w:pPr>
        <w:tabs>
          <w:tab w:val="left" w:pos="828"/>
          <w:tab w:val="left" w:pos="9286"/>
        </w:tabs>
        <w:ind w:left="0" w:firstLine="0"/>
        <w:jc w:val="both"/>
        <w:rPr>
          <w:szCs w:val="22"/>
        </w:rPr>
      </w:pPr>
    </w:p>
    <w:p w:rsidR="006F095F" w:rsidRDefault="006F095F" w:rsidP="006F095F">
      <w:pPr>
        <w:tabs>
          <w:tab w:val="num" w:pos="284"/>
        </w:tabs>
        <w:ind w:left="0" w:firstLine="0"/>
        <w:jc w:val="both"/>
        <w:rPr>
          <w:szCs w:val="22"/>
        </w:rPr>
      </w:pPr>
      <w:r>
        <w:rPr>
          <w:szCs w:val="22"/>
        </w:rPr>
        <w:t>Studie kompatibility nejsou k dispozici, a proto tento veterinární léčivý přípravek nesmí být mísen s žádnými dalšími veterinárními léčivými přípravky.</w:t>
      </w:r>
    </w:p>
    <w:p w:rsidR="006F095F" w:rsidRDefault="006F095F" w:rsidP="006F095F">
      <w:pPr>
        <w:widowControl w:val="0"/>
        <w:jc w:val="both"/>
        <w:rPr>
          <w:bCs/>
          <w:szCs w:val="22"/>
        </w:rPr>
      </w:pPr>
    </w:p>
    <w:p w:rsidR="006F095F" w:rsidRDefault="006F095F" w:rsidP="006F095F"/>
    <w:p w:rsidR="006F095F" w:rsidRDefault="006F095F" w:rsidP="006F095F"/>
    <w:p w:rsidR="006F095F" w:rsidRDefault="006F095F" w:rsidP="006F095F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6F095F" w:rsidRDefault="006F095F" w:rsidP="006F095F">
      <w:pPr>
        <w:ind w:left="0" w:right="-318" w:firstLine="0"/>
      </w:pPr>
    </w:p>
    <w:p w:rsidR="006F095F" w:rsidRDefault="006F095F" w:rsidP="006F095F">
      <w:pPr>
        <w:tabs>
          <w:tab w:val="num" w:pos="284"/>
        </w:tabs>
        <w:ind w:left="0" w:firstLine="0"/>
        <w:jc w:val="both"/>
        <w:rPr>
          <w:szCs w:val="22"/>
        </w:rPr>
      </w:pPr>
      <w:r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6F095F" w:rsidRDefault="006F095F" w:rsidP="006F095F">
      <w:pPr>
        <w:tabs>
          <w:tab w:val="num" w:pos="284"/>
        </w:tabs>
        <w:ind w:left="0" w:firstLine="0"/>
        <w:jc w:val="both"/>
        <w:rPr>
          <w:szCs w:val="22"/>
        </w:rPr>
      </w:pPr>
      <w:r>
        <w:rPr>
          <w:szCs w:val="22"/>
        </w:rPr>
        <w:t>Léčivé přípravky se nesmí likvidovat prostřednictvím odpadní vody či domovního odpadu.</w:t>
      </w:r>
    </w:p>
    <w:p w:rsidR="006F095F" w:rsidRDefault="006F095F" w:rsidP="006F095F">
      <w:pPr>
        <w:tabs>
          <w:tab w:val="num" w:pos="284"/>
        </w:tabs>
        <w:ind w:left="0" w:firstLine="0"/>
        <w:jc w:val="both"/>
        <w:rPr>
          <w:szCs w:val="22"/>
        </w:rPr>
      </w:pPr>
      <w:r>
        <w:rPr>
          <w:szCs w:val="22"/>
        </w:rPr>
        <w:lastRenderedPageBreak/>
        <w:t>O možnostech likvidace nepotřebných léčivých přípravků se poraďte s vaším veterinárním lékařem nebo lékárníkem. Tato opatření napomáhají chránit životní prostředí.</w:t>
      </w:r>
    </w:p>
    <w:p w:rsidR="006F095F" w:rsidRDefault="006F095F" w:rsidP="006F095F">
      <w:pPr>
        <w:rPr>
          <w:b/>
        </w:rPr>
      </w:pPr>
    </w:p>
    <w:p w:rsidR="006F095F" w:rsidRDefault="006F095F" w:rsidP="006F095F">
      <w:pPr>
        <w:rPr>
          <w:b/>
        </w:rPr>
      </w:pPr>
    </w:p>
    <w:p w:rsidR="006F095F" w:rsidRDefault="006F095F" w:rsidP="006F095F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6F095F" w:rsidRDefault="006F095F" w:rsidP="006F095F">
      <w:pPr>
        <w:ind w:right="-318"/>
      </w:pPr>
    </w:p>
    <w:p w:rsidR="006F095F" w:rsidRDefault="006F095F" w:rsidP="006F095F">
      <w:pPr>
        <w:tabs>
          <w:tab w:val="left" w:pos="708"/>
        </w:tabs>
        <w:ind w:right="-318"/>
        <w:rPr>
          <w:szCs w:val="22"/>
        </w:rPr>
      </w:pPr>
      <w:r>
        <w:rPr>
          <w:szCs w:val="22"/>
        </w:rPr>
        <w:t>Únor 2014</w:t>
      </w:r>
    </w:p>
    <w:p w:rsidR="006F095F" w:rsidRDefault="006F095F" w:rsidP="006F095F">
      <w:pPr>
        <w:ind w:right="-318"/>
      </w:pPr>
    </w:p>
    <w:p w:rsidR="006F095F" w:rsidRDefault="006F095F" w:rsidP="006F095F">
      <w:pPr>
        <w:ind w:right="-318"/>
      </w:pPr>
    </w:p>
    <w:p w:rsidR="006F095F" w:rsidRDefault="006F095F" w:rsidP="006F095F">
      <w:r>
        <w:rPr>
          <w:b/>
        </w:rPr>
        <w:t>15.</w:t>
      </w:r>
      <w:r>
        <w:rPr>
          <w:b/>
        </w:rPr>
        <w:tab/>
        <w:t>DALŠÍ INFORMACE</w:t>
      </w:r>
    </w:p>
    <w:p w:rsidR="006F095F" w:rsidRDefault="006F095F" w:rsidP="006F095F"/>
    <w:p w:rsidR="006F095F" w:rsidRDefault="006F095F" w:rsidP="006F095F">
      <w:pPr>
        <w:tabs>
          <w:tab w:val="left" w:pos="708"/>
        </w:tabs>
        <w:rPr>
          <w:szCs w:val="22"/>
        </w:rPr>
      </w:pPr>
    </w:p>
    <w:p w:rsidR="006F095F" w:rsidRDefault="006F095F" w:rsidP="006F095F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>Injekční lahvičky o obsahu 100 ml a 250 ml.</w:t>
      </w:r>
    </w:p>
    <w:p w:rsidR="006F095F" w:rsidRDefault="006F095F" w:rsidP="006F095F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>Lahvičky jsou jednotlivě baleny v papírové skládačce.</w:t>
      </w:r>
    </w:p>
    <w:p w:rsidR="006F095F" w:rsidRDefault="006F095F" w:rsidP="006F095F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 xml:space="preserve">Klinické balení obsahuje šest, deset nebo dvanáct lahviček. </w:t>
      </w:r>
    </w:p>
    <w:p w:rsidR="006F095F" w:rsidRDefault="006F095F" w:rsidP="006F095F">
      <w:pPr>
        <w:tabs>
          <w:tab w:val="left" w:pos="567"/>
        </w:tabs>
        <w:jc w:val="both"/>
        <w:rPr>
          <w:szCs w:val="22"/>
        </w:rPr>
      </w:pPr>
    </w:p>
    <w:p w:rsidR="006F095F" w:rsidRDefault="006F095F" w:rsidP="006F095F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>Na trhu nemusí být všechny velikosti balení.</w:t>
      </w:r>
    </w:p>
    <w:p w:rsidR="006F095F" w:rsidRDefault="006F095F" w:rsidP="006F095F">
      <w:pPr>
        <w:ind w:right="-2"/>
      </w:pPr>
    </w:p>
    <w:p w:rsidR="006F095F" w:rsidRDefault="006F095F" w:rsidP="006F095F">
      <w:pPr>
        <w:ind w:right="-2"/>
      </w:pPr>
      <w:r>
        <w:t>Veterinární léčivý přípravek je vydáván pouze na předpis.</w:t>
      </w:r>
    </w:p>
    <w:p w:rsidR="006F095F" w:rsidRDefault="006F095F" w:rsidP="006F095F">
      <w:pPr>
        <w:ind w:right="-2"/>
      </w:pPr>
    </w:p>
    <w:p w:rsidR="006F095F" w:rsidRDefault="006F095F" w:rsidP="006F095F">
      <w:pPr>
        <w:ind w:right="-2"/>
      </w:pPr>
    </w:p>
    <w:p w:rsidR="006F095F" w:rsidRDefault="006F095F" w:rsidP="006F095F">
      <w:pPr>
        <w:ind w:left="0" w:firstLine="0"/>
        <w:rPr>
          <w:b/>
        </w:rPr>
      </w:pPr>
      <w:r>
        <w:rPr>
          <w:b/>
        </w:rPr>
        <w:t>Farmakodynamické vlastnosti</w:t>
      </w:r>
    </w:p>
    <w:p w:rsidR="006F095F" w:rsidRDefault="006F095F" w:rsidP="006F095F">
      <w:pPr>
        <w:ind w:left="0" w:firstLine="0"/>
      </w:pPr>
    </w:p>
    <w:p w:rsidR="006F095F" w:rsidRDefault="006F095F" w:rsidP="006F095F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t>Marbofloxacin</w:t>
      </w:r>
      <w:proofErr w:type="spellEnd"/>
      <w:r>
        <w:rPr>
          <w:szCs w:val="22"/>
        </w:rPr>
        <w:t xml:space="preserve"> je syntetické baktericidní </w:t>
      </w:r>
      <w:proofErr w:type="spellStart"/>
      <w:r>
        <w:rPr>
          <w:szCs w:val="22"/>
        </w:rPr>
        <w:t>antimikrobikum</w:t>
      </w:r>
      <w:proofErr w:type="spellEnd"/>
      <w:r>
        <w:rPr>
          <w:szCs w:val="22"/>
        </w:rPr>
        <w:t xml:space="preserve"> ze skupiny </w:t>
      </w:r>
      <w:proofErr w:type="spellStart"/>
      <w:r>
        <w:rPr>
          <w:szCs w:val="22"/>
        </w:rPr>
        <w:t>fluorochinolonů</w:t>
      </w:r>
      <w:proofErr w:type="spellEnd"/>
      <w:r>
        <w:rPr>
          <w:szCs w:val="22"/>
        </w:rPr>
        <w:t xml:space="preserve">, které působí prostřednictvím inhibice DNA </w:t>
      </w:r>
      <w:proofErr w:type="spellStart"/>
      <w:r>
        <w:rPr>
          <w:szCs w:val="22"/>
        </w:rPr>
        <w:t>gyrázy</w:t>
      </w:r>
      <w:proofErr w:type="spellEnd"/>
      <w:r>
        <w:rPr>
          <w:szCs w:val="22"/>
        </w:rPr>
        <w:t>. Má široké spektrum aktivity in vitro na gramnegativní bakterie (</w:t>
      </w:r>
      <w:r>
        <w:rPr>
          <w:i/>
          <w:szCs w:val="22"/>
        </w:rPr>
        <w:t xml:space="preserve">E. </w:t>
      </w:r>
      <w:proofErr w:type="gramStart"/>
      <w:r>
        <w:rPr>
          <w:i/>
          <w:szCs w:val="22"/>
        </w:rPr>
        <w:t>coli</w:t>
      </w:r>
      <w:proofErr w:type="gramEnd"/>
      <w:r>
        <w:rPr>
          <w:szCs w:val="22"/>
        </w:rPr>
        <w:t>,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Histophilus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somni</w:t>
      </w:r>
      <w:proofErr w:type="spellEnd"/>
      <w:r>
        <w:rPr>
          <w:szCs w:val="22"/>
        </w:rPr>
        <w:t>,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Mannheimia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haemolytica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 xml:space="preserve">a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rPr>
          <w:szCs w:val="22"/>
        </w:rPr>
        <w:t xml:space="preserve">) a na </w:t>
      </w:r>
      <w:proofErr w:type="spellStart"/>
      <w:r>
        <w:rPr>
          <w:szCs w:val="22"/>
        </w:rPr>
        <w:t>mykoplasmy</w:t>
      </w:r>
      <w:proofErr w:type="spellEnd"/>
      <w:r>
        <w:rPr>
          <w:szCs w:val="22"/>
        </w:rPr>
        <w:t xml:space="preserve"> (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bovis</w:t>
      </w:r>
      <w:proofErr w:type="spellEnd"/>
      <w:r>
        <w:rPr>
          <w:szCs w:val="22"/>
        </w:rPr>
        <w:t xml:space="preserve">). Může se objevit rezistence na bakterie z rodu </w:t>
      </w:r>
      <w:proofErr w:type="spellStart"/>
      <w:r>
        <w:rPr>
          <w:i/>
          <w:szCs w:val="22"/>
        </w:rPr>
        <w:t>Streptococcus</w:t>
      </w:r>
      <w:proofErr w:type="spellEnd"/>
      <w:r>
        <w:rPr>
          <w:szCs w:val="22"/>
        </w:rPr>
        <w:t xml:space="preserve">. </w:t>
      </w:r>
    </w:p>
    <w:p w:rsidR="006F095F" w:rsidRDefault="006F095F" w:rsidP="006F095F">
      <w:pPr>
        <w:ind w:left="0" w:firstLine="0"/>
        <w:jc w:val="both"/>
        <w:rPr>
          <w:szCs w:val="22"/>
        </w:rPr>
      </w:pP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t xml:space="preserve">Kmeny s hodnotami MIC ≤ 1 µg/ml jsou citlivé na </w:t>
      </w:r>
      <w:proofErr w:type="spellStart"/>
      <w:r>
        <w:rPr>
          <w:szCs w:val="22"/>
        </w:rPr>
        <w:t>marbofloxacin</w:t>
      </w:r>
      <w:proofErr w:type="spellEnd"/>
      <w:r>
        <w:rPr>
          <w:szCs w:val="22"/>
        </w:rPr>
        <w:t xml:space="preserve">, kdežto kmeny s hodnotami MIC ≥ 4 µg/ml jsou na </w:t>
      </w:r>
      <w:proofErr w:type="spellStart"/>
      <w:r>
        <w:rPr>
          <w:szCs w:val="22"/>
        </w:rPr>
        <w:t>marbofloxacin</w:t>
      </w:r>
      <w:proofErr w:type="spellEnd"/>
      <w:r>
        <w:rPr>
          <w:szCs w:val="22"/>
        </w:rPr>
        <w:t xml:space="preserve"> rezistentní.</w:t>
      </w:r>
    </w:p>
    <w:p w:rsidR="006F095F" w:rsidRDefault="006F095F" w:rsidP="006F095F">
      <w:pPr>
        <w:ind w:left="0" w:firstLine="0"/>
        <w:rPr>
          <w:szCs w:val="22"/>
        </w:rPr>
      </w:pPr>
    </w:p>
    <w:p w:rsidR="006F095F" w:rsidRDefault="006F095F" w:rsidP="006F095F">
      <w:pPr>
        <w:ind w:left="0" w:firstLine="0"/>
        <w:jc w:val="both"/>
        <w:rPr>
          <w:szCs w:val="22"/>
        </w:rPr>
      </w:pPr>
      <w:r>
        <w:rPr>
          <w:szCs w:val="22"/>
        </w:rPr>
        <w:t xml:space="preserve">Rezistence na </w:t>
      </w:r>
      <w:proofErr w:type="spellStart"/>
      <w:r>
        <w:rPr>
          <w:szCs w:val="22"/>
        </w:rPr>
        <w:t>fluorochinolony</w:t>
      </w:r>
      <w:proofErr w:type="spellEnd"/>
      <w:r>
        <w:rPr>
          <w:szCs w:val="22"/>
        </w:rPr>
        <w:t xml:space="preserve"> vzniká chromozomální mutací třemi mechanismy: poklesem permeability buněčné stěny, expresí </w:t>
      </w:r>
      <w:proofErr w:type="spellStart"/>
      <w:r>
        <w:rPr>
          <w:szCs w:val="22"/>
        </w:rPr>
        <w:t>efluxní</w:t>
      </w:r>
      <w:proofErr w:type="spellEnd"/>
      <w:r>
        <w:rPr>
          <w:szCs w:val="22"/>
        </w:rPr>
        <w:t xml:space="preserve"> pumpy nebo mutací enzymů odpovědných za vazbu molekuly.</w:t>
      </w:r>
    </w:p>
    <w:p w:rsidR="006F095F" w:rsidRDefault="006F095F" w:rsidP="006F095F">
      <w:pPr>
        <w:ind w:left="0" w:firstLine="0"/>
      </w:pPr>
    </w:p>
    <w:p w:rsidR="006F095F" w:rsidRDefault="006F095F" w:rsidP="006F095F">
      <w:pPr>
        <w:ind w:left="0" w:firstLine="0"/>
      </w:pPr>
    </w:p>
    <w:p w:rsidR="006F095F" w:rsidRDefault="006F095F" w:rsidP="006F095F">
      <w:pPr>
        <w:ind w:left="0" w:firstLine="0"/>
      </w:pPr>
      <w:r>
        <w:rPr>
          <w:b/>
        </w:rPr>
        <w:t>Farmakokinetické údaje</w:t>
      </w:r>
    </w:p>
    <w:p w:rsidR="006F095F" w:rsidRDefault="006F095F" w:rsidP="006F095F">
      <w:pPr>
        <w:tabs>
          <w:tab w:val="left" w:pos="567"/>
        </w:tabs>
        <w:ind w:left="0" w:firstLine="0"/>
        <w:rPr>
          <w:b/>
          <w:szCs w:val="22"/>
        </w:rPr>
      </w:pPr>
    </w:p>
    <w:p w:rsidR="006F095F" w:rsidRDefault="006F095F" w:rsidP="006F095F">
      <w:pPr>
        <w:tabs>
          <w:tab w:val="left" w:pos="0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Po subkutánní nebo intramuskulární aplikaci u skotu a intramuskulární aplikaci u prasat v doporučené dávce 2 mg/kg ž. </w:t>
      </w:r>
      <w:proofErr w:type="gramStart"/>
      <w:r>
        <w:rPr>
          <w:szCs w:val="22"/>
        </w:rPr>
        <w:t>hm</w:t>
      </w:r>
      <w:proofErr w:type="gramEnd"/>
      <w:r>
        <w:rPr>
          <w:szCs w:val="22"/>
        </w:rPr>
        <w:t xml:space="preserve">. je </w:t>
      </w:r>
      <w:proofErr w:type="spellStart"/>
      <w:r>
        <w:rPr>
          <w:szCs w:val="22"/>
        </w:rPr>
        <w:t>marbofloxacin</w:t>
      </w:r>
      <w:proofErr w:type="spellEnd"/>
      <w:r>
        <w:rPr>
          <w:szCs w:val="22"/>
        </w:rPr>
        <w:t xml:space="preserve"> snadno absorbován a maximálních plazmatických koncentrací 1,5 µg/ml dosahuje za méně než 1 hodinu. Jeho biologická dostupnost je téměř 100 %.</w:t>
      </w:r>
    </w:p>
    <w:p w:rsidR="006F095F" w:rsidRDefault="006F095F" w:rsidP="006F095F">
      <w:pPr>
        <w:tabs>
          <w:tab w:val="left" w:pos="0"/>
        </w:tabs>
        <w:ind w:left="0" w:firstLine="0"/>
        <w:rPr>
          <w:szCs w:val="22"/>
        </w:rPr>
      </w:pPr>
    </w:p>
    <w:p w:rsidR="006F095F" w:rsidRDefault="006F095F" w:rsidP="006F095F">
      <w:pPr>
        <w:tabs>
          <w:tab w:val="left" w:pos="0"/>
        </w:tabs>
        <w:ind w:left="0" w:firstLine="0"/>
        <w:jc w:val="both"/>
        <w:rPr>
          <w:szCs w:val="22"/>
        </w:rPr>
      </w:pPr>
      <w:r>
        <w:rPr>
          <w:szCs w:val="22"/>
        </w:rPr>
        <w:t>Slabě se váže na plazmatické bílkoviny (méně než 10 % u prasat a 30 % u skotu), je široce distribuován a ve většině tkání (v játrech, ledvinách, kůži, plicích, močovém měchýři, děloze, trávicím traktu) dosahuje vyšších koncentrací než v plazmě.</w:t>
      </w:r>
    </w:p>
    <w:p w:rsidR="006F095F" w:rsidRDefault="006F095F" w:rsidP="006F095F">
      <w:pPr>
        <w:tabs>
          <w:tab w:val="left" w:pos="0"/>
        </w:tabs>
        <w:ind w:left="0" w:firstLine="0"/>
        <w:jc w:val="both"/>
        <w:rPr>
          <w:szCs w:val="22"/>
        </w:rPr>
      </w:pPr>
    </w:p>
    <w:p w:rsidR="006F095F" w:rsidRDefault="006F095F" w:rsidP="006F095F">
      <w:pPr>
        <w:tabs>
          <w:tab w:val="left" w:pos="0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U skotu se </w:t>
      </w:r>
      <w:proofErr w:type="spellStart"/>
      <w:r>
        <w:rPr>
          <w:szCs w:val="22"/>
        </w:rPr>
        <w:t>marbofloxacin</w:t>
      </w:r>
      <w:proofErr w:type="spellEnd"/>
      <w:r>
        <w:rPr>
          <w:szCs w:val="22"/>
        </w:rPr>
        <w:t xml:space="preserve"> pomalu vylučuje u </w:t>
      </w:r>
      <w:proofErr w:type="spellStart"/>
      <w:r>
        <w:rPr>
          <w:szCs w:val="22"/>
        </w:rPr>
        <w:t>neruminujících</w:t>
      </w:r>
      <w:proofErr w:type="spellEnd"/>
      <w:r>
        <w:rPr>
          <w:szCs w:val="22"/>
        </w:rPr>
        <w:t xml:space="preserve"> telat (t½β = 5–9 h), ale rychleji u </w:t>
      </w:r>
      <w:proofErr w:type="spellStart"/>
      <w:r>
        <w:rPr>
          <w:szCs w:val="22"/>
        </w:rPr>
        <w:t>ruminujícího</w:t>
      </w:r>
      <w:proofErr w:type="spellEnd"/>
      <w:r>
        <w:rPr>
          <w:szCs w:val="22"/>
        </w:rPr>
        <w:t xml:space="preserve"> skotu (t½β = 4–7 h), převážně v aktivní formě v moči (3/4 u </w:t>
      </w:r>
      <w:proofErr w:type="spellStart"/>
      <w:r>
        <w:rPr>
          <w:szCs w:val="22"/>
        </w:rPr>
        <w:t>neruminujících</w:t>
      </w:r>
      <w:proofErr w:type="spellEnd"/>
      <w:r>
        <w:rPr>
          <w:szCs w:val="22"/>
        </w:rPr>
        <w:t xml:space="preserve"> telat, 1/2 u </w:t>
      </w:r>
      <w:proofErr w:type="spellStart"/>
      <w:r>
        <w:rPr>
          <w:szCs w:val="22"/>
        </w:rPr>
        <w:t>ruminujícího</w:t>
      </w:r>
      <w:proofErr w:type="spellEnd"/>
      <w:r>
        <w:rPr>
          <w:szCs w:val="22"/>
        </w:rPr>
        <w:t xml:space="preserve"> skotu) a trusu (1/4 u </w:t>
      </w:r>
      <w:proofErr w:type="spellStart"/>
      <w:r>
        <w:rPr>
          <w:szCs w:val="22"/>
        </w:rPr>
        <w:t>neruminujících</w:t>
      </w:r>
      <w:proofErr w:type="spellEnd"/>
      <w:r>
        <w:rPr>
          <w:szCs w:val="22"/>
        </w:rPr>
        <w:t xml:space="preserve"> telat, 1/2 u </w:t>
      </w:r>
      <w:proofErr w:type="spellStart"/>
      <w:r>
        <w:rPr>
          <w:szCs w:val="22"/>
        </w:rPr>
        <w:t>ruminujícího</w:t>
      </w:r>
      <w:proofErr w:type="spellEnd"/>
      <w:r>
        <w:rPr>
          <w:szCs w:val="22"/>
        </w:rPr>
        <w:t xml:space="preserve"> skotu).</w:t>
      </w:r>
    </w:p>
    <w:p w:rsidR="006F095F" w:rsidRDefault="006F095F" w:rsidP="006F095F">
      <w:pPr>
        <w:tabs>
          <w:tab w:val="left" w:pos="0"/>
        </w:tabs>
        <w:ind w:left="0" w:firstLine="0"/>
        <w:jc w:val="both"/>
        <w:rPr>
          <w:szCs w:val="22"/>
        </w:rPr>
      </w:pPr>
    </w:p>
    <w:p w:rsidR="006F095F" w:rsidRDefault="006F095F" w:rsidP="006F095F">
      <w:pPr>
        <w:tabs>
          <w:tab w:val="left" w:pos="0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Po jednorázové intramuskulární aplikaci u skotu v doporučené dávce 8 mg/kg ž. </w:t>
      </w:r>
      <w:proofErr w:type="gramStart"/>
      <w:r>
        <w:rPr>
          <w:szCs w:val="22"/>
        </w:rPr>
        <w:t>hm</w:t>
      </w:r>
      <w:proofErr w:type="gramEnd"/>
      <w:r>
        <w:rPr>
          <w:szCs w:val="22"/>
        </w:rPr>
        <w:t>.</w:t>
      </w:r>
      <w:proofErr w:type="gramStart"/>
      <w:r>
        <w:rPr>
          <w:szCs w:val="22"/>
        </w:rPr>
        <w:t>je</w:t>
      </w:r>
      <w:proofErr w:type="gramEnd"/>
      <w:r>
        <w:rPr>
          <w:szCs w:val="22"/>
        </w:rPr>
        <w:t xml:space="preserve"> maximální plazmatické koncentrace </w:t>
      </w:r>
      <w:proofErr w:type="spellStart"/>
      <w:r>
        <w:rPr>
          <w:szCs w:val="22"/>
        </w:rPr>
        <w:t>marbofloxacinu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Cmax</w:t>
      </w:r>
      <w:proofErr w:type="spellEnd"/>
      <w:r>
        <w:rPr>
          <w:szCs w:val="22"/>
        </w:rPr>
        <w:t>) 7,3 µg/ml dosaženo za 0,78 hodiny (</w:t>
      </w:r>
      <w:proofErr w:type="spellStart"/>
      <w:r>
        <w:rPr>
          <w:szCs w:val="22"/>
        </w:rPr>
        <w:t>Tmax</w:t>
      </w:r>
      <w:proofErr w:type="spellEnd"/>
      <w:r>
        <w:rPr>
          <w:szCs w:val="22"/>
        </w:rPr>
        <w:t xml:space="preserve">). </w:t>
      </w:r>
      <w:proofErr w:type="spellStart"/>
      <w:r>
        <w:rPr>
          <w:szCs w:val="22"/>
        </w:rPr>
        <w:t>Marbofloxacin</w:t>
      </w:r>
      <w:proofErr w:type="spellEnd"/>
      <w:r>
        <w:rPr>
          <w:szCs w:val="22"/>
        </w:rPr>
        <w:t xml:space="preserve"> je odbouráván pomalu (T1/2 </w:t>
      </w:r>
      <w:proofErr w:type="spellStart"/>
      <w:r>
        <w:rPr>
          <w:szCs w:val="22"/>
        </w:rPr>
        <w:t>konc</w:t>
      </w:r>
      <w:proofErr w:type="spellEnd"/>
      <w:r>
        <w:rPr>
          <w:szCs w:val="22"/>
        </w:rPr>
        <w:t>. = 15,60 hodiny).</w:t>
      </w:r>
    </w:p>
    <w:p w:rsidR="006F095F" w:rsidRDefault="006F095F" w:rsidP="006F095F">
      <w:pPr>
        <w:tabs>
          <w:tab w:val="left" w:pos="0"/>
        </w:tabs>
        <w:ind w:left="0" w:firstLine="0"/>
        <w:jc w:val="both"/>
        <w:rPr>
          <w:szCs w:val="22"/>
        </w:rPr>
      </w:pPr>
    </w:p>
    <w:p w:rsidR="006F095F" w:rsidRDefault="006F095F" w:rsidP="006F095F">
      <w:pPr>
        <w:tabs>
          <w:tab w:val="left" w:pos="0"/>
        </w:tabs>
        <w:ind w:left="0" w:firstLine="0"/>
        <w:jc w:val="both"/>
        <w:rPr>
          <w:szCs w:val="22"/>
        </w:rPr>
      </w:pPr>
      <w:r>
        <w:rPr>
          <w:szCs w:val="22"/>
        </w:rPr>
        <w:lastRenderedPageBreak/>
        <w:t xml:space="preserve">Po intramuskulární aplikaci u krav v laktaci se dosahuje maximální koncentrace </w:t>
      </w:r>
      <w:proofErr w:type="spellStart"/>
      <w:r>
        <w:rPr>
          <w:szCs w:val="22"/>
        </w:rPr>
        <w:t>marbofloxacinu</w:t>
      </w:r>
      <w:proofErr w:type="spellEnd"/>
      <w:r>
        <w:rPr>
          <w:szCs w:val="22"/>
        </w:rPr>
        <w:t xml:space="preserve"> v mléce 1,02 µg/ml. (</w:t>
      </w:r>
      <w:proofErr w:type="spellStart"/>
      <w:r>
        <w:rPr>
          <w:szCs w:val="22"/>
        </w:rPr>
        <w:t>Cmax</w:t>
      </w:r>
      <w:proofErr w:type="spellEnd"/>
      <w:r>
        <w:rPr>
          <w:szCs w:val="22"/>
        </w:rPr>
        <w:t xml:space="preserve"> po první aplikaci) za 2,5 hodiny (</w:t>
      </w:r>
      <w:proofErr w:type="spellStart"/>
      <w:r>
        <w:rPr>
          <w:szCs w:val="22"/>
        </w:rPr>
        <w:t>Tmax</w:t>
      </w:r>
      <w:proofErr w:type="spellEnd"/>
      <w:r>
        <w:rPr>
          <w:szCs w:val="22"/>
        </w:rPr>
        <w:t xml:space="preserve"> po první aplikaci).</w:t>
      </w:r>
    </w:p>
    <w:p w:rsidR="006F095F" w:rsidRDefault="006F095F" w:rsidP="006F095F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</w:p>
    <w:p w:rsidR="006F095F" w:rsidRDefault="006F095F" w:rsidP="006F095F">
      <w:pPr>
        <w:tabs>
          <w:tab w:val="left" w:pos="0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U prasat se </w:t>
      </w:r>
      <w:proofErr w:type="spellStart"/>
      <w:r>
        <w:rPr>
          <w:szCs w:val="22"/>
        </w:rPr>
        <w:t>marbofloxacin</w:t>
      </w:r>
      <w:proofErr w:type="spellEnd"/>
      <w:r>
        <w:rPr>
          <w:szCs w:val="22"/>
        </w:rPr>
        <w:t xml:space="preserve"> vylučuje pomalu (t½β = 8–10 h), převážně v aktivní formě v moči (2/3) a trusu (1/3).</w:t>
      </w:r>
    </w:p>
    <w:p w:rsidR="006F095F" w:rsidRDefault="006F095F" w:rsidP="006F095F">
      <w:pPr>
        <w:tabs>
          <w:tab w:val="left" w:pos="567"/>
          <w:tab w:val="left" w:pos="1701"/>
        </w:tabs>
        <w:ind w:left="0" w:firstLine="0"/>
        <w:rPr>
          <w:szCs w:val="22"/>
        </w:rPr>
      </w:pPr>
    </w:p>
    <w:p w:rsidR="006F095F" w:rsidRDefault="006F095F" w:rsidP="006F095F">
      <w:pPr>
        <w:rPr>
          <w:noProof/>
        </w:rPr>
      </w:pPr>
    </w:p>
    <w:p w:rsidR="003C6E87" w:rsidRDefault="003C6E87"/>
    <w:sectPr w:rsidR="003C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3F"/>
    <w:rsid w:val="002A5B3F"/>
    <w:rsid w:val="003C6E87"/>
    <w:rsid w:val="006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95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F09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95F"/>
    <w:rPr>
      <w:rFonts w:ascii="Times New Roman" w:eastAsia="Times New Roman" w:hAnsi="Times New Roman" w:cs="Times New Roman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F095F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F095F"/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6F095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F095F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uiPriority w:val="99"/>
    <w:semiHidden/>
    <w:unhideWhenUsed/>
    <w:rsid w:val="006F095F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9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95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F09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95F"/>
    <w:rPr>
      <w:rFonts w:ascii="Times New Roman" w:eastAsia="Times New Roman" w:hAnsi="Times New Roman" w:cs="Times New Roman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F095F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F095F"/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6F095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F095F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uiPriority w:val="99"/>
    <w:semiHidden/>
    <w:unhideWhenUsed/>
    <w:rsid w:val="006F095F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1440</Words>
  <Characters>8502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3</cp:revision>
  <dcterms:created xsi:type="dcterms:W3CDTF">2014-04-10T06:42:00Z</dcterms:created>
  <dcterms:modified xsi:type="dcterms:W3CDTF">2014-04-10T06:42:00Z</dcterms:modified>
</cp:coreProperties>
</file>