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8C" w:rsidRDefault="00EA408C" w:rsidP="00EA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13"/>
        <w:jc w:val="center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PŘÍBALOVÁ INFORMACE</w:t>
      </w:r>
    </w:p>
    <w:p w:rsidR="00EA408C" w:rsidRDefault="00EA408C" w:rsidP="00EA408C">
      <w:pPr>
        <w:ind w:right="113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Book Antiqua" w:hAnsi="Book Antiqua" w:cs="Times New Roman"/>
          <w:b/>
          <w:szCs w:val="24"/>
          <w:lang w:val="cs-CZ" w:bidi="he-IL"/>
        </w:rPr>
        <w:t xml:space="preserve">Pharmasin </w:t>
      </w:r>
      <w:r>
        <w:rPr>
          <w:rFonts w:ascii="Times New Roman" w:hAnsi="Times New Roman" w:cs="Times New Roman"/>
          <w:b/>
          <w:szCs w:val="24"/>
          <w:lang w:val="cs-CZ" w:bidi="he-IL"/>
        </w:rPr>
        <w:t>20 mg/g granule pro prasata</w:t>
      </w: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JMÉNO A ADRESA DRŽITELE ROZHODNUTÍ O REGISTRACI A DRŽITELE POVOLENÍ K VÝROBĚ ODPOVĚDNÉHO ZA UVOLNĚNÍ ŠARŽE, POKUD SE NESHODUJE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Držitel rozhodnutí o registraci</w:t>
      </w:r>
    </w:p>
    <w:p w:rsidR="00EA408C" w:rsidRDefault="00EA408C" w:rsidP="00EA40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Huvepharma NV, Uitbreidingstraat 80, 2600 Antverpy, Belgie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u w:val="single"/>
          <w:lang w:val="cs-CZ" w:bidi="he-IL"/>
        </w:rPr>
      </w:pPr>
      <w:r>
        <w:rPr>
          <w:rFonts w:ascii="Times New Roman" w:hAnsi="Times New Roman" w:cs="Times New Roman"/>
          <w:szCs w:val="24"/>
          <w:u w:val="single"/>
          <w:lang w:val="cs-CZ" w:bidi="he-IL"/>
        </w:rPr>
        <w:t>Výrobce odpovědný za uvolnění šarže: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u w:val="single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Biovet JSC, 39 Petar Rakov Str, 4550 Peshtera - Bulharsko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 xml:space="preserve">2. 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NÁZEV VETERINÁRNÍHO LÉČIVÉHO PŘÍPRAVKU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caps/>
          <w:szCs w:val="24"/>
          <w:lang w:val="cs-CZ" w:bidi="he-IL"/>
        </w:rPr>
        <w:t>Pharmasin</w:t>
      </w:r>
      <w:r>
        <w:rPr>
          <w:rFonts w:ascii="Times New Roman" w:hAnsi="Times New Roman" w:cs="Times New Roman"/>
          <w:b/>
          <w:szCs w:val="24"/>
          <w:vertAlign w:val="superscript"/>
          <w:lang w:val="cs-CZ" w:bidi="he-IL"/>
        </w:rPr>
        <w:t xml:space="preserve"> </w:t>
      </w:r>
      <w:r>
        <w:rPr>
          <w:rFonts w:ascii="Times New Roman" w:hAnsi="Times New Roman" w:cs="Times New Roman"/>
          <w:b/>
          <w:szCs w:val="24"/>
          <w:lang w:val="cs-CZ" w:bidi="he-IL"/>
        </w:rPr>
        <w:t xml:space="preserve">20 mg/g granule </w:t>
      </w:r>
      <w:r>
        <w:rPr>
          <w:rFonts w:ascii="Times New Roman" w:hAnsi="Times New Roman" w:cs="Times New Roman"/>
          <w:szCs w:val="24"/>
          <w:lang w:val="cs-CZ" w:bidi="he-IL"/>
        </w:rPr>
        <w:t>pro prasata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Tylosinum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3.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OBSAH LÉČIVÝCH A OSTATNÍCH LÁTEK</w:t>
      </w:r>
    </w:p>
    <w:p w:rsidR="00EA408C" w:rsidRDefault="00EA408C" w:rsidP="00EA40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1 g obsahuje:</w:t>
      </w:r>
    </w:p>
    <w:p w:rsidR="00EA408C" w:rsidRDefault="00EA408C" w:rsidP="00EA408C">
      <w:pPr>
        <w:keepNext/>
        <w:keepLines/>
        <w:spacing w:before="240" w:after="120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u w:val="single"/>
          <w:lang w:val="cs-CZ" w:bidi="he-IL"/>
        </w:rPr>
        <w:t>Léčivá látka:</w:t>
      </w:r>
    </w:p>
    <w:p w:rsidR="00EA408C" w:rsidRDefault="00EA408C" w:rsidP="00EA408C">
      <w:pPr>
        <w:keepNext/>
        <w:keepLines/>
        <w:spacing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Tylosinum (ut Tylosini phosphas): 20 mg (odpovídá 20 000 IU)</w:t>
      </w:r>
    </w:p>
    <w:p w:rsidR="00EA408C" w:rsidRDefault="00EA408C" w:rsidP="00EA40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Světle hnědé sypké granule.</w:t>
      </w:r>
    </w:p>
    <w:p w:rsidR="00EA408C" w:rsidRDefault="00EA408C" w:rsidP="00EA408C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4.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INDIKACE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Prasata: Léčba a prevence klinických příznaků proliferativní enteritidy prasat (intestinální  adenomatózy, proliferativní hemorhagické enteropatie, ileitidy prasat) vyvolané L</w:t>
      </w:r>
      <w:r>
        <w:rPr>
          <w:rFonts w:ascii="Times New Roman" w:hAnsi="Times New Roman" w:cs="Times New Roman"/>
          <w:i/>
          <w:szCs w:val="24"/>
          <w:lang w:val="cs-CZ" w:bidi="he-IL"/>
        </w:rPr>
        <w:t>awsonia intracellularis</w:t>
      </w:r>
      <w:r>
        <w:rPr>
          <w:rFonts w:ascii="Times New Roman" w:hAnsi="Times New Roman" w:cs="Times New Roman"/>
          <w:szCs w:val="24"/>
          <w:lang w:val="cs-CZ" w:bidi="he-IL"/>
        </w:rPr>
        <w:t>, jestliže bylo onemocnění diagnostikováno ve stádě.</w:t>
      </w:r>
    </w:p>
    <w:p w:rsidR="00EA408C" w:rsidRDefault="00EA408C" w:rsidP="00EA408C">
      <w:pPr>
        <w:jc w:val="both"/>
        <w:rPr>
          <w:rFonts w:ascii="Times New Roman" w:hAnsi="Times New Roman" w:cs="Times New Roman"/>
          <w:i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 xml:space="preserve">5. 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KONTRAINDIKACE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58"/>
      </w:tblGrid>
      <w:tr w:rsidR="00EA408C" w:rsidTr="00EA408C">
        <w:tc>
          <w:tcPr>
            <w:tcW w:w="8458" w:type="dxa"/>
          </w:tcPr>
          <w:p w:rsidR="00EA408C" w:rsidRDefault="00EA408C">
            <w:pPr>
              <w:rPr>
                <w:rFonts w:ascii="Times New Roman" w:hAnsi="Times New Roman" w:cs="Times New Roman"/>
                <w:szCs w:val="24"/>
                <w:lang w:val="cs-CZ" w:bidi="he-IL"/>
              </w:rPr>
            </w:pPr>
          </w:p>
          <w:p w:rsidR="00EA408C" w:rsidRDefault="00EA408C">
            <w:pPr>
              <w:rPr>
                <w:rFonts w:ascii="Times New Roman" w:hAnsi="Times New Roman" w:cs="Times New Roman"/>
                <w:szCs w:val="24"/>
                <w:lang w:val="cs-CZ" w:bidi="he-IL"/>
              </w:rPr>
            </w:pPr>
            <w:r>
              <w:rPr>
                <w:rFonts w:ascii="Times New Roman" w:hAnsi="Times New Roman" w:cs="Times New Roman"/>
                <w:szCs w:val="24"/>
                <w:lang w:val="cs-CZ" w:bidi="he-IL"/>
              </w:rPr>
              <w:t>Nepoužívat v případě přecitlivělosti na léčivou(é) látku(y), nebo na některou z pomocných látek.</w:t>
            </w:r>
          </w:p>
          <w:p w:rsidR="00EA408C" w:rsidRDefault="00EA408C">
            <w:pPr>
              <w:rPr>
                <w:rFonts w:ascii="Times New Roman" w:hAnsi="Times New Roman" w:cs="Times New Roman"/>
                <w:szCs w:val="24"/>
                <w:lang w:val="cs-CZ" w:bidi="he-IL"/>
              </w:rPr>
            </w:pPr>
            <w:r>
              <w:rPr>
                <w:rFonts w:ascii="Times New Roman" w:hAnsi="Times New Roman" w:cs="Times New Roman"/>
                <w:szCs w:val="24"/>
                <w:lang w:val="cs-CZ" w:bidi="he-IL"/>
              </w:rPr>
              <w:t>Nepoužívat u zvířat se známou přecitlivělostí k tylosinu a ostatním makrolidům.</w:t>
            </w:r>
          </w:p>
          <w:p w:rsidR="00EA408C" w:rsidRDefault="00EA408C">
            <w:pPr>
              <w:rPr>
                <w:rFonts w:ascii="Times New Roman" w:hAnsi="Times New Roman" w:cs="Times New Roman"/>
                <w:szCs w:val="24"/>
                <w:lang w:val="cs-CZ" w:bidi="he-IL"/>
              </w:rPr>
            </w:pPr>
            <w:r>
              <w:rPr>
                <w:rFonts w:ascii="Times New Roman" w:hAnsi="Times New Roman" w:cs="Times New Roman"/>
                <w:szCs w:val="24"/>
                <w:lang w:val="cs-CZ" w:bidi="he-IL"/>
              </w:rPr>
              <w:t>Nepoužívat v případě podezření na zkříženou rezistenci s ostatními makrolidy (MLS rezistence).</w:t>
            </w:r>
          </w:p>
          <w:p w:rsidR="00EA408C" w:rsidRDefault="00EA408C">
            <w:pPr>
              <w:rPr>
                <w:rFonts w:ascii="Times New Roman" w:hAnsi="Times New Roman" w:cs="Times New Roman"/>
                <w:szCs w:val="24"/>
                <w:lang w:val="cs-CZ" w:bidi="he-IL"/>
              </w:rPr>
            </w:pPr>
            <w:r>
              <w:rPr>
                <w:rFonts w:ascii="Times New Roman" w:hAnsi="Times New Roman" w:cs="Times New Roman"/>
                <w:szCs w:val="24"/>
                <w:lang w:val="cs-CZ" w:bidi="he-IL"/>
              </w:rPr>
              <w:t>Nepoužívat u zvířat vakciovaných vakcinami k tylosinu citlivými ve stejnou dobu nebo v předchozím týdnu.</w:t>
            </w:r>
          </w:p>
          <w:p w:rsidR="00EA408C" w:rsidRDefault="00EA408C">
            <w:pPr>
              <w:keepNext/>
              <w:keepLines/>
              <w:spacing w:before="240" w:after="240"/>
              <w:jc w:val="both"/>
              <w:rPr>
                <w:rFonts w:ascii="Times New Roman" w:hAnsi="Times New Roman" w:cs="Times New Roman"/>
                <w:szCs w:val="24"/>
                <w:lang w:val="cs-CZ" w:bidi="he-IL"/>
              </w:rPr>
            </w:pPr>
            <w:r>
              <w:rPr>
                <w:rFonts w:ascii="Times New Roman" w:hAnsi="Times New Roman" w:cs="Times New Roman"/>
                <w:szCs w:val="24"/>
                <w:lang w:val="cs-CZ" w:bidi="he-IL"/>
              </w:rPr>
              <w:t xml:space="preserve">Nepoužívat u zvířat s onemocněním jater. </w:t>
            </w:r>
          </w:p>
          <w:p w:rsidR="00EA408C" w:rsidRDefault="00EA408C">
            <w:pPr>
              <w:keepNext/>
              <w:keepLines/>
              <w:spacing w:before="240" w:after="240"/>
              <w:jc w:val="both"/>
              <w:rPr>
                <w:rFonts w:ascii="Times New Roman" w:hAnsi="Times New Roman" w:cs="Times New Roman"/>
                <w:szCs w:val="24"/>
                <w:lang w:val="cs-CZ" w:bidi="he-IL"/>
              </w:rPr>
            </w:pPr>
            <w:r>
              <w:rPr>
                <w:rFonts w:ascii="Times New Roman" w:hAnsi="Times New Roman" w:cs="Times New Roman"/>
                <w:szCs w:val="24"/>
                <w:lang w:val="cs-CZ" w:bidi="he-IL"/>
              </w:rPr>
              <w:t>Nepoužívat u koní - nebezpečí zánětu slepého střeva.</w:t>
            </w:r>
          </w:p>
        </w:tc>
      </w:tr>
      <w:tr w:rsidR="00EA408C" w:rsidTr="00EA408C">
        <w:tc>
          <w:tcPr>
            <w:tcW w:w="8458" w:type="dxa"/>
          </w:tcPr>
          <w:p w:rsidR="00EA408C" w:rsidRDefault="00EA408C">
            <w:pPr>
              <w:keepNext/>
              <w:keepLines/>
              <w:jc w:val="both"/>
              <w:rPr>
                <w:rFonts w:ascii="Times New Roman" w:hAnsi="Times New Roman" w:cs="Times New Roman"/>
                <w:szCs w:val="24"/>
                <w:lang w:val="cs-CZ" w:bidi="he-IL"/>
              </w:rPr>
            </w:pPr>
          </w:p>
        </w:tc>
      </w:tr>
    </w:tbl>
    <w:p w:rsidR="00EA408C" w:rsidRDefault="00EA408C" w:rsidP="00EA408C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6.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NEŽÁDOUCÍ ÚČINKY</w:t>
      </w: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lastRenderedPageBreak/>
        <w:t>U prasat byly pozorovány nežádoucí účinky, jako je diarea, pruritus, erytém, edém a prolaps rekta.</w:t>
      </w:r>
    </w:p>
    <w:p w:rsidR="00EA408C" w:rsidRDefault="00EA408C" w:rsidP="00EA408C">
      <w:p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Jestliže zaznamenáte jakékoliv závažné nežádoucí účinky či jiné reakce, které nejsou uvedeny v této příbalové informaci, oznamte to prosím vašemu veterinárnímu lékaři. </w:t>
      </w: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 xml:space="preserve">7. 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CÍLOVÝ DRUH ZVÍŘAT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Prasata.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8.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DÁVKOVÁNÍ PRO KAŽDÝ DRUH, CESTA(Y) A ZPŮSOB PODÁNÍ</w:t>
      </w:r>
    </w:p>
    <w:p w:rsidR="00EA408C" w:rsidRDefault="00EA408C" w:rsidP="00EA40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Pro individuální použití na farmách, pokud je podání určeno malému počtu prasat. Větší skupiny by měly být léčeny medikovaným krmivem obsahujícím premix. </w:t>
      </w:r>
    </w:p>
    <w:p w:rsidR="00EA408C" w:rsidRDefault="00EA408C" w:rsidP="00EA408C">
      <w:pPr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Jednotlivá prasata by měla dostávat 5 mg tylosinu na kg živé hmotnosti, tj. 250 mg přípravku / kg ž.hm., jednou denně po 3 týdny.  Toho je dosaženo zamícháním přípravku do denní dávky pro jednotlivá prasata. Požadované množství přípravku by mělo být přidáno do odhadnutého množství denního příjmu jednotlivých prasat v korytě nebo podobné nádobě a důkladně zamíchány. Přípravek může být  přidáván jen do suchého nepeletovaného krmiva.</w:t>
      </w:r>
    </w:p>
    <w:p w:rsidR="00EA408C" w:rsidRDefault="00EA408C" w:rsidP="00EA40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Léčené prase by mělo být zváženo, aby nedošlo k poddávkování. </w:t>
      </w:r>
    </w:p>
    <w:p w:rsidR="00EA408C" w:rsidRDefault="00EA408C" w:rsidP="00EA40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highlight w:val="yellow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Jestliže nebude jasná klinická odezva  na léčbu do 3 dnů, je třeba léčbu přehodnotit.</w:t>
      </w: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9.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POKYNY PRO SPRÁVNÉ PODÁNÍ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Přípravek je určen k individuálnímu podání v malém množství krmiva k okamžité spotřebě. 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Zvířata s akutními infekcemi mohou mít snížený příjem krmiva a měla by být nejprve léčena vhodným injekčním přípravkem. </w:t>
      </w:r>
    </w:p>
    <w:p w:rsidR="00EA408C" w:rsidRDefault="00EA408C" w:rsidP="00EA408C">
      <w:pPr>
        <w:jc w:val="both"/>
        <w:rPr>
          <w:sz w:val="24"/>
        </w:rPr>
      </w:pPr>
      <w:r>
        <w:rPr>
          <w:rFonts w:ascii="Times New Roman" w:hAnsi="Times New Roman" w:cs="Times New Roman"/>
          <w:bCs/>
          <w:lang w:val="cs-CZ"/>
        </w:rPr>
        <w:t xml:space="preserve">Vzhledem k pravděpodobné variabilitě (časové, geografické) citlivosti bakterií k  tylosinu </w:t>
      </w:r>
      <w:r>
        <w:rPr>
          <w:rFonts w:ascii="Times New Roman" w:hAnsi="Times New Roman" w:cs="Times New Roman"/>
        </w:rPr>
        <w:t>se doporučuje provést odběr vzorků na bakteriologické vyšetření a testování citlivosti</w:t>
      </w:r>
      <w:r>
        <w:rPr>
          <w:sz w:val="24"/>
        </w:rPr>
        <w:t>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Cs/>
          <w:lang w:val="cs-CZ"/>
        </w:rPr>
        <w:t>Nesprávné použití veterinárního léčivého přípravku může zvýšit prevalenci bakterií rezistentních vůči tylosinu a jiným makrolidům.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10.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OCHRANNÁ LHŮTA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Prasata: Maso: 1 den 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11.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ZVLÁŠTNÍ OPATŘENÍ PRO UCHOVÁVÁNÍ</w:t>
      </w:r>
    </w:p>
    <w:p w:rsidR="00EA408C" w:rsidRDefault="00EA408C" w:rsidP="00EA408C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Uchovávat mimo dosah dětí.</w:t>
      </w:r>
    </w:p>
    <w:p w:rsidR="00EA408C" w:rsidRDefault="00EA408C" w:rsidP="00EA408C">
      <w:pPr>
        <w:keepNext/>
        <w:keepLines/>
        <w:spacing w:before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Uchovávejte při teplotě do 30 °C.</w:t>
      </w:r>
    </w:p>
    <w:p w:rsidR="00EA408C" w:rsidRDefault="00EA408C" w:rsidP="00EA408C">
      <w:pPr>
        <w:keepNext/>
        <w:keepLines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Uchovávejte v suchu.</w:t>
      </w:r>
    </w:p>
    <w:p w:rsidR="00EA408C" w:rsidRDefault="00EA408C" w:rsidP="00EA408C">
      <w:pPr>
        <w:keepNext/>
        <w:keepLines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Chraňte před chladem nebo mrazem. </w:t>
      </w:r>
    </w:p>
    <w:p w:rsidR="00EA408C" w:rsidRDefault="00EA408C" w:rsidP="00EA408C">
      <w:pPr>
        <w:keepNext/>
        <w:keepLines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Uchovávejte v původním obalu, aby byl přípravek chráněn před světlem. </w:t>
      </w:r>
    </w:p>
    <w:p w:rsidR="00EA408C" w:rsidRDefault="00EA408C" w:rsidP="00EA408C">
      <w:pPr>
        <w:keepNext/>
        <w:keepLines/>
        <w:spacing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Doba použitelnosti po prvním otevření vnitřního obalu: 3 měsíce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 xml:space="preserve">Nepoužívejte po uplynutí doby použitelnosti uvedené na etiketě po EXP. </w:t>
      </w:r>
      <w:r>
        <w:rPr>
          <w:rFonts w:ascii="Times New Roman" w:hAnsi="Times New Roman" w:cs="Times New Roman"/>
          <w:lang w:val="cs-CZ"/>
        </w:rPr>
        <w:t>Doba použitelnosti se vztahuje k poslednímu dni uvedeného měsíce.</w:t>
      </w: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12.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ZVLÁŠTNÍ UPOZORNĚNÍ</w:t>
      </w:r>
    </w:p>
    <w:p w:rsidR="00EA408C" w:rsidRDefault="00EA408C" w:rsidP="00EA408C">
      <w:pPr>
        <w:keepNext/>
        <w:keepLines/>
        <w:spacing w:before="240" w:after="240"/>
        <w:rPr>
          <w:rFonts w:ascii="Times New Roman" w:hAnsi="Times New Roman" w:cs="Times New Roman"/>
          <w:b/>
          <w:szCs w:val="24"/>
          <w:lang w:val="cs-CZ" w:bidi="he-IL"/>
        </w:rPr>
      </w:pPr>
      <w:r>
        <w:rPr>
          <w:rFonts w:ascii="Times New Roman" w:hAnsi="Times New Roman" w:cs="Times New Roman"/>
          <w:b/>
          <w:lang w:val="cs-CZ"/>
        </w:rPr>
        <w:lastRenderedPageBreak/>
        <w:t>Zvláštní opatření určené osobám, které podávají veterinární léčivý přípravek zvířatům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Tylosin může způsobit podráždění. Makrolidy, jako např. tylosin, mohou způsobovat také přecitlivělost (alergii) po injekci, inhalaci, požití, po kontaktu s kůží či vniknutí do očí. Přecitlivělost na tylosin může vést ke křížovým reakcím s ostatními makrolidy a naopak. Alergické reakce na tyto látky mohou být v některých případech vážné, a proto je třeba zabránit přímému kontaktu.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Abyste se zabránilo expozici během přípravy a zacházení s přípravkem, použijte bezpečnostní brýle, nepropustné rukavice a noste buď jednorázový respirátor vyhovující normě EN149 nebo respirátor pro více použití vyhovující normě EN140 vybavený filtrem podle normy EN143. Po použití si umyjte ruce.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V případě náhodného potřísnění kůže, postižené místo důkladně omyjte vodou a mýdlem. V případě náhodného zasažení očí, vypláchněte oči velkým množstvím čisté tekoucí vody.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Nemanipulujte s přípravkem, pokud jste alergičtí na složky přípravku.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Pokud se po přímém kontaktu s přípravkem objeví příznaky jako například kožní vyrážka, vyhledejte lékařskou pomoc a ukažte lékaři toto upozornění. Otok obličeje, rtů a očí nebo potíže s dýcháním jsou vážné příznaky a vyžadují okamžitou lékařskou péči.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Použití v průběhu březosti, laktace nebo snášky</w:t>
      </w:r>
    </w:p>
    <w:p w:rsidR="00EA408C" w:rsidRDefault="00EA408C" w:rsidP="00EA408C">
      <w:pPr>
        <w:jc w:val="both"/>
        <w:rPr>
          <w:rFonts w:ascii="Times New Roman" w:hAnsi="Times New Roman" w:cs="Times New Roman"/>
          <w:b/>
          <w:bCs/>
          <w:lang w:val="cs-CZ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V průběhu březosti nebyly pozorovány žádné nežádoucí účinky při používání tylosinu, v teratologických vícegeneračních studiích. Použijte pouze podle posouzení přínosu/rizika příslušným veterinárním lékařem.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Interakce s dalšími léčivými přípravky a další formy interakce</w:t>
      </w:r>
    </w:p>
    <w:p w:rsidR="00EA408C" w:rsidRDefault="00EA408C" w:rsidP="00EA408C">
      <w:pPr>
        <w:ind w:left="23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Linkosamidy a aminoglykosidy působí antagonisticky s tylosinem.</w:t>
      </w:r>
    </w:p>
    <w:p w:rsidR="00EA408C" w:rsidRDefault="00EA408C" w:rsidP="00EA408C">
      <w:pPr>
        <w:ind w:left="23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23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Předávkování</w:t>
      </w:r>
    </w:p>
    <w:p w:rsidR="00EA408C" w:rsidRDefault="00EA408C" w:rsidP="00EA408C">
      <w:pPr>
        <w:ind w:left="23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Po podání dávky 600 ppm v krmivu (tři až šestinásobek doporučené dávky) po dobu 28 dnů nebyly pozorovány žádné nežádoucí účinky. U vyšších hladin se mohou vyskytnout diarea, apatie a křeče. Terapie je symptomatická.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bCs/>
          <w:lang w:val="cs-CZ"/>
        </w:rPr>
        <w:t>Inkompatibility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Studie kompatibility nejsou k dispozici, a proto tento veterinární léčivý přípravek nesmí být mísen s žádnými dalšími veterinárními léčivými přípravky.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13.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 xml:space="preserve">ZVLÁŠTNÍ OPATŘENÍ PRO ZNEŠKODŇOVÁNÍ NEPOUŽITÝCH PŘÍPRAVKŮ NEBO ODPADU, </w:t>
      </w:r>
      <w:r>
        <w:rPr>
          <w:rFonts w:ascii="Times New Roman" w:hAnsi="Times New Roman" w:cs="Times New Roman"/>
          <w:b/>
          <w:lang w:val="cs-CZ"/>
        </w:rPr>
        <w:t>POKUD JE JICH TŘEBA</w:t>
      </w:r>
    </w:p>
    <w:p w:rsidR="00EA408C" w:rsidRDefault="00EA408C" w:rsidP="00EA408C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rPr>
          <w:rFonts w:ascii="Times New Roman" w:eastAsia="Times New Roman" w:hAnsi="Times New Roman" w:cs="Times New Roman"/>
          <w:color w:val="000000"/>
          <w:lang w:val="cs-CZ" w:eastAsia="hr-HR"/>
        </w:rPr>
      </w:pPr>
      <w:r>
        <w:rPr>
          <w:rFonts w:ascii="Times New Roman" w:eastAsia="Times New Roman" w:hAnsi="Times New Roman" w:cs="Times New Roman"/>
          <w:color w:val="000000"/>
          <w:lang w:val="cs-CZ" w:eastAsia="hr-HR"/>
        </w:rPr>
        <w:t>Léčivé přípravky se nesmí likvidovat prostřednictvím odpadní vody či domovního odpadu.</w:t>
      </w:r>
    </w:p>
    <w:p w:rsidR="00EA408C" w:rsidRDefault="00EA408C" w:rsidP="00EA408C">
      <w:pPr>
        <w:rPr>
          <w:rFonts w:ascii="Times New Roman" w:eastAsia="Times New Roman" w:hAnsi="Times New Roman" w:cs="Times New Roman"/>
          <w:color w:val="000000"/>
          <w:lang w:val="cs-CZ" w:eastAsia="hr-HR"/>
        </w:rPr>
      </w:pPr>
      <w:r>
        <w:rPr>
          <w:rFonts w:ascii="Times New Roman" w:eastAsia="Times New Roman" w:hAnsi="Times New Roman" w:cs="Times New Roman"/>
          <w:color w:val="000000"/>
          <w:lang w:val="cs-CZ" w:eastAsia="hr-HR"/>
        </w:rPr>
        <w:t>O možnostech likvidace nepotřebných léčivých přípravků se poraďte s vaším veterinárním lékařem. Tato opatření napomáhají chránit životní prostředí.</w:t>
      </w:r>
    </w:p>
    <w:p w:rsidR="00EA408C" w:rsidRDefault="00EA408C" w:rsidP="00EA408C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14.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DATUM POSLEDNÍ REVIZE PŘÍBALOVÉ INFORMACE</w:t>
      </w:r>
    </w:p>
    <w:p w:rsidR="00EA408C" w:rsidRDefault="00EA408C" w:rsidP="00EA408C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Duben 2014</w:t>
      </w:r>
    </w:p>
    <w:p w:rsidR="00EA408C" w:rsidRDefault="00EA408C" w:rsidP="00EA408C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b/>
          <w:szCs w:val="24"/>
          <w:lang w:val="cs-CZ" w:bidi="he-IL"/>
        </w:rPr>
        <w:t>15.</w:t>
      </w:r>
      <w:r>
        <w:rPr>
          <w:rFonts w:ascii="Times New Roman" w:hAnsi="Times New Roman" w:cs="Times New Roman"/>
          <w:b/>
          <w:szCs w:val="24"/>
          <w:lang w:val="cs-CZ" w:bidi="he-IL"/>
        </w:rPr>
        <w:tab/>
        <w:t>DALŠÍ INFORMACE</w:t>
      </w:r>
    </w:p>
    <w:p w:rsidR="00EA408C" w:rsidRDefault="00EA408C" w:rsidP="00EA408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Pokud chcete získat informace o tomto veterinárním léčivém přípravku, kontaktujte prosím, příslušného místního zástupce držitele rozhodnutí o registraci.</w:t>
      </w:r>
    </w:p>
    <w:p w:rsidR="00EA408C" w:rsidRDefault="00EA408C" w:rsidP="00EA408C">
      <w:p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ind w:right="-2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Po prvním otevření obalu stanovte datum likvidace zbylého množství přípravku v obalu a to na základě doby použitelnosti po prvním otevření uvedené v této příbalové informaci. Toto datum napište na místo k tomu určené na etiketě.</w:t>
      </w:r>
    </w:p>
    <w:p w:rsidR="00EA408C" w:rsidRDefault="00EA408C" w:rsidP="00EA408C">
      <w:pPr>
        <w:ind w:right="-2"/>
        <w:rPr>
          <w:lang w:val="cs-CZ"/>
        </w:rPr>
      </w:pPr>
    </w:p>
    <w:p w:rsidR="00EA408C" w:rsidRDefault="00EA408C" w:rsidP="00EA408C">
      <w:pPr>
        <w:ind w:right="-2"/>
        <w:rPr>
          <w:rFonts w:ascii="Times New Roman" w:hAnsi="Times New Roman" w:cs="Times New Roman"/>
          <w:szCs w:val="24"/>
          <w:lang w:val="cs-CZ" w:bidi="he-IL"/>
        </w:rPr>
      </w:pP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 w:cs="Times New Roman"/>
            <w:szCs w:val="24"/>
            <w:lang w:val="cs-CZ" w:bidi="he-IL"/>
          </w:rPr>
          <w:t>1 kg</w:t>
        </w:r>
      </w:smartTag>
      <w:r>
        <w:rPr>
          <w:rFonts w:ascii="Times New Roman" w:hAnsi="Times New Roman" w:cs="Times New Roman"/>
          <w:szCs w:val="24"/>
          <w:lang w:val="cs-CZ" w:bidi="he-IL"/>
        </w:rPr>
        <w:t xml:space="preserve"> a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Times New Roman" w:hAnsi="Times New Roman" w:cs="Times New Roman"/>
            <w:szCs w:val="24"/>
            <w:lang w:val="cs-CZ" w:bidi="he-IL"/>
          </w:rPr>
          <w:t>5 kg</w:t>
        </w:r>
      </w:smartTag>
      <w:r>
        <w:rPr>
          <w:rFonts w:ascii="Times New Roman" w:hAnsi="Times New Roman" w:cs="Times New Roman"/>
          <w:szCs w:val="24"/>
          <w:lang w:val="cs-CZ" w:bidi="he-IL"/>
        </w:rPr>
        <w:t xml:space="preserve"> vak z nízkohustotního polyethylenu a tří vrstev papíru, se šitým přehybem. </w:t>
      </w:r>
    </w:p>
    <w:p w:rsidR="00EA408C" w:rsidRDefault="00EA408C" w:rsidP="00EA408C">
      <w:pPr>
        <w:ind w:right="-2"/>
        <w:rPr>
          <w:lang w:val="cs-CZ"/>
        </w:rPr>
      </w:pPr>
      <w:r>
        <w:rPr>
          <w:rFonts w:ascii="Times New Roman" w:hAnsi="Times New Roman" w:cs="Times New Roman"/>
          <w:bCs/>
          <w:lang w:val="cs-CZ"/>
        </w:rPr>
        <w:t>Na trhu nemusí být všechny velikosti balení.</w:t>
      </w:r>
    </w:p>
    <w:p w:rsidR="00EA408C" w:rsidRDefault="00EA408C" w:rsidP="00EA408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Veterinární léčivý přípravek je vydáván pouze na předpis.</w:t>
      </w:r>
    </w:p>
    <w:p w:rsidR="00EA408C" w:rsidRDefault="00EA408C" w:rsidP="00EA408C">
      <w:pPr>
        <w:keepNext/>
        <w:keepLines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EA408C" w:rsidRDefault="00EA408C" w:rsidP="00EA408C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576E1F" w:rsidRDefault="00576E1F">
      <w:bookmarkStart w:id="0" w:name="_GoBack"/>
      <w:bookmarkEnd w:id="0"/>
    </w:p>
    <w:sectPr w:rsidR="0057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5A"/>
    <w:rsid w:val="00576E1F"/>
    <w:rsid w:val="0096065A"/>
    <w:rsid w:val="00E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08C"/>
    <w:pPr>
      <w:snapToGrid w:val="0"/>
      <w:spacing w:after="0" w:line="240" w:lineRule="auto"/>
    </w:pPr>
    <w:rPr>
      <w:rFonts w:ascii="Arial" w:eastAsia="SimSun" w:hAnsi="Arial" w:cs="Arial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08C"/>
    <w:pPr>
      <w:snapToGrid w:val="0"/>
      <w:spacing w:after="0" w:line="240" w:lineRule="auto"/>
    </w:pPr>
    <w:rPr>
      <w:rFonts w:ascii="Arial" w:eastAsia="SimSun" w:hAnsi="Arial" w:cs="Arial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5639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3</cp:revision>
  <dcterms:created xsi:type="dcterms:W3CDTF">2014-05-16T11:47:00Z</dcterms:created>
  <dcterms:modified xsi:type="dcterms:W3CDTF">2014-05-16T11:47:00Z</dcterms:modified>
</cp:coreProperties>
</file>