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B. PŘÍBALOVÁ INFORMACE</w:t>
      </w:r>
    </w:p>
    <w:p w:rsidR="006C5D90" w:rsidRPr="006C5D90" w:rsidRDefault="006C5D90" w:rsidP="006C5D90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br w:type="page"/>
      </w:r>
      <w:r w:rsidRPr="006C5D90">
        <w:rPr>
          <w:rFonts w:ascii="Times New Roman" w:eastAsia="Times New Roman" w:hAnsi="Times New Roman" w:cs="Times New Roman"/>
          <w:b/>
          <w:szCs w:val="20"/>
        </w:rPr>
        <w:lastRenderedPageBreak/>
        <w:t>PŘÍBALOVÁ INFORMACE</w:t>
      </w:r>
    </w:p>
    <w:p w:rsidR="006C5D90" w:rsidRPr="006C5D90" w:rsidRDefault="006C5D90" w:rsidP="006C5D9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C5D90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PHENOLEPTIL 25 mg tablety pro psy</w:t>
      </w:r>
    </w:p>
    <w:p w:rsidR="006C5D90" w:rsidRPr="006C5D90" w:rsidRDefault="006C5D90" w:rsidP="006C5D9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1.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6C5D90">
        <w:rPr>
          <w:rFonts w:ascii="Times New Roman" w:eastAsia="Times New Roman" w:hAnsi="Times New Roman" w:cs="Times New Roman"/>
          <w:iCs/>
          <w:szCs w:val="20"/>
          <w:u w:val="single"/>
        </w:rPr>
        <w:t>Držitel rozhodnutí o registraci</w:t>
      </w:r>
      <w:r w:rsidRPr="006C5D90">
        <w:rPr>
          <w:rFonts w:ascii="Times New Roman" w:eastAsia="Times New Roman" w:hAnsi="Times New Roman" w:cs="Times New Roman"/>
          <w:iCs/>
          <w:szCs w:val="20"/>
        </w:rPr>
        <w:t>:</w:t>
      </w:r>
    </w:p>
    <w:p w:rsidR="006C5D90" w:rsidRPr="006C5D90" w:rsidRDefault="006C5D90" w:rsidP="006C5D90">
      <w:pPr>
        <w:tabs>
          <w:tab w:val="left" w:pos="567"/>
          <w:tab w:val="left" w:pos="1134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Jméno:</w:t>
      </w:r>
      <w:r w:rsidRPr="006C5D90">
        <w:rPr>
          <w:rFonts w:ascii="Times New Roman" w:eastAsia="Times New Roman" w:hAnsi="Times New Roman" w:cs="Times New Roman"/>
          <w:szCs w:val="20"/>
        </w:rPr>
        <w:tab/>
        <w:t>Le Vet B.V.</w:t>
      </w:r>
    </w:p>
    <w:p w:rsidR="006C5D90" w:rsidRPr="006C5D90" w:rsidRDefault="006C5D90" w:rsidP="006C5D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Adresa:</w:t>
      </w:r>
      <w:r w:rsidRPr="006C5D90">
        <w:rPr>
          <w:rFonts w:ascii="Times New Roman" w:eastAsia="Times New Roman" w:hAnsi="Times New Roman" w:cs="Times New Roman"/>
          <w:szCs w:val="20"/>
        </w:rPr>
        <w:tab/>
        <w:t>Wilgenweg 7</w:t>
      </w:r>
    </w:p>
    <w:p w:rsidR="006C5D90" w:rsidRPr="006C5D90" w:rsidRDefault="006C5D90" w:rsidP="006C5D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ab/>
        <w:t>3421 TV Oudewater</w:t>
      </w:r>
    </w:p>
    <w:p w:rsidR="006C5D90" w:rsidRPr="006C5D90" w:rsidRDefault="006C5D90" w:rsidP="006C5D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ab/>
        <w:t>Nizozemsko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u w:val="single"/>
        </w:rPr>
      </w:pPr>
      <w:r w:rsidRPr="006C5D90">
        <w:rPr>
          <w:rFonts w:ascii="Times New Roman" w:eastAsia="Times New Roman" w:hAnsi="Times New Roman" w:cs="Times New Roman"/>
          <w:bCs/>
          <w:szCs w:val="20"/>
          <w:u w:val="single"/>
        </w:rPr>
        <w:t>Výrobce odpovědný za uvolnění šarže</w:t>
      </w:r>
      <w:r w:rsidRPr="006C5D90">
        <w:rPr>
          <w:rFonts w:ascii="Times New Roman" w:eastAsia="Times New Roman" w:hAnsi="Times New Roman" w:cs="Times New Roman"/>
          <w:bCs/>
          <w:szCs w:val="20"/>
        </w:rPr>
        <w:t>:</w:t>
      </w:r>
    </w:p>
    <w:p w:rsidR="004867F7" w:rsidRPr="004867F7" w:rsidRDefault="004867F7" w:rsidP="004867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67F7">
        <w:rPr>
          <w:rFonts w:ascii="Times New Roman" w:eastAsia="Times New Roman" w:hAnsi="Times New Roman" w:cs="Times New Roman"/>
          <w:szCs w:val="20"/>
        </w:rPr>
        <w:t>Jméno:</w:t>
      </w:r>
      <w:r w:rsidRPr="004867F7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       </w:t>
      </w:r>
      <w:r w:rsidRPr="004867F7">
        <w:rPr>
          <w:rFonts w:ascii="Times New Roman" w:eastAsia="Times New Roman" w:hAnsi="Times New Roman" w:cs="Times New Roman"/>
          <w:szCs w:val="20"/>
        </w:rPr>
        <w:t>Lelypharma B.V.</w:t>
      </w:r>
    </w:p>
    <w:p w:rsidR="004867F7" w:rsidRPr="004867F7" w:rsidRDefault="004867F7" w:rsidP="004867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67F7">
        <w:rPr>
          <w:rFonts w:ascii="Times New Roman" w:eastAsia="Times New Roman" w:hAnsi="Times New Roman" w:cs="Times New Roman"/>
          <w:szCs w:val="20"/>
        </w:rPr>
        <w:t>Adresa:</w:t>
      </w:r>
      <w:r w:rsidRPr="004867F7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       </w:t>
      </w:r>
      <w:r w:rsidRPr="004867F7">
        <w:rPr>
          <w:rFonts w:ascii="Times New Roman" w:eastAsia="Times New Roman" w:hAnsi="Times New Roman" w:cs="Times New Roman"/>
          <w:szCs w:val="20"/>
        </w:rPr>
        <w:t>Zuiveringweg 42</w:t>
      </w:r>
    </w:p>
    <w:p w:rsidR="004867F7" w:rsidRPr="004867F7" w:rsidRDefault="004867F7" w:rsidP="004867F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4867F7">
        <w:rPr>
          <w:rFonts w:ascii="Times New Roman" w:eastAsia="Times New Roman" w:hAnsi="Times New Roman" w:cs="Times New Roman"/>
          <w:szCs w:val="20"/>
        </w:rPr>
        <w:t>8243 PZ Lelystad</w:t>
      </w:r>
    </w:p>
    <w:p w:rsidR="004867F7" w:rsidRPr="004867F7" w:rsidRDefault="004867F7" w:rsidP="004867F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4867F7">
        <w:rPr>
          <w:rFonts w:ascii="Times New Roman" w:eastAsia="Times New Roman" w:hAnsi="Times New Roman" w:cs="Times New Roman"/>
          <w:szCs w:val="20"/>
        </w:rPr>
        <w:t>Nizozemsko</w:t>
      </w:r>
    </w:p>
    <w:p w:rsidR="006C5D90" w:rsidRPr="006C5D90" w:rsidRDefault="006C5D90" w:rsidP="006C5D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2.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NÁZEV VETERINÁRNÍHO LÉČIVÉHO PŘÍPRAVKU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Phenoleptil 25 mg tablety pro psy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Phenobarbitalum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3.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:rsidR="006C5D90" w:rsidRPr="006C5D90" w:rsidRDefault="006C5D90" w:rsidP="006C5D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</w:p>
    <w:p w:rsidR="006C5D90" w:rsidRPr="006C5D90" w:rsidRDefault="006C5D90" w:rsidP="006C5D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Popis</w:t>
      </w:r>
    </w:p>
    <w:p w:rsidR="006C5D90" w:rsidRPr="006C5D90" w:rsidRDefault="006C5D90" w:rsidP="006C5D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 Bílé až téměř bílé, kulaté, bikonvexní tablety s hnědými skvrnami a překříženou dělící rýhou na jedné straně (průměr 8 mm). Tablety lze dělit na dvě nebo čtyři stejné části.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Obsah léčivé látky v tabletě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Phenobarbitalum</w:t>
      </w:r>
      <w:r w:rsidRPr="006C5D90">
        <w:rPr>
          <w:rFonts w:ascii="Times New Roman" w:eastAsia="Times New Roman" w:hAnsi="Times New Roman" w:cs="Times New Roman"/>
          <w:szCs w:val="20"/>
        </w:rPr>
        <w:tab/>
      </w:r>
      <w:r w:rsidRPr="006C5D90">
        <w:rPr>
          <w:rFonts w:ascii="Times New Roman" w:eastAsia="Times New Roman" w:hAnsi="Times New Roman" w:cs="Times New Roman"/>
          <w:szCs w:val="20"/>
        </w:rPr>
        <w:tab/>
        <w:t>25 mg</w:t>
      </w:r>
    </w:p>
    <w:p w:rsidR="006C5D90" w:rsidRPr="006C5D90" w:rsidRDefault="006C5D90" w:rsidP="006C5D9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4.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Prevence záchvatů v důsledku generalizované epilepsie u psů.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5.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Nepoužívat v případě přecitlivělosti na léčivou látku.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Nepoužívat u zvířat se závažným  poškozením funkce jater.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Nepoužívat u zvířat se závažným poškozením ledvin nebo závažnými kardiovaskulárními poruchami. 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Nepoužívat u psů s hmotností nižší než 2,5 kg živé hmotnosti.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6.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Při zahájení terapie se mohou objevit ataxie, ospalost, ochablost a závratě, ale tyto účinky jsou obvykle přechodné a zmizí u většiny, ale ne u všech pacientů s pokračující léčbou.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U některých zvířat se může objevit  paradoxní předrážděnost, a to zejména po prvním podání přípravku.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Vzhledem k tomu, že předrážděnost není spojena s předávkováním, není třeba dávku snižovat.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Při průměrné nebo vyšší terapeuticky účinné sérové koncentraci může být pozorována  polyurie, polydipsie a polyfagie, ale tyto účinky lze snížit omezením příjmu  krmiva a vody.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lastRenderedPageBreak/>
        <w:t>V případě, že hladina v séru dosahuje horní hranice terapeutického rozmezí, může docházet k sedaci a ataxii.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Arial"/>
          <w:bCs/>
          <w:iCs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Vysoké koncentrace v plazmě mohou být spojeny s hepatotoxicitou.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Fenobarbital může působit nepříznivě na kmenové buňky kostní dřeně. Důsledky jsou imunotoxická pancytopenie nebo neutropenie. Tyto reakce vymizí po vysazení léčby.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Arial"/>
          <w:bCs/>
          <w:iCs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Léčba psů fenobarbitalem může snížit hladiny TT4 nebo FT4 v séru, ale to nemusí poukazovat na přítomnost hypotyreózy. Substituční léčba hormony štítné žlázy by měla být zahájena pouze v případě, že se objeví klinické příznaky onemocnění. 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Pokud jsou nežádoucí účinky závažné, doporučuje se snížení dávky.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Jestliže zaznamenáte jakékoliv závažné nežádoucí účinky či jiné reakce, které nejsou uvedeny v této příbalové informaci, oznamte to prosím vašemu veterinárnímu lékaři.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7.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Psi.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8.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DÁVKOVÁNÍ PRO KAŽDÝ DRUH, CESTA(Y) A ZPŮSOB PODÁNÍ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</w:rPr>
      </w:pPr>
      <w:r w:rsidRPr="006C5D90">
        <w:rPr>
          <w:rFonts w:ascii="Times New Roman" w:eastAsia="Times New Roman" w:hAnsi="Times New Roman" w:cs="Times New Roman"/>
          <w:i/>
          <w:szCs w:val="20"/>
        </w:rPr>
        <w:t>Způsob podání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Perorální podání.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</w:rPr>
      </w:pPr>
      <w:r w:rsidRPr="006C5D90">
        <w:rPr>
          <w:rFonts w:ascii="Times New Roman" w:eastAsia="Times New Roman" w:hAnsi="Times New Roman" w:cs="Times New Roman"/>
          <w:i/>
          <w:szCs w:val="20"/>
        </w:rPr>
        <w:t>Podávané množství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Doporučená počáteční dávka je 2,5 mg fenobarbitalu na kg ž. hm. dvakrát denně. 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Aby byla zajištěna úspěšná léčba, musí být tablety podávány každý den ve stejnou dobu.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Následné úpravy dávky se provádí na základě klinické účinnosti, hladin v krvi a výskytu nežádoucích vedlejších účinků. 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9.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5D90">
        <w:rPr>
          <w:rFonts w:ascii="Times New Roman" w:eastAsia="Times New Roman" w:hAnsi="Times New Roman" w:cs="Times New Roman"/>
        </w:rPr>
        <w:t>Překřížená dělící rýha na jedné straně tablety umožňuje rozdělení tablety na dvě stejné části (každá o obsahu 12,5 mg fenobarbitalu) nebo na čtyři stejné části (každá o obsahu 6,25 mg fenobarbitalu).</w:t>
      </w:r>
    </w:p>
    <w:p w:rsidR="006C5D90" w:rsidRPr="006C5D90" w:rsidRDefault="006C5D90" w:rsidP="006C5D9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27"/>
      </w:tblGrid>
      <w:tr w:rsidR="006C5D90" w:rsidRPr="006C5D90" w:rsidTr="006373CD">
        <w:tc>
          <w:tcPr>
            <w:tcW w:w="5495" w:type="dxa"/>
            <w:shd w:val="clear" w:color="auto" w:fill="auto"/>
          </w:tcPr>
          <w:p w:rsidR="006C5D90" w:rsidRPr="006C5D90" w:rsidRDefault="006C5D90" w:rsidP="006C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cs-CZ"/>
              </w:rPr>
              <w:drawing>
                <wp:inline distT="0" distB="0" distL="0" distR="0">
                  <wp:extent cx="1171575" cy="1076325"/>
                  <wp:effectExtent l="0" t="0" r="9525" b="9525"/>
                  <wp:docPr id="3" name="Obrázek 3" descr="Schermafbeelding 2011-10-31 o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rmafbeelding 2011-10-31 o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D90" w:rsidRPr="006C5D90" w:rsidRDefault="006C5D90" w:rsidP="006C5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D90">
              <w:rPr>
                <w:rFonts w:ascii="Times New Roman" w:eastAsia="Times New Roman" w:hAnsi="Times New Roman" w:cs="Times New Roman"/>
                <w:bCs/>
              </w:rPr>
              <w:t>- Položte tabletu kulatou stranou dolů na rovnou plochu.</w:t>
            </w:r>
          </w:p>
          <w:p w:rsidR="006C5D90" w:rsidRPr="006C5D90" w:rsidRDefault="006C5D90" w:rsidP="006C5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D90">
              <w:rPr>
                <w:rFonts w:ascii="Times New Roman" w:eastAsia="Times New Roman" w:hAnsi="Times New Roman" w:cs="Times New Roman"/>
                <w:bCs/>
              </w:rPr>
              <w:t xml:space="preserve">- Rozdělte tabletu na čtyři stejné díly zatlačením na tabletu </w:t>
            </w:r>
          </w:p>
          <w:p w:rsidR="006C5D90" w:rsidRPr="006C5D90" w:rsidRDefault="006C5D90" w:rsidP="006C5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D90">
              <w:rPr>
                <w:rFonts w:ascii="Times New Roman" w:eastAsia="Times New Roman" w:hAnsi="Times New Roman" w:cs="Times New Roman"/>
                <w:bCs/>
              </w:rPr>
              <w:t xml:space="preserve">  palcem nebo ukazováčkem.</w:t>
            </w:r>
          </w:p>
        </w:tc>
        <w:tc>
          <w:tcPr>
            <w:tcW w:w="3727" w:type="dxa"/>
            <w:shd w:val="clear" w:color="auto" w:fill="auto"/>
          </w:tcPr>
          <w:p w:rsidR="006C5D90" w:rsidRPr="006C5D90" w:rsidRDefault="006C5D90" w:rsidP="006C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cs-CZ"/>
              </w:rPr>
              <w:drawing>
                <wp:inline distT="0" distB="0" distL="0" distR="0">
                  <wp:extent cx="1400175" cy="1800225"/>
                  <wp:effectExtent l="0" t="0" r="9525" b="9525"/>
                  <wp:docPr id="2" name="Obrázek 2" descr="Schermafbeelding 2011-10-31 o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fbeelding 2011-10-31 o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D90" w:rsidRPr="006C5D90" w:rsidRDefault="006C5D90" w:rsidP="006C5D9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Sérové koncentrace fenobarbitalu by měly být měřeny po dosažení rovnovážného stavu. Ideální terapeutické rozmezí pro sérové koncentrace fenobarbitalu je mezi 15 a 40 µg/ml. Pokud je hladina fenobarbitalu v séru nižší než 15µg/ml nebo záchvaty nejsou pod kontrolou, může být dávka pokaždé zvýšena o 20 % společně s monitorováním sérových hladin fenobarbitalu až do maximální koncentrace v séru 45 µg/ml. Konečné dávky se mohou značně lišit (v rozsahu od 1 mg do 15 mg/kg ž. hm. dvakrát denně) z důvodu rozdílů ve vylučování fenobarbitalu a rozdílů v citlivosti mezi pacienty.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Arial"/>
          <w:bCs/>
          <w:iCs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Pokud nejsou záchvaty uspokojivě potlačeny a v případě, že maximální hladina koncentrace pohybuje kolem 40μg/ml, měla by být diagnóza přehodnocena nebo by jako součást léčebného postupu měl být přidán druhý antiepileptický přípravek (jako jsou bromidy).</w:t>
      </w:r>
    </w:p>
    <w:p w:rsidR="006C5D90" w:rsidRPr="006C5D90" w:rsidRDefault="006C5D90" w:rsidP="006C5D90">
      <w:pPr>
        <w:tabs>
          <w:tab w:val="left" w:pos="540"/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U stabilizovaných pacientů s epilepsií se nedoporučuje přejít z jiných přípravků s fenobarbitalem na tablety Phenoleptil. Nicméně pokud se tomu nedá vyhnout, měla by být pacientovi věnována zvláštní pozornost. Doporučuje se snažit se dosáhnout co nejpodobnější dávky ve srovnání s předchozím </w:t>
      </w:r>
      <w:r w:rsidRPr="006C5D90">
        <w:rPr>
          <w:rFonts w:ascii="Times New Roman" w:eastAsia="Times New Roman" w:hAnsi="Times New Roman" w:cs="Times New Roman"/>
          <w:szCs w:val="20"/>
        </w:rPr>
        <w:lastRenderedPageBreak/>
        <w:t>přípravkem s ohledem na měření aktuální koncentrace v plazmě. Měly by být dodržovány stabilizační postupy jako při zahájení léčby. Viz také bod 12.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10.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OCHRANNÁ LHŮTA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6C5D90">
        <w:rPr>
          <w:rFonts w:ascii="Times New Roman" w:eastAsia="Times New Roman" w:hAnsi="Times New Roman" w:cs="Times New Roman"/>
          <w:iCs/>
          <w:szCs w:val="20"/>
        </w:rPr>
        <w:t>Není určeno pro potravinová zvířata.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11.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ind w:right="-318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60" w:lineRule="exact"/>
        <w:ind w:right="-318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Uchovávejte při teplotě do 30 </w:t>
      </w:r>
      <w:r w:rsidRPr="006C5D90">
        <w:rPr>
          <w:rFonts w:ascii="Times New Roman" w:eastAsia="Times New Roman" w:hAnsi="Times New Roman" w:cs="Times New Roman"/>
          <w:szCs w:val="20"/>
        </w:rPr>
        <w:sym w:font="Symbol" w:char="F0B0"/>
      </w:r>
      <w:r w:rsidRPr="006C5D90">
        <w:rPr>
          <w:rFonts w:ascii="Times New Roman" w:eastAsia="Times New Roman" w:hAnsi="Times New Roman" w:cs="Times New Roman"/>
          <w:szCs w:val="20"/>
        </w:rPr>
        <w:t>C.</w:t>
      </w:r>
    </w:p>
    <w:p w:rsidR="006C5D90" w:rsidRPr="006C5D90" w:rsidRDefault="006C5D90" w:rsidP="006C5D90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jc w:val="both"/>
        <w:rPr>
          <w:rFonts w:ascii="Times New Roman" w:eastAsia="Times New Roman" w:hAnsi="Times New Roman" w:cs="Times New Roman"/>
          <w:noProof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Uchovávat mimo dosah dětí</w:t>
      </w:r>
      <w:r w:rsidRPr="006C5D90">
        <w:rPr>
          <w:rFonts w:ascii="Times New Roman" w:eastAsia="Times New Roman" w:hAnsi="Times New Roman" w:cs="Times New Roman"/>
          <w:noProof/>
          <w:szCs w:val="20"/>
        </w:rPr>
        <w:t>.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ind w:right="-318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Uchovávejte vnitřní obal v krabičce, aby byl chráněn před světlem.</w:t>
      </w:r>
    </w:p>
    <w:p w:rsidR="006C5D90" w:rsidRPr="006C5D90" w:rsidRDefault="006C5D90" w:rsidP="006C5D90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jc w:val="both"/>
        <w:rPr>
          <w:rFonts w:ascii="Times New Roman" w:eastAsia="Times New Roman" w:hAnsi="Times New Roman" w:cs="Times New Roman"/>
          <w:noProof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Nepoužívejte po uplynutí doby použitelnost uvedené na štítku blistru a na krabičce</w:t>
      </w:r>
      <w:r w:rsidRPr="006C5D90">
        <w:rPr>
          <w:rFonts w:ascii="Times New Roman" w:eastAsia="Times New Roman" w:hAnsi="Times New Roman" w:cs="Times New Roman"/>
          <w:noProof/>
          <w:szCs w:val="20"/>
        </w:rPr>
        <w:t>.</w:t>
      </w:r>
    </w:p>
    <w:p w:rsidR="006C5D90" w:rsidRPr="006C5D90" w:rsidRDefault="006C5D90" w:rsidP="006C5D90">
      <w:pPr>
        <w:spacing w:after="0" w:line="240" w:lineRule="auto"/>
        <w:ind w:right="-318"/>
        <w:outlineLvl w:val="0"/>
        <w:rPr>
          <w:rFonts w:ascii="Times New Roman" w:eastAsia="Times New Roman" w:hAnsi="Times New Roman" w:cs="Times New Roman"/>
        </w:rPr>
      </w:pPr>
      <w:r w:rsidRPr="006C5D90">
        <w:rPr>
          <w:rFonts w:ascii="Times New Roman" w:eastAsia="Times New Roman" w:hAnsi="Times New Roman" w:cs="Times New Roman"/>
        </w:rPr>
        <w:t>Vraťte všechny rozdělené tablety zpět do otevřeného blistru a spotřebujte do 48 hodin.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12.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Zvláštní upozornění pro každý cílový druh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Arial"/>
          <w:bCs/>
          <w:iCs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O zahájení antiepileptické léčby fenobarbitalem by mělo být rozhodnuto na základě vyhodnocení každého individuálního případu a závisí na počtu, frekvenci, délce trvání a závažnosti záchvatů u psů.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Arial"/>
          <w:bCs/>
          <w:iCs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Mezi obecná doporučení pro zahájení léčby patří jeden záchvat vyskytující se více než jednou za 4-6 týdnů, klastrová záchvatová aktivita (tj. více než jeden záchvat během 24 hod.) nebo status epilepticus bez ohledu na frekvenci.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K zajištění  úspěšné léčby, musí být tablety podávány každý den ve stejnou dobu.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Ukončení nebo přechod z jiných typů antiepileptické léčby by mělo být postupné, aby se zabránilo zvýšení frekvence záchvatů.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Někteří psi jsou v průběhu léčby bez epileptických záchvatů, některým se ale záchvaty jenom omezí a někteří psi na tuto léčbu nereagují.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Zvláštní opatření pro použití u zvířat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Dávky pro menší psy se nemohou upravit v souladu s doporučeným 20% režimem, a proto by monitorování těchto zvířat měla být věnována zvláštní péče. Viz také bod 9.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U zvířat s poruchou funkce jater a ledvin, hypovolémií, anémií a srdeční nebo respirační dysfunkcí je třeba dbát zvýšené opatrnosti. 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Riziko výskytu hepatotoxických nežádoucích účinků může být sníženo nebo oddáleno  použitím nejnižší možné účinné dávky. V případě dlouhodobé léčby se doporučuje sledování jaterních parametrů.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Doporučuje se provést biochemické vyšetření  pacienta 2-3 týdny po zahájení léčby a poté každých 4-6 měsíců, např. měřením hodnot jaterních enzymů a sérové hladiny žlučových kyselin. Je důležité vědět, že účinky hypoxie a další účinky spojení s epileptickými záchvaty způsobují zvýšení hladiny jaterních enzymů po záchvatu.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Fenobarbital může zvyšovat aktivitu alkalické fosfatázy a transamináz v séru. Tyto změny mohou poukazovat na nepatologické změny, ale mohou vyjadřovat hepatotoxické změny. Proto se v případě podezření na hepatotoxicitu doporučuje provést jaterní testy. Zvýšené hodnoty jaterních enzymů nevyžadují snížení  dávky fenobarbitalu, pokud je hladina žlučových kyselin v séru v normálním rozmezí. Z důvodu hepatotoxicity fenobarbitalu se v případě dlouhodobé léčby doporučuje sledování jaterních parametrů.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U stabilizovaných pacientů s epilepsií se nedoporučuje přecházet z jiných přípravků na bázi fenobarbitalu na tablety Phenoleptil. Nicméně pokud se tomu nedá vyhnout, měla by být pacientovi věnována zvláštní pozornost. To zahrnuje častější stanovení koncentrace léčivé látky v plazmě, aby se zajistilo udržení terapeutické hladiny. Do doby než se potvrdí stabilizace pacienta by se měly častěji sledovat nežádoucí účinky a poruchy funkce jater.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Vysazení léčby přípravky na bázi  s fenobarbitalu by mělo být postupné, aby se zabránilo nárůstu frekvence záchvatů.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Zvláštní opatření určené osobám, které podávají veterinární léčivý přípravek zvířatům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lastRenderedPageBreak/>
        <w:t>Lidé se známou přecitlivělostí na barbituráty by se měli vyhnout kontaktu s veterinárním léčivým přípravkem. Po použití si umyjte ruce.</w:t>
      </w:r>
    </w:p>
    <w:p w:rsidR="006C5D90" w:rsidRPr="006C5D90" w:rsidRDefault="006C5D90" w:rsidP="006C5D90">
      <w:pPr>
        <w:tabs>
          <w:tab w:val="left" w:pos="56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6C5D90">
        <w:rPr>
          <w:rFonts w:ascii="Times New Roman" w:eastAsia="Times New Roman" w:hAnsi="Times New Roman" w:cs="Times New Roman"/>
          <w:lang w:eastAsia="x-none"/>
        </w:rPr>
        <w:t>Je třeba věnovat maximální pozornost tomu, aby se děti nedostaly do kontaktu s přípravkem. U dětí je zvlášť vysoké nebezpečí intoxikace, která může být i smrtelná.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V případě náhodného požití, vyhledejte ihned lékařskou pomoc a ukažte příbalovou informaci nebo etiketu praktickému lékaři. </w:t>
      </w:r>
      <w:r w:rsidRPr="006C5D90">
        <w:rPr>
          <w:rFonts w:ascii="Times New Roman" w:eastAsia="Times New Roman" w:hAnsi="Times New Roman" w:cs="Times New Roman"/>
        </w:rPr>
        <w:t xml:space="preserve">Je-li to možné, lékař by měl být informován o tom, kdy došlo k požití </w:t>
      </w:r>
      <w:r w:rsidRPr="006C5D90">
        <w:rPr>
          <w:rFonts w:ascii="Times New Roman" w:eastAsia="Times New Roman" w:hAnsi="Times New Roman" w:cs="Times New Roman"/>
        </w:rPr>
        <w:br/>
        <w:t>a v jakém množství, protože tyto informace mohou pomoci zajistit odpovídající ošetření a léčbu.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6C5D90" w:rsidRPr="006C5D90" w:rsidRDefault="006C5D90" w:rsidP="006C5D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Použití v průběhu březosti a laktace</w:t>
      </w:r>
    </w:p>
    <w:p w:rsidR="006C5D90" w:rsidRPr="006C5D90" w:rsidRDefault="006C5D90" w:rsidP="006C5D90">
      <w:pPr>
        <w:tabs>
          <w:tab w:val="left" w:pos="540"/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Fenobarbital prochází přes placentární bariéru a při vyšších dávkách nelze u novorozených mláďat vyloučit příznaky z vysazení. Tento stav je ale reverzibilní. Studie na laboratorních zvířatech prokázaly působení fenobarbitalu na prenatální růst, zejména pokud jde o pohlavní vývoj. S léčbou fenobarbitalem během březosti jsou spojovány sklony ke krvácení u novorozených mláďat. Podání vitamínu K samici po dobu 10 dnů před porodem může přispět k minimalizaci těchto účinků na plod.</w:t>
      </w:r>
    </w:p>
    <w:p w:rsidR="006C5D90" w:rsidRPr="006C5D90" w:rsidRDefault="006C5D90" w:rsidP="006C5D90">
      <w:pPr>
        <w:tabs>
          <w:tab w:val="left" w:pos="540"/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Bezpečnost veterinárního léčivého přípravku během březosti psů nebyla stanovena. Přínosy léčby mohou být vyšší než možná rizika na plod (hypoxie a acidóza) spojená s epileptickými záchvaty. Proto se v případě březosti nedoporučuje ukončení antiepileptické léčby, ale dávka by měla být co nejnižší.</w:t>
      </w:r>
    </w:p>
    <w:p w:rsidR="006C5D90" w:rsidRPr="006C5D90" w:rsidRDefault="006C5D90" w:rsidP="006C5D90">
      <w:pPr>
        <w:tabs>
          <w:tab w:val="left" w:pos="540"/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Fenobarbital je v malém množství vylučován do mateřského mléka a během kojení by měla být mláďata pečlivě sledována na nežádoucí sedativní účinky. Může se přistoupit k rannému odstavení mláďat. Pokud se u sajících novorozených mláďat objeví somnolence / sedativní účinky (které by mohly překážet v sání), měl by se vybrat náhradní způsob výživy.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Použití během březosti a laktace pouze na základě zhodnocení přínosů a rizik ošetřujícím veterinárním lékařem.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0"/>
          <w:lang w:eastAsia="x-none"/>
        </w:rPr>
      </w:pPr>
      <w:r w:rsidRPr="006C5D90">
        <w:rPr>
          <w:rFonts w:ascii="Times New Roman" w:eastAsia="Times New Roman" w:hAnsi="Times New Roman" w:cs="Times New Roman"/>
          <w:b/>
          <w:szCs w:val="20"/>
          <w:lang w:eastAsia="x-none"/>
        </w:rPr>
        <w:t>Předávkování (symptomy, první pomoc, antidota), pokud je to nutné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Příznaky předávkování jsou: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- útlum centrálního nervového systému projevující se symptomy od spánku až po kóma, 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- dýchací potíže,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- kardiovaskulární problémy, hypotenze a šok vedoucí k selhání ledvin a úhynu.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V případě předávkování odstraňte požitý přípravek ze žaludku např. výplachem žaludku. Můžete podat aktivní uhlí. Poskytněte podporu dýchání.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Arial"/>
          <w:bCs/>
          <w:iCs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Neexistuje žádné specifické antidotum, ale prostředky povzbuzující CNS (jako doxapram) mohou stimulovat dýchací centrum. Zajistěte podporu podáním kyslíku.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Interakce s dalšími léčivými přípravky a další formy interakce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Terapeutická dávka fenobarbitalu při antiepileptické léčbě může být výrazně ovlivněna plazmatickými bílkovinami (jako je </w:t>
      </w:r>
      <w:r w:rsidRPr="006C5D90">
        <w:rPr>
          <w:rFonts w:ascii="Times New Roman" w:eastAsia="Times New Roman" w:hAnsi="Times New Roman" w:cs="Arial"/>
          <w:szCs w:val="20"/>
        </w:rPr>
        <w:t>α</w:t>
      </w:r>
      <w:r w:rsidRPr="006C5D90">
        <w:rPr>
          <w:rFonts w:ascii="Times New Roman" w:eastAsia="Times New Roman" w:hAnsi="Times New Roman" w:cs="Times New Roman"/>
          <w:szCs w:val="20"/>
        </w:rPr>
        <w:t>1-kyselý glykoprotein, AGP), který na sebe váže léčivé látky. Proto musí být věnována zvláštní pozornost farmakokinetice a dávkám současně podávaných léčiv.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Plazmatická koncentrace cyklosporinu, hormonů štítné žlázy a teofylinu je v případě souběžného podávání fenobarbitalu snížena. Účinnost těchto látek je také snížena.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Cimetidin a ketokonazol jsou inhibitory jaterních enzymů: současné užívání s fenobarbitalem může vyvolat zvýšení sérové koncentrace fenobarbitalu.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Současné užívání bromidu draselného zvyšuje riziko pankreatitidy.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Současné užívání s jinými léčivy, která mají centrální tlumivé účinky, jako jsou narkotická analgetika, deriváty morfinu, fenothiaziny, antihistaminika, klomipramin a chloramfenikol, mohou účinek fenobarbitalu snižovat.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Fenobarbital může zvyšovat metabolismus, a tedy snižovat účinek antiepileptik, chloramfenikolu, kortikosteroidů, doxycyklinu, beta-blokátorů a metronidazolu.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Spolehlivost perorálních antikoncepčních prostředků je nižší.</w:t>
      </w: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Fenobarbital může snižovat absorpci griseofulvinu.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Následující léčiva mohou snižovat křečový práh: například chinolony, vysoké dávky β-laktamových antibiotik, teofylin, aminofylin, cyklosporin a propofol. Léčiva, která mohou změnit práh pro vznik záchvatů by se měly  používat pouze v případě, že to je skutečně nutné a pokud neexistuje žádná bezpečnější alternativa.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13.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ZVLÁŠTNÍ OPATŘENÍ PRO ZNEŠKODŇOVÁNÍ NEPOUŽITÝCH PŘÍPRAVKŮ NEBO ODPADU, POKUD JE JICH TŘEBA</w:t>
      </w:r>
    </w:p>
    <w:p w:rsidR="006C5D90" w:rsidRPr="006C5D90" w:rsidRDefault="006C5D90" w:rsidP="006C5D90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Léčivé přípravky se nesmí likvidovat prostřednictvím odpadní vody či domovního odpadu.</w:t>
      </w:r>
    </w:p>
    <w:p w:rsidR="006C5D90" w:rsidRPr="006C5D90" w:rsidRDefault="006C5D90" w:rsidP="006C5D90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O možnostech likvidace nepotřebných léčivých přípravků se poraďte s vaším veterinárním lékařem. Tato opatření napomáhají chránit životní prostředí.</w:t>
      </w:r>
    </w:p>
    <w:p w:rsidR="006C5D90" w:rsidRPr="006C5D90" w:rsidRDefault="006C5D90" w:rsidP="006C5D90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14.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DATUM POSLEDNÍ REVIZE PŘÍBALOVÉ INFORMACE</w:t>
      </w:r>
    </w:p>
    <w:p w:rsidR="006C5D90" w:rsidRPr="006C5D90" w:rsidRDefault="006C5D90" w:rsidP="006C5D90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4867F7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Červenec</w:t>
      </w:r>
      <w:r w:rsidR="006C5D90" w:rsidRPr="006C5D90">
        <w:rPr>
          <w:rFonts w:ascii="Times New Roman" w:eastAsia="Times New Roman" w:hAnsi="Times New Roman" w:cs="Times New Roman"/>
          <w:szCs w:val="20"/>
        </w:rPr>
        <w:t xml:space="preserve"> 201</w:t>
      </w:r>
      <w:r w:rsidR="000116A4">
        <w:rPr>
          <w:rFonts w:ascii="Times New Roman" w:eastAsia="Times New Roman" w:hAnsi="Times New Roman" w:cs="Times New Roman"/>
          <w:szCs w:val="20"/>
        </w:rPr>
        <w:t>5</w:t>
      </w:r>
      <w:bookmarkStart w:id="0" w:name="_GoBack"/>
      <w:bookmarkEnd w:id="0"/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15.</w:t>
      </w:r>
      <w:r w:rsidRPr="006C5D90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Farmakodynamické vlastnosti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Antiepileptické účinky fenobarbitalu jsou pravděpodobně výsledkem nejméně dvou mechanismů, kterými jsou snížení monosynaptického přenosu, které pravděpodobně vede ke snížení neuronální dráždivosti a zvýšení prahu motorické kůry pro elektrickou stimulaci.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b/>
          <w:szCs w:val="20"/>
        </w:rPr>
        <w:t>Farmakokinetické údaje</w:t>
      </w:r>
    </w:p>
    <w:p w:rsidR="006C5D90" w:rsidRPr="006C5D90" w:rsidRDefault="006C5D90" w:rsidP="006C5D90">
      <w:pPr>
        <w:tabs>
          <w:tab w:val="left" w:pos="-1440"/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6C5D90">
        <w:rPr>
          <w:rFonts w:ascii="Times New Roman" w:eastAsia="Times New Roman" w:hAnsi="Times New Roman" w:cs="Times New Roman"/>
          <w:szCs w:val="20"/>
          <w:lang w:eastAsia="x-none"/>
        </w:rPr>
        <w:t>Po perorálním podání fenobarbitalu psům se léčivá látka rychle vstřebává a maximální koncentrace v plazmě je dosažena během 4-8 hodin. Biologická dostupnost je v rozmezí 86 - 96 %, zdánlivý distribuční objem je 0,75 l/kg a rovnovážný stav koncentrace v séru je dosažen 2-3 týdny po zahájení léčby.</w:t>
      </w:r>
    </w:p>
    <w:p w:rsidR="006C5D90" w:rsidRPr="006C5D90" w:rsidRDefault="006C5D90" w:rsidP="006C5D9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Asi 45 % koncentrace v plazmě je vázáno na bílkoviny. Léčivá látka je metabolizována formou aromatické hydroxylace fenylové skupiny v poloze para (p-hydroxyfenobarbital) a asi 25 % účinné látky se vylučuje v nezměněné formě močí. Biologický poločas  vylučování se mezi jedinci značně liší a pohybuje se v rozmezí 40-90 hodin.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ja-JP"/>
        </w:rPr>
      </w:pPr>
      <w:r w:rsidRPr="006C5D90">
        <w:rPr>
          <w:rFonts w:ascii="Times New Roman" w:eastAsia="Times New Roman" w:hAnsi="Times New Roman" w:cs="Times New Roman"/>
          <w:b/>
          <w:szCs w:val="20"/>
          <w:lang w:eastAsia="ja-JP"/>
        </w:rPr>
        <w:t>Balení (velikost)</w:t>
      </w:r>
    </w:p>
    <w:p w:rsidR="006C5D90" w:rsidRPr="006C5D90" w:rsidRDefault="006C5D90" w:rsidP="006C5D90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</w:rPr>
      </w:pPr>
      <w:r w:rsidRPr="006C5D90">
        <w:rPr>
          <w:rFonts w:ascii="Times New Roman" w:eastAsia="Times New Roman" w:hAnsi="Times New Roman" w:cs="Times New Roman"/>
        </w:rPr>
        <w:t>100 tablet v papírové krabičce, která obsahuje 10 Al/PVC blistrů a každý blistr obsahuje 10 tablet.</w:t>
      </w:r>
    </w:p>
    <w:p w:rsidR="006C5D90" w:rsidRPr="006C5D90" w:rsidRDefault="006C5D90" w:rsidP="006C5D90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</w:rPr>
      </w:pPr>
      <w:r w:rsidRPr="006C5D90">
        <w:rPr>
          <w:rFonts w:ascii="Times New Roman" w:eastAsia="Times New Roman" w:hAnsi="Times New Roman" w:cs="Times New Roman"/>
        </w:rPr>
        <w:t>500 tablet v papírové krabičce, která obsahuje 50 Al/PVC blistrů a každý blistr obsahuje 10 tablet.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Na trhu nemusí být všechny velikosti balení.</w:t>
      </w: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Pokud chcete získat informace o tomto veterinárním léčivém přípravku, kontaktujte prosím příslušného místního zástupce držitele rozhodnutí o registraci.</w:t>
      </w:r>
    </w:p>
    <w:p w:rsidR="006C5D90" w:rsidRPr="006C5D90" w:rsidRDefault="006C5D90" w:rsidP="006C5D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</w:rPr>
      </w:pPr>
    </w:p>
    <w:p w:rsidR="006C5D90" w:rsidRPr="006C5D90" w:rsidRDefault="006C5D90" w:rsidP="006C5D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Pouze pro zvířata.</w:t>
      </w:r>
    </w:p>
    <w:p w:rsidR="006C5D90" w:rsidRPr="006C5D90" w:rsidRDefault="006C5D90" w:rsidP="006C5D9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>Veterinární léčivý přípravek je vydáván pouze na předpis.</w:t>
      </w:r>
    </w:p>
    <w:p w:rsidR="006C5D90" w:rsidRPr="006C5D90" w:rsidRDefault="006C5D90" w:rsidP="006C5D9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Cs w:val="20"/>
        </w:rPr>
      </w:pPr>
      <w:r w:rsidRPr="006C5D90">
        <w:rPr>
          <w:rFonts w:ascii="Times New Roman" w:eastAsia="Times New Roman" w:hAnsi="Times New Roman" w:cs="Times New Roman"/>
          <w:szCs w:val="20"/>
        </w:rPr>
        <w:t xml:space="preserve">Přípravek obsahuje návykové látky. </w:t>
      </w:r>
      <w:r>
        <w:rPr>
          <w:rFonts w:ascii="Times New Roman" w:eastAsia="Times New Roman" w:hAnsi="Times New Roman" w:cs="Times New Roman"/>
          <w:noProof/>
          <w:szCs w:val="20"/>
          <w:lang w:eastAsia="cs-CZ"/>
        </w:rPr>
        <w:drawing>
          <wp:inline distT="0" distB="0" distL="0" distR="0">
            <wp:extent cx="495300" cy="295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94" w:rsidRDefault="00085994"/>
    <w:sectPr w:rsidR="00085994">
      <w:footerReference w:type="default" r:id="rId10"/>
      <w:headerReference w:type="first" r:id="rId11"/>
      <w:footerReference w:type="first" r:id="rId12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C9" w:rsidRDefault="00D57DC9">
      <w:pPr>
        <w:spacing w:after="0" w:line="240" w:lineRule="auto"/>
      </w:pPr>
      <w:r>
        <w:separator/>
      </w:r>
    </w:p>
  </w:endnote>
  <w:endnote w:type="continuationSeparator" w:id="0">
    <w:p w:rsidR="00D57DC9" w:rsidRDefault="00D5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A2" w:rsidRDefault="00D57DC9">
    <w:pPr>
      <w:pStyle w:val="Zpat"/>
      <w:tabs>
        <w:tab w:val="right" w:pos="8931"/>
      </w:tabs>
      <w:rPr>
        <w:rFonts w:ascii="Times New Roman" w:hAnsi="Times New Roman"/>
        <w:lang w:val="el-GR" w:eastAsia="el-GR"/>
      </w:rPr>
    </w:pPr>
  </w:p>
  <w:p w:rsidR="00925FA2" w:rsidRDefault="006C5D90">
    <w:pPr>
      <w:pStyle w:val="Zpat"/>
      <w:tabs>
        <w:tab w:val="right" w:pos="8931"/>
      </w:tabs>
      <w:jc w:val="center"/>
      <w:rPr>
        <w:rFonts w:ascii="Times New Roman" w:hAnsi="Times New Roman"/>
        <w:lang w:val="el-GR" w:eastAsia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116A4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A2" w:rsidRDefault="00D57DC9">
    <w:pPr>
      <w:pStyle w:val="Zpat"/>
      <w:tabs>
        <w:tab w:val="right" w:pos="8931"/>
      </w:tabs>
    </w:pPr>
  </w:p>
  <w:p w:rsidR="00925FA2" w:rsidRDefault="006C5D90">
    <w:pPr>
      <w:pStyle w:val="Zpat"/>
      <w:tabs>
        <w:tab w:val="right" w:pos="8931"/>
      </w:tabs>
      <w:jc w:val="center"/>
      <w:rPr>
        <w:rFonts w:ascii="Times New Roman" w:hAnsi="Times New Roman"/>
        <w:lang w:val="el-GR" w:eastAsia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116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C9" w:rsidRDefault="00D57DC9">
      <w:pPr>
        <w:spacing w:after="0" w:line="240" w:lineRule="auto"/>
      </w:pPr>
      <w:r>
        <w:separator/>
      </w:r>
    </w:p>
  </w:footnote>
  <w:footnote w:type="continuationSeparator" w:id="0">
    <w:p w:rsidR="00D57DC9" w:rsidRDefault="00D5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A2" w:rsidRPr="00F923E6" w:rsidRDefault="006C5D90">
    <w:pPr>
      <w:pStyle w:val="Zhlav"/>
      <w:rPr>
        <w:rFonts w:ascii="Times New Roman" w:hAnsi="Times New Roman"/>
      </w:rPr>
    </w:pPr>
    <w:r>
      <w:rPr>
        <w:rFonts w:ascii="Times New Roman" w:hAnsi="Times New Roma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6F"/>
    <w:rsid w:val="000116A4"/>
    <w:rsid w:val="00085994"/>
    <w:rsid w:val="001033A1"/>
    <w:rsid w:val="003C176A"/>
    <w:rsid w:val="004867F7"/>
    <w:rsid w:val="006C5D90"/>
    <w:rsid w:val="00730D5C"/>
    <w:rsid w:val="00D57DC9"/>
    <w:rsid w:val="00E3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D90"/>
  </w:style>
  <w:style w:type="paragraph" w:styleId="Zpat">
    <w:name w:val="footer"/>
    <w:basedOn w:val="Normln"/>
    <w:link w:val="ZpatChar"/>
    <w:uiPriority w:val="99"/>
    <w:semiHidden/>
    <w:unhideWhenUsed/>
    <w:rsid w:val="006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D90"/>
  </w:style>
  <w:style w:type="paragraph" w:styleId="Textbubliny">
    <w:name w:val="Balloon Text"/>
    <w:basedOn w:val="Normln"/>
    <w:link w:val="TextbublinyChar"/>
    <w:uiPriority w:val="99"/>
    <w:semiHidden/>
    <w:unhideWhenUsed/>
    <w:rsid w:val="006C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D90"/>
  </w:style>
  <w:style w:type="paragraph" w:styleId="Zpat">
    <w:name w:val="footer"/>
    <w:basedOn w:val="Normln"/>
    <w:link w:val="ZpatChar"/>
    <w:uiPriority w:val="99"/>
    <w:semiHidden/>
    <w:unhideWhenUsed/>
    <w:rsid w:val="006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D90"/>
  </w:style>
  <w:style w:type="paragraph" w:styleId="Textbubliny">
    <w:name w:val="Balloon Text"/>
    <w:basedOn w:val="Normln"/>
    <w:link w:val="TextbublinyChar"/>
    <w:uiPriority w:val="99"/>
    <w:semiHidden/>
    <w:unhideWhenUsed/>
    <w:rsid w:val="006C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Wojtylová Jana</cp:lastModifiedBy>
  <cp:revision>5</cp:revision>
  <dcterms:created xsi:type="dcterms:W3CDTF">2015-07-02T04:20:00Z</dcterms:created>
  <dcterms:modified xsi:type="dcterms:W3CDTF">2015-07-21T07:46:00Z</dcterms:modified>
</cp:coreProperties>
</file>