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b/>
          <w:lang w:val="cs-CZ"/>
        </w:rPr>
      </w:pPr>
    </w:p>
    <w:p w:rsidR="00A05AF5" w:rsidRDefault="00A05AF5" w:rsidP="00A05AF5">
      <w:pPr>
        <w:ind w:right="113"/>
        <w:jc w:val="center"/>
        <w:rPr>
          <w:lang w:val="cs-CZ"/>
        </w:rPr>
      </w:pPr>
      <w:r>
        <w:rPr>
          <w:b/>
          <w:lang w:val="cs-CZ"/>
        </w:rPr>
        <w:t>B. PŘÍBALOVÁ INFORMACE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lang w:val="cs-CZ"/>
        </w:rPr>
      </w:pPr>
      <w:r>
        <w:rPr>
          <w:lang w:val="cs-CZ"/>
        </w:rPr>
        <w:br w:type="page"/>
      </w:r>
      <w:r>
        <w:rPr>
          <w:b/>
          <w:lang w:val="cs-CZ"/>
        </w:rPr>
        <w:lastRenderedPageBreak/>
        <w:t>PŘÍBALOVÁ INFORMACE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b/>
          <w:sz w:val="28"/>
          <w:lang w:val="cs-CZ"/>
        </w:rPr>
      </w:pPr>
      <w:r>
        <w:rPr>
          <w:b/>
          <w:sz w:val="28"/>
          <w:lang w:val="cs-CZ" w:eastAsia="ja-JP"/>
        </w:rPr>
        <w:t>PHENOLEPTIL 100 mg tablety pro psy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b/>
          <w:lang w:val="cs-CZ"/>
        </w:rPr>
      </w:pPr>
      <w:r>
        <w:rPr>
          <w:b/>
          <w:lang w:val="cs-CZ"/>
        </w:rPr>
        <w:t>1.</w:t>
      </w:r>
      <w:r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  <w:r>
        <w:rPr>
          <w:iCs/>
          <w:u w:val="single"/>
          <w:lang w:val="cs-CZ"/>
        </w:rPr>
        <w:t>Držitel rozhodnutí o registraci</w:t>
      </w:r>
      <w:r>
        <w:rPr>
          <w:iCs/>
          <w:lang w:val="cs-CZ"/>
        </w:rPr>
        <w:t>:</w:t>
      </w:r>
    </w:p>
    <w:p w:rsidR="00A05AF5" w:rsidRDefault="00A05AF5" w:rsidP="00A05AF5">
      <w:pPr>
        <w:tabs>
          <w:tab w:val="left" w:pos="1134"/>
          <w:tab w:val="left" w:pos="4536"/>
        </w:tabs>
        <w:spacing w:line="240" w:lineRule="auto"/>
        <w:jc w:val="both"/>
        <w:rPr>
          <w:lang w:val="cs-CZ"/>
        </w:rPr>
      </w:pPr>
      <w:r>
        <w:rPr>
          <w:lang w:val="cs-CZ"/>
        </w:rPr>
        <w:t>Jméno:</w:t>
      </w:r>
      <w:r>
        <w:rPr>
          <w:lang w:val="cs-CZ"/>
        </w:rPr>
        <w:tab/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Vet B.V.</w:t>
      </w:r>
      <w:proofErr w:type="gramEnd"/>
    </w:p>
    <w:p w:rsidR="00A05AF5" w:rsidRDefault="00A05AF5" w:rsidP="00A05AF5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>
        <w:rPr>
          <w:lang w:val="cs-CZ"/>
        </w:rPr>
        <w:t>Adresa:</w:t>
      </w:r>
      <w:r>
        <w:rPr>
          <w:lang w:val="cs-CZ"/>
        </w:rPr>
        <w:tab/>
      </w:r>
      <w:proofErr w:type="spellStart"/>
      <w:r>
        <w:rPr>
          <w:lang w:val="cs-CZ"/>
        </w:rPr>
        <w:t>Wilgenweg</w:t>
      </w:r>
      <w:proofErr w:type="spellEnd"/>
      <w:r>
        <w:rPr>
          <w:lang w:val="cs-CZ"/>
        </w:rPr>
        <w:t xml:space="preserve"> 7</w:t>
      </w:r>
    </w:p>
    <w:p w:rsidR="00A05AF5" w:rsidRDefault="00A05AF5" w:rsidP="00A05AF5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>
        <w:rPr>
          <w:lang w:val="cs-CZ"/>
        </w:rPr>
        <w:tab/>
        <w:t xml:space="preserve">3421 TV </w:t>
      </w:r>
      <w:proofErr w:type="spellStart"/>
      <w:r>
        <w:rPr>
          <w:lang w:val="cs-CZ"/>
        </w:rPr>
        <w:t>Oudewater</w:t>
      </w:r>
      <w:proofErr w:type="spellEnd"/>
    </w:p>
    <w:p w:rsidR="00A05AF5" w:rsidRDefault="00A05AF5" w:rsidP="00A05AF5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>
        <w:rPr>
          <w:lang w:val="cs-CZ"/>
        </w:rPr>
        <w:tab/>
        <w:t>Nizozemsko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Cs/>
          <w:u w:val="single"/>
          <w:lang w:val="cs-CZ"/>
        </w:rPr>
      </w:pPr>
      <w:r>
        <w:rPr>
          <w:bCs/>
          <w:u w:val="single"/>
          <w:lang w:val="cs-CZ"/>
        </w:rPr>
        <w:t>Výrobce odpovědný za uvolnění šarže</w:t>
      </w:r>
      <w:r>
        <w:rPr>
          <w:bCs/>
          <w:lang w:val="cs-CZ"/>
        </w:rPr>
        <w:t>:</w:t>
      </w:r>
    </w:p>
    <w:p w:rsidR="00B26FA1" w:rsidRPr="00B26FA1" w:rsidRDefault="00B26FA1" w:rsidP="00B26FA1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26FA1">
        <w:rPr>
          <w:lang w:val="cs-CZ"/>
        </w:rPr>
        <w:t>Jméno:</w:t>
      </w:r>
      <w:r w:rsidRPr="00B26FA1">
        <w:rPr>
          <w:lang w:val="cs-CZ"/>
        </w:rPr>
        <w:tab/>
      </w:r>
      <w:r>
        <w:rPr>
          <w:lang w:val="cs-CZ"/>
        </w:rPr>
        <w:t xml:space="preserve">       </w:t>
      </w:r>
      <w:proofErr w:type="spellStart"/>
      <w:proofErr w:type="gramStart"/>
      <w:r w:rsidRPr="00B26FA1">
        <w:rPr>
          <w:lang w:val="cs-CZ"/>
        </w:rPr>
        <w:t>Lelypharma</w:t>
      </w:r>
      <w:proofErr w:type="spellEnd"/>
      <w:r w:rsidRPr="00B26FA1">
        <w:rPr>
          <w:lang w:val="cs-CZ"/>
        </w:rPr>
        <w:t xml:space="preserve"> B.V.</w:t>
      </w:r>
      <w:proofErr w:type="gramEnd"/>
    </w:p>
    <w:p w:rsidR="00B26FA1" w:rsidRPr="00B26FA1" w:rsidRDefault="00B26FA1" w:rsidP="00B26FA1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26FA1">
        <w:rPr>
          <w:lang w:val="cs-CZ"/>
        </w:rPr>
        <w:t>Adresa:</w:t>
      </w:r>
      <w:r w:rsidRPr="00B26FA1">
        <w:rPr>
          <w:lang w:val="cs-CZ"/>
        </w:rPr>
        <w:tab/>
      </w:r>
      <w:r>
        <w:rPr>
          <w:lang w:val="cs-CZ"/>
        </w:rPr>
        <w:t xml:space="preserve">       </w:t>
      </w:r>
      <w:proofErr w:type="spellStart"/>
      <w:r w:rsidRPr="00B26FA1">
        <w:rPr>
          <w:lang w:val="cs-CZ"/>
        </w:rPr>
        <w:t>Zuiveringweg</w:t>
      </w:r>
      <w:proofErr w:type="spellEnd"/>
      <w:r w:rsidRPr="00B26FA1">
        <w:rPr>
          <w:lang w:val="cs-CZ"/>
        </w:rPr>
        <w:t xml:space="preserve"> 42</w:t>
      </w:r>
    </w:p>
    <w:p w:rsidR="00B26FA1" w:rsidRPr="00B26FA1" w:rsidRDefault="00B26FA1" w:rsidP="00B26FA1">
      <w:pPr>
        <w:tabs>
          <w:tab w:val="clear" w:pos="567"/>
        </w:tabs>
        <w:spacing w:line="240" w:lineRule="auto"/>
        <w:ind w:left="567" w:firstLine="567"/>
        <w:jc w:val="both"/>
        <w:rPr>
          <w:lang w:val="cs-CZ"/>
        </w:rPr>
      </w:pPr>
      <w:r w:rsidRPr="00B26FA1">
        <w:rPr>
          <w:lang w:val="cs-CZ"/>
        </w:rPr>
        <w:t xml:space="preserve">8243 PZ </w:t>
      </w:r>
      <w:proofErr w:type="spellStart"/>
      <w:r w:rsidRPr="00B26FA1">
        <w:rPr>
          <w:lang w:val="cs-CZ"/>
        </w:rPr>
        <w:t>Lelystad</w:t>
      </w:r>
      <w:proofErr w:type="spellEnd"/>
    </w:p>
    <w:p w:rsidR="00B26FA1" w:rsidRPr="00B26FA1" w:rsidRDefault="00B26FA1" w:rsidP="00B26FA1">
      <w:pPr>
        <w:tabs>
          <w:tab w:val="clear" w:pos="567"/>
        </w:tabs>
        <w:spacing w:line="240" w:lineRule="auto"/>
        <w:ind w:left="567" w:firstLine="567"/>
        <w:jc w:val="both"/>
        <w:rPr>
          <w:lang w:val="cs-CZ"/>
        </w:rPr>
      </w:pPr>
      <w:r w:rsidRPr="00B26FA1">
        <w:rPr>
          <w:lang w:val="cs-CZ"/>
        </w:rPr>
        <w:t>Nizozemsko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2.</w:t>
      </w:r>
      <w:r>
        <w:rPr>
          <w:b/>
          <w:lang w:val="cs-CZ"/>
        </w:rPr>
        <w:tab/>
        <w:t>NÁZEV VETERINÁRNÍHO LÉČIVÉHO PŘÍPRAVKU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Phenoleptil</w:t>
      </w:r>
      <w:proofErr w:type="spellEnd"/>
      <w:r>
        <w:rPr>
          <w:lang w:val="cs-CZ"/>
        </w:rPr>
        <w:t xml:space="preserve"> 100 mg tablety pro psy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Phenobarbitalum</w:t>
      </w:r>
      <w:proofErr w:type="spellEnd"/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b/>
          <w:lang w:val="cs-CZ"/>
        </w:rPr>
      </w:pPr>
      <w:r>
        <w:rPr>
          <w:b/>
          <w:lang w:val="cs-CZ"/>
        </w:rPr>
        <w:t>3.</w:t>
      </w:r>
      <w:r>
        <w:rPr>
          <w:b/>
          <w:lang w:val="cs-CZ"/>
        </w:rPr>
        <w:tab/>
        <w:t>OBSAH LÉČIVÝCH A OSTATNÍCH LÁTEK</w:t>
      </w:r>
    </w:p>
    <w:p w:rsidR="00A05AF5" w:rsidRDefault="00A05AF5" w:rsidP="00A05AF5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A05AF5" w:rsidRDefault="00A05AF5" w:rsidP="00A05AF5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Popis</w:t>
      </w:r>
    </w:p>
    <w:p w:rsidR="00A05AF5" w:rsidRDefault="00A05AF5" w:rsidP="00A05AF5">
      <w:pPr>
        <w:widowControl w:val="0"/>
        <w:spacing w:line="240" w:lineRule="auto"/>
        <w:jc w:val="both"/>
        <w:rPr>
          <w:lang w:val="cs-CZ"/>
        </w:rPr>
      </w:pPr>
      <w:r>
        <w:rPr>
          <w:lang w:val="cs-CZ"/>
        </w:rPr>
        <w:t>Bílé až téměř bílé, kulaté, bikonvexní tablety s hnědými skvrnami a rýhou na jedné straně (průměr 13 mm). Tablety lze dělit na dvě nebo čtyři stejné části.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Obsah léčivé látky v tabletě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Phenobarbitalum</w:t>
      </w:r>
      <w:proofErr w:type="spellEnd"/>
      <w:r>
        <w:rPr>
          <w:lang w:val="cs-CZ"/>
        </w:rPr>
        <w:tab/>
      </w:r>
      <w:r>
        <w:rPr>
          <w:lang w:val="cs-CZ"/>
        </w:rPr>
        <w:tab/>
        <w:t>100 mg</w:t>
      </w:r>
    </w:p>
    <w:p w:rsidR="00A05AF5" w:rsidRDefault="00A05AF5" w:rsidP="00A05AF5">
      <w:pPr>
        <w:widowControl w:val="0"/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4.</w:t>
      </w:r>
      <w:r>
        <w:rPr>
          <w:b/>
          <w:lang w:val="cs-CZ"/>
        </w:rPr>
        <w:tab/>
        <w:t>INDIKACE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Prevence záchvatů v důsledku generalizované epilepsie u psů.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5.</w:t>
      </w:r>
      <w:r>
        <w:rPr>
          <w:b/>
          <w:lang w:val="cs-CZ"/>
        </w:rPr>
        <w:tab/>
        <w:t>KONTRAINDIKACE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Nepoužívat v případě přecitlivělosti na léčivou látku.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Nepoužívat u zvířat se </w:t>
      </w:r>
      <w:proofErr w:type="gramStart"/>
      <w:r>
        <w:rPr>
          <w:lang w:val="cs-CZ"/>
        </w:rPr>
        <w:t>závažným  poškozením</w:t>
      </w:r>
      <w:proofErr w:type="gramEnd"/>
      <w:r>
        <w:rPr>
          <w:lang w:val="cs-CZ"/>
        </w:rPr>
        <w:t xml:space="preserve"> funkce jater.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Nepoužívat u zvířat se závažným poškozením ledvin nebo závažnými kardiovaskulárními </w:t>
      </w:r>
      <w:proofErr w:type="gramStart"/>
      <w:r>
        <w:rPr>
          <w:lang w:val="cs-CZ"/>
        </w:rPr>
        <w:t>poruchami .</w:t>
      </w:r>
      <w:proofErr w:type="gramEnd"/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Nepoužívat u psů s hmotností nižší než 10 kg živé hmotnosti.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6.</w:t>
      </w:r>
      <w:r>
        <w:rPr>
          <w:b/>
          <w:lang w:val="cs-CZ"/>
        </w:rPr>
        <w:tab/>
        <w:t>NEŽÁDOUCÍ ÚČINKY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Při zahájení terapie se mohou objevit ataxie, ospalost, ochablost a závratě, ale tyto účinky jsou obvykle přechodné a zmizí u většiny, ale ne u všech pacientů s pokračující léčbou.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U některých zvířat se může </w:t>
      </w:r>
      <w:proofErr w:type="gramStart"/>
      <w:r>
        <w:rPr>
          <w:lang w:val="cs-CZ"/>
        </w:rPr>
        <w:t>objevit  paradoxní</w:t>
      </w:r>
      <w:proofErr w:type="gramEnd"/>
      <w:r>
        <w:rPr>
          <w:lang w:val="cs-CZ"/>
        </w:rPr>
        <w:t xml:space="preserve"> předrážděnost, a to zejména po prvním podání přípravku.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Vzhledem k tomu, že předrážděnost není spojena s předávkováním, není třeba dávku snižovat.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Při průměrné nebo vyšší terapeuticky účinné sérové koncentraci může být pozorována  polyurie, polydipsie a polyfagie. Tyto účinky lze snížit </w:t>
      </w:r>
      <w:proofErr w:type="gramStart"/>
      <w:r>
        <w:rPr>
          <w:lang w:val="cs-CZ"/>
        </w:rPr>
        <w:t>omezením  příjmu</w:t>
      </w:r>
      <w:proofErr w:type="gramEnd"/>
      <w:r>
        <w:rPr>
          <w:lang w:val="cs-CZ"/>
        </w:rPr>
        <w:t xml:space="preserve"> krmiva a vody.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lastRenderedPageBreak/>
        <w:t>V případě, že hladina v séru dosahuje horní hranice terapeutického rozmezí, může docházet k </w:t>
      </w:r>
      <w:proofErr w:type="spellStart"/>
      <w:r>
        <w:rPr>
          <w:lang w:val="cs-CZ"/>
        </w:rPr>
        <w:t>sedaci</w:t>
      </w:r>
      <w:proofErr w:type="spellEnd"/>
      <w:r>
        <w:rPr>
          <w:lang w:val="cs-CZ"/>
        </w:rPr>
        <w:t xml:space="preserve"> a ataxii.</w:t>
      </w: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Vysoké koncentrace v plazmě mohou být spojeny s </w:t>
      </w:r>
      <w:proofErr w:type="spellStart"/>
      <w:r>
        <w:rPr>
          <w:lang w:val="cs-CZ"/>
        </w:rPr>
        <w:t>hepatotoxicitou</w:t>
      </w:r>
      <w:proofErr w:type="spellEnd"/>
      <w:r>
        <w:rPr>
          <w:lang w:val="cs-CZ"/>
        </w:rPr>
        <w:t>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Fenobarbital může působit nepříznivě na kmenové buňky kostní dřeně. Důsledky jsou </w:t>
      </w:r>
      <w:proofErr w:type="spellStart"/>
      <w:r>
        <w:rPr>
          <w:lang w:val="cs-CZ"/>
        </w:rPr>
        <w:t>imunotoxická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pancytopenie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neutropenie</w:t>
      </w:r>
      <w:proofErr w:type="spellEnd"/>
      <w:r>
        <w:rPr>
          <w:lang w:val="cs-CZ"/>
        </w:rPr>
        <w:t>. Tyto reakce vymizí po vysazení léčby.</w:t>
      </w: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Léčba psů fenobarbitalem může snížit hladiny TT4 nebo FT4 v séru, ale to nemusí poukazovat na přítomnost hypotyreózy. Substituční léčba hormony štítné žlázy by měla být zahájena pouze v případě, že se objeví klinické příznaky onemocnění. 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Pokud jsou nežádoucí účinky závažné, doporučuje se snížení dávky.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7.</w:t>
      </w:r>
      <w:r>
        <w:rPr>
          <w:b/>
          <w:lang w:val="cs-CZ"/>
        </w:rPr>
        <w:tab/>
        <w:t>CÍLOVÝ DRUH ZVÍŘAT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Psi.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8.</w:t>
      </w:r>
      <w:r>
        <w:rPr>
          <w:b/>
          <w:lang w:val="cs-CZ"/>
        </w:rPr>
        <w:tab/>
        <w:t xml:space="preserve">DÁVKOVÁNÍ PRO KAŽDÝ DRUH, </w:t>
      </w:r>
      <w:proofErr w:type="gramStart"/>
      <w:r>
        <w:rPr>
          <w:b/>
          <w:lang w:val="cs-CZ"/>
        </w:rPr>
        <w:t>CESTA(Y) A ZPŮSOB</w:t>
      </w:r>
      <w:proofErr w:type="gramEnd"/>
      <w:r>
        <w:rPr>
          <w:b/>
          <w:lang w:val="cs-CZ"/>
        </w:rPr>
        <w:t xml:space="preserve"> PODÁNÍ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/>
          <w:lang w:val="cs-CZ"/>
        </w:rPr>
      </w:pPr>
      <w:r>
        <w:rPr>
          <w:i/>
          <w:lang w:val="cs-CZ"/>
        </w:rPr>
        <w:t>Způsob podání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Perorální podání.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/>
          <w:lang w:val="cs-CZ"/>
        </w:rPr>
      </w:pPr>
      <w:r>
        <w:rPr>
          <w:i/>
          <w:lang w:val="cs-CZ"/>
        </w:rPr>
        <w:t>Podávané množství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Doporučená počáteční dávka je 2,5 mg fenobarbitalu na kg ž. </w:t>
      </w:r>
      <w:proofErr w:type="gramStart"/>
      <w:r>
        <w:rPr>
          <w:lang w:val="cs-CZ"/>
        </w:rPr>
        <w:t>hm</w:t>
      </w:r>
      <w:proofErr w:type="gramEnd"/>
      <w:r>
        <w:rPr>
          <w:lang w:val="cs-CZ"/>
        </w:rPr>
        <w:t xml:space="preserve">. dvakrát denně. 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Aby byla zajištěna úspěšná léčba, musí být tablety podávány každý den ve stejnou dobu.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Následné úpravy dávky se provádí na základě klinické účinnosti, hladin v krvi a výskytu nežádoucích vedlejších účinků. 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9.</w:t>
      </w:r>
      <w:r>
        <w:rPr>
          <w:b/>
          <w:lang w:val="cs-CZ"/>
        </w:rPr>
        <w:tab/>
        <w:t>POKYNY PRO SPRÁVNÉ PODÁNÍ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Překřížená dělící rýha na jedné straně tablety </w:t>
      </w:r>
      <w:proofErr w:type="gramStart"/>
      <w:r>
        <w:rPr>
          <w:szCs w:val="22"/>
          <w:lang w:val="cs-CZ"/>
        </w:rPr>
        <w:t>umožňuje  rozdělení</w:t>
      </w:r>
      <w:proofErr w:type="gramEnd"/>
      <w:r>
        <w:rPr>
          <w:szCs w:val="22"/>
          <w:lang w:val="cs-CZ"/>
        </w:rPr>
        <w:t xml:space="preserve"> tablety na dvě stejné části (každá o obsahu 50 mg fenobarbitalu) nebo na čtyři stejné části (každá o obsahu 25 mg fenobarbitalu).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27"/>
      </w:tblGrid>
      <w:tr w:rsidR="00A05AF5" w:rsidTr="00A05AF5">
        <w:tc>
          <w:tcPr>
            <w:tcW w:w="5495" w:type="dxa"/>
            <w:hideMark/>
          </w:tcPr>
          <w:p w:rsidR="00A05AF5" w:rsidRDefault="00A05AF5">
            <w:pPr>
              <w:tabs>
                <w:tab w:val="clear" w:pos="567"/>
                <w:tab w:val="left" w:pos="708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>
              <w:rPr>
                <w:bCs/>
                <w:noProof/>
                <w:szCs w:val="22"/>
                <w:lang w:val="cs-CZ" w:eastAsia="cs-CZ"/>
              </w:rPr>
              <w:drawing>
                <wp:inline distT="0" distB="0" distL="0" distR="0">
                  <wp:extent cx="1171575" cy="1076325"/>
                  <wp:effectExtent l="0" t="0" r="9525" b="9525"/>
                  <wp:docPr id="3" name="Obrázek 3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AF5" w:rsidRDefault="00A05AF5">
            <w:pPr>
              <w:tabs>
                <w:tab w:val="clear" w:pos="567"/>
                <w:tab w:val="left" w:pos="708"/>
              </w:tabs>
              <w:spacing w:line="240" w:lineRule="auto"/>
              <w:rPr>
                <w:bCs/>
                <w:szCs w:val="22"/>
                <w:lang w:val="cs-CZ"/>
              </w:rPr>
            </w:pPr>
            <w:r>
              <w:rPr>
                <w:bCs/>
                <w:szCs w:val="22"/>
                <w:lang w:val="cs-CZ"/>
              </w:rPr>
              <w:t>- Položte tabletu kulatou stranou dolů na rovnou plochu.</w:t>
            </w:r>
          </w:p>
          <w:p w:rsidR="00A05AF5" w:rsidRDefault="00A05AF5">
            <w:pPr>
              <w:tabs>
                <w:tab w:val="clear" w:pos="567"/>
                <w:tab w:val="left" w:pos="708"/>
              </w:tabs>
              <w:spacing w:line="240" w:lineRule="auto"/>
              <w:rPr>
                <w:bCs/>
                <w:szCs w:val="22"/>
                <w:lang w:val="cs-CZ"/>
              </w:rPr>
            </w:pPr>
            <w:r>
              <w:rPr>
                <w:bCs/>
                <w:szCs w:val="22"/>
                <w:lang w:val="cs-CZ"/>
              </w:rPr>
              <w:t xml:space="preserve">- Rozdělte tabletu na čtyři stejné díly zatlačením na tabletu </w:t>
            </w:r>
          </w:p>
          <w:p w:rsidR="00A05AF5" w:rsidRDefault="00A05AF5">
            <w:pPr>
              <w:tabs>
                <w:tab w:val="clear" w:pos="567"/>
                <w:tab w:val="left" w:pos="708"/>
              </w:tabs>
              <w:spacing w:line="240" w:lineRule="auto"/>
              <w:rPr>
                <w:bCs/>
                <w:szCs w:val="22"/>
                <w:lang w:val="cs-CZ"/>
              </w:rPr>
            </w:pPr>
            <w:r>
              <w:rPr>
                <w:bCs/>
                <w:szCs w:val="22"/>
                <w:lang w:val="cs-CZ"/>
              </w:rPr>
              <w:t xml:space="preserve">  palcem nebo ukazováčkem.</w:t>
            </w:r>
          </w:p>
        </w:tc>
        <w:tc>
          <w:tcPr>
            <w:tcW w:w="3727" w:type="dxa"/>
            <w:hideMark/>
          </w:tcPr>
          <w:p w:rsidR="00A05AF5" w:rsidRDefault="00A05AF5">
            <w:pPr>
              <w:tabs>
                <w:tab w:val="clear" w:pos="567"/>
                <w:tab w:val="left" w:pos="708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>
              <w:rPr>
                <w:bCs/>
                <w:noProof/>
                <w:szCs w:val="22"/>
                <w:lang w:val="cs-CZ" w:eastAsia="cs-CZ"/>
              </w:rPr>
              <w:drawing>
                <wp:inline distT="0" distB="0" distL="0" distR="0">
                  <wp:extent cx="1400175" cy="1800225"/>
                  <wp:effectExtent l="0" t="0" r="9525" b="9525"/>
                  <wp:docPr id="2" name="Obrázek 2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AF5" w:rsidRDefault="00A05AF5" w:rsidP="00A05AF5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Cs/>
          <w:lang w:val="cs-CZ"/>
        </w:rPr>
      </w:pPr>
      <w:r>
        <w:rPr>
          <w:lang w:val="cs-CZ"/>
        </w:rPr>
        <w:t xml:space="preserve">Sérové koncentrace fenobarbitalu by měly být měřeny po dosažení rovnovážného stavu. Ideální terapeutické rozmezí pro sérové koncentrace fenobarbitalu je mezi 15 a 40 µg/ml. Pokud je hladina fenobarbitalu v séru nižší než 15µg/ml nebo záchvaty nejsou pod kontrolou, může být dávka pokaždé zvýšena o 20 % společně s monitorováním sérových hladin fenobarbitalu až do maximální koncentrace v séru 45 µg/ml. Konečné dávky se mohou značně lišit (v rozsahu od 1 mg do 15 mg/kg ž. </w:t>
      </w:r>
      <w:proofErr w:type="gramStart"/>
      <w:r>
        <w:rPr>
          <w:lang w:val="cs-CZ"/>
        </w:rPr>
        <w:t>hm</w:t>
      </w:r>
      <w:proofErr w:type="gramEnd"/>
      <w:r>
        <w:rPr>
          <w:lang w:val="cs-CZ"/>
        </w:rPr>
        <w:t>. dvakrát denně) z důvodu rozdílů ve vylučování fenobarbitalu a rozdílů v citlivosti mezi pacienty.</w:t>
      </w: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Pokud nejsou záchvaty uspokojivě potlačeny a v případě, že maximální hladina koncentrace pohybuje kolem 40 </w:t>
      </w:r>
      <w:proofErr w:type="spellStart"/>
      <w:r>
        <w:rPr>
          <w:lang w:val="cs-CZ"/>
        </w:rPr>
        <w:t>μg</w:t>
      </w:r>
      <w:proofErr w:type="spellEnd"/>
      <w:r>
        <w:rPr>
          <w:lang w:val="cs-CZ"/>
        </w:rPr>
        <w:t xml:space="preserve">/ml, měla by být diagnóza přehodnocena nebo by jako součást léčebného postupu měl být přidán druhý </w:t>
      </w:r>
      <w:proofErr w:type="spellStart"/>
      <w:r>
        <w:rPr>
          <w:lang w:val="cs-CZ"/>
        </w:rPr>
        <w:t>antiepileptický</w:t>
      </w:r>
      <w:proofErr w:type="spellEnd"/>
      <w:r>
        <w:rPr>
          <w:lang w:val="cs-CZ"/>
        </w:rPr>
        <w:t xml:space="preserve"> přípravek (jako jsou bromidy).</w:t>
      </w:r>
    </w:p>
    <w:p w:rsidR="00A05AF5" w:rsidRDefault="00A05AF5" w:rsidP="00A05AF5">
      <w:pPr>
        <w:tabs>
          <w:tab w:val="left" w:pos="540"/>
        </w:tabs>
        <w:jc w:val="both"/>
        <w:rPr>
          <w:lang w:val="cs-CZ"/>
        </w:rPr>
      </w:pPr>
      <w:r>
        <w:rPr>
          <w:lang w:val="cs-CZ"/>
        </w:rPr>
        <w:lastRenderedPageBreak/>
        <w:t xml:space="preserve">U stabilizovaných pacientů s epilepsií se nedoporučuje přejít z jiných přípravků s fenobarbitalem na tablety </w:t>
      </w:r>
      <w:proofErr w:type="spellStart"/>
      <w:r>
        <w:rPr>
          <w:lang w:val="cs-CZ"/>
        </w:rPr>
        <w:t>Phenoleptil</w:t>
      </w:r>
      <w:proofErr w:type="spellEnd"/>
      <w:r>
        <w:rPr>
          <w:lang w:val="cs-CZ"/>
        </w:rPr>
        <w:t>. Nicméně pokud se tomu nedá vyhnout, měla by být pacientovi věnována zvláštní pozornost. Doporučuje se snažit se dosáhnout co nejpodobnější dávky ve srovnání s předchozím přípravkem s ohledem na měření aktuální koncentrace v plazmě. Měly by být dodržovány stabilizační postupy jako při zahájení léčby. Viz také bod 12.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10.</w:t>
      </w:r>
      <w:r>
        <w:rPr>
          <w:b/>
          <w:lang w:val="cs-CZ"/>
        </w:rPr>
        <w:tab/>
        <w:t>OCHRANNÁ LHŮTA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  <w:r>
        <w:rPr>
          <w:iCs/>
          <w:lang w:val="cs-CZ"/>
        </w:rPr>
        <w:t>Není určeno pro potravinová zvířata.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11.</w:t>
      </w:r>
      <w:r>
        <w:rPr>
          <w:b/>
          <w:lang w:val="cs-CZ"/>
        </w:rPr>
        <w:tab/>
        <w:t>ZVLÁŠTNÍ OPATŘENÍ PRO UCHOVÁVÁNÍ</w:t>
      </w:r>
    </w:p>
    <w:p w:rsidR="00A05AF5" w:rsidRDefault="00A05AF5" w:rsidP="00A05AF5">
      <w:pPr>
        <w:ind w:right="-318"/>
        <w:jc w:val="both"/>
        <w:rPr>
          <w:lang w:val="cs-CZ"/>
        </w:rPr>
      </w:pPr>
    </w:p>
    <w:p w:rsidR="00A05AF5" w:rsidRDefault="00A05AF5" w:rsidP="00A05AF5">
      <w:pPr>
        <w:ind w:right="-318"/>
        <w:jc w:val="both"/>
        <w:rPr>
          <w:lang w:val="cs-CZ"/>
        </w:rPr>
      </w:pPr>
      <w:r>
        <w:rPr>
          <w:lang w:val="cs-CZ"/>
        </w:rPr>
        <w:t xml:space="preserve">Uchovávejte při teplotě do 30 </w:t>
      </w:r>
      <w:r>
        <w:rPr>
          <w:lang w:val="cs-CZ"/>
        </w:rPr>
        <w:sym w:font="Symbol" w:char="F0B0"/>
      </w:r>
      <w:r>
        <w:rPr>
          <w:lang w:val="cs-CZ"/>
        </w:rPr>
        <w:t>C.</w:t>
      </w:r>
    </w:p>
    <w:p w:rsidR="00A05AF5" w:rsidRDefault="00A05AF5" w:rsidP="00A05AF5">
      <w:pPr>
        <w:numPr>
          <w:ilvl w:val="12"/>
          <w:numId w:val="0"/>
        </w:numPr>
        <w:ind w:right="-2"/>
        <w:jc w:val="both"/>
        <w:rPr>
          <w:noProof/>
          <w:lang w:val="cs-CZ"/>
        </w:rPr>
      </w:pPr>
      <w:r>
        <w:rPr>
          <w:lang w:val="cs-CZ"/>
        </w:rPr>
        <w:t>Uchovávat mimo dosah dětí</w:t>
      </w:r>
      <w:r>
        <w:rPr>
          <w:noProof/>
          <w:lang w:val="cs-CZ"/>
        </w:rPr>
        <w:t>.</w:t>
      </w:r>
    </w:p>
    <w:p w:rsidR="00A05AF5" w:rsidRDefault="00A05AF5" w:rsidP="00A05AF5">
      <w:pPr>
        <w:ind w:right="-318"/>
        <w:jc w:val="both"/>
        <w:rPr>
          <w:lang w:val="cs-CZ"/>
        </w:rPr>
      </w:pPr>
      <w:r>
        <w:rPr>
          <w:lang w:val="cs-CZ"/>
        </w:rPr>
        <w:t>Uchovávejte vnitřní obal v krabičce, aby byl chráněn před světlem.</w:t>
      </w:r>
    </w:p>
    <w:p w:rsidR="00A05AF5" w:rsidRDefault="00A05AF5" w:rsidP="00A05AF5">
      <w:pPr>
        <w:numPr>
          <w:ilvl w:val="12"/>
          <w:numId w:val="0"/>
        </w:numPr>
        <w:ind w:right="-2"/>
        <w:jc w:val="both"/>
        <w:rPr>
          <w:noProof/>
          <w:lang w:val="cs-CZ"/>
        </w:rPr>
      </w:pPr>
      <w:r>
        <w:rPr>
          <w:lang w:val="cs-CZ"/>
        </w:rPr>
        <w:t>Nepoužívejte po uplynutí doby použitelnost uvedené na štítku blistru a na krabičce</w:t>
      </w:r>
      <w:r>
        <w:rPr>
          <w:noProof/>
          <w:lang w:val="cs-CZ"/>
        </w:rPr>
        <w:t>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outlineLvl w:val="0"/>
        <w:rPr>
          <w:szCs w:val="22"/>
          <w:lang w:val="cs-CZ"/>
        </w:rPr>
      </w:pPr>
      <w:r>
        <w:rPr>
          <w:szCs w:val="22"/>
          <w:lang w:val="cs-CZ"/>
        </w:rPr>
        <w:t>Vraťte všechny rozdělené tablety zpět do otevřeného blistru a spotřebujte do 48 hodin.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b/>
          <w:lang w:val="cs-CZ"/>
        </w:rPr>
      </w:pPr>
      <w:r>
        <w:rPr>
          <w:b/>
          <w:lang w:val="cs-CZ"/>
        </w:rPr>
        <w:t>12.</w:t>
      </w:r>
      <w:r>
        <w:rPr>
          <w:b/>
          <w:lang w:val="cs-CZ"/>
        </w:rPr>
        <w:tab/>
        <w:t>ZVLÁŠTNÍ UPOZORNĚNÍ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Zvláštní upozornění pro každý cílový druh</w:t>
      </w: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O zahájení </w:t>
      </w:r>
      <w:proofErr w:type="spellStart"/>
      <w:r>
        <w:rPr>
          <w:lang w:val="cs-CZ"/>
        </w:rPr>
        <w:t>antiepileptické</w:t>
      </w:r>
      <w:proofErr w:type="spellEnd"/>
      <w:r>
        <w:rPr>
          <w:lang w:val="cs-CZ"/>
        </w:rPr>
        <w:t xml:space="preserve"> léčby fenobarbitalem by mělo být rozhodnuto na základě vyhodnocení každého individuálního případu a závisí na počtu, frekvenci, délce trvání a závažnosti záchvatů u psů.</w:t>
      </w: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Mezi obecná doporučení pro zahájení léčby patří jeden záchvat vyskytující se více než jednou za 4-6 týdnů, klastrová záchvatová aktivita (tj. více než jeden záchvat během 24 hod.) nebo status </w:t>
      </w:r>
      <w:proofErr w:type="spellStart"/>
      <w:r>
        <w:rPr>
          <w:lang w:val="cs-CZ"/>
        </w:rPr>
        <w:t>epilepticus</w:t>
      </w:r>
      <w:proofErr w:type="spellEnd"/>
      <w:r>
        <w:rPr>
          <w:lang w:val="cs-CZ"/>
        </w:rPr>
        <w:t xml:space="preserve"> bez ohledu na frekvenci.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K </w:t>
      </w:r>
      <w:proofErr w:type="gramStart"/>
      <w:r>
        <w:rPr>
          <w:lang w:val="cs-CZ"/>
        </w:rPr>
        <w:t>zajištění  úspěšné</w:t>
      </w:r>
      <w:proofErr w:type="gramEnd"/>
      <w:r>
        <w:rPr>
          <w:lang w:val="cs-CZ"/>
        </w:rPr>
        <w:t xml:space="preserve"> léčby, musí být tablety podávány každý den ve stejnou dobu.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Ukončení nebo přechod z jiných typů </w:t>
      </w:r>
      <w:proofErr w:type="spellStart"/>
      <w:r>
        <w:rPr>
          <w:lang w:val="cs-CZ"/>
        </w:rPr>
        <w:t>antiepileptické</w:t>
      </w:r>
      <w:proofErr w:type="spellEnd"/>
      <w:r>
        <w:rPr>
          <w:lang w:val="cs-CZ"/>
        </w:rPr>
        <w:t xml:space="preserve"> léčby by mělo být postupné, aby se zabránilo zvýšení frekvence záchvatů.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Někteří psi jsou v průběhu léčby bez epileptických záchvatů, některým se ale záchvaty jenom omezí a někteří psi na tuto léčbu nereagují.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Zvláštní opatření pro použití u zvířat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U zvířat s poruchou funkce jater a ledvin, hypovolémií, anémií a srdeční nebo respirační dysfunkcí je třeba dbát zvýšené opatrnosti.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Riziko výskytu </w:t>
      </w:r>
      <w:proofErr w:type="spellStart"/>
      <w:r>
        <w:rPr>
          <w:lang w:val="cs-CZ"/>
        </w:rPr>
        <w:t>hepatotoxických</w:t>
      </w:r>
      <w:proofErr w:type="spellEnd"/>
      <w:r>
        <w:rPr>
          <w:lang w:val="cs-CZ"/>
        </w:rPr>
        <w:t xml:space="preserve"> nežádoucích účinků může být sníženo nebo oddáleno použitím nejnižší možné účinné dávky. V případě dlouhodobé léčby se doporučuje sledování jaterních parametrů.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Doporučuje se provést biochemické </w:t>
      </w:r>
      <w:proofErr w:type="gramStart"/>
      <w:r>
        <w:rPr>
          <w:lang w:val="cs-CZ"/>
        </w:rPr>
        <w:t>vyšetření  pacienta</w:t>
      </w:r>
      <w:proofErr w:type="gramEnd"/>
      <w:r>
        <w:rPr>
          <w:lang w:val="cs-CZ"/>
        </w:rPr>
        <w:t xml:space="preserve"> 2-3 týdny po zahájení léčby a poté každých 4-6 měsíců, např. měřením hodnot jaterních enzymů a sérové hladiny žlučových kyselin. Je důležité vědět, že účinky hypoxie a další účinky spojené s epileptickými záchvaty způsobují zvýšení hladiny jaterních enzymů po záchvatu.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Fenobarbital může zvyšovat aktivitu alkalické fosfatázy a transamináz v </w:t>
      </w:r>
      <w:proofErr w:type="spellStart"/>
      <w:proofErr w:type="gramStart"/>
      <w:r>
        <w:rPr>
          <w:lang w:val="cs-CZ"/>
        </w:rPr>
        <w:t>séru,.Tyto</w:t>
      </w:r>
      <w:proofErr w:type="spellEnd"/>
      <w:proofErr w:type="gramEnd"/>
      <w:r>
        <w:rPr>
          <w:lang w:val="cs-CZ"/>
        </w:rPr>
        <w:t xml:space="preserve"> změny mohou poukazovat na nepatologické změny, ale mohou vyjadřovat </w:t>
      </w:r>
      <w:proofErr w:type="spellStart"/>
      <w:r>
        <w:rPr>
          <w:lang w:val="cs-CZ"/>
        </w:rPr>
        <w:t>hepatotoxické</w:t>
      </w:r>
      <w:proofErr w:type="spellEnd"/>
      <w:r>
        <w:rPr>
          <w:lang w:val="cs-CZ"/>
        </w:rPr>
        <w:t xml:space="preserve"> změny. Proto se v případě podezření na </w:t>
      </w:r>
      <w:proofErr w:type="spellStart"/>
      <w:r>
        <w:rPr>
          <w:lang w:val="cs-CZ"/>
        </w:rPr>
        <w:t>hepatotoxicitu</w:t>
      </w:r>
      <w:proofErr w:type="spellEnd"/>
      <w:r>
        <w:rPr>
          <w:lang w:val="cs-CZ"/>
        </w:rPr>
        <w:t xml:space="preserve"> doporučuje provést jaterní testy. Zvýšené hodnoty jaterních enzymů nevyžadují snížení dávek </w:t>
      </w:r>
      <w:proofErr w:type="gramStart"/>
      <w:r>
        <w:rPr>
          <w:lang w:val="cs-CZ"/>
        </w:rPr>
        <w:t>fenobarbitalu pokud</w:t>
      </w:r>
      <w:proofErr w:type="gramEnd"/>
      <w:r>
        <w:rPr>
          <w:lang w:val="cs-CZ"/>
        </w:rPr>
        <w:t xml:space="preserve"> je hladina žlučových kyselin v séru v normálním rozmezí. Z důvodu </w:t>
      </w:r>
      <w:proofErr w:type="spellStart"/>
      <w:r>
        <w:rPr>
          <w:lang w:val="cs-CZ"/>
        </w:rPr>
        <w:t>hepatotoxicity</w:t>
      </w:r>
      <w:proofErr w:type="spellEnd"/>
      <w:r>
        <w:rPr>
          <w:lang w:val="cs-CZ"/>
        </w:rPr>
        <w:t xml:space="preserve"> fenobarbitalu se v případě dlouhodobé léčby doporučuje sledování jaterních parametrů.</w:t>
      </w:r>
    </w:p>
    <w:p w:rsidR="00A05AF5" w:rsidRDefault="00A05AF5" w:rsidP="00A05AF5">
      <w:pPr>
        <w:spacing w:line="240" w:lineRule="auto"/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U stabilizovaných pacientů s epilepsií se nedoporučuje přecházet z jiných přípravků na </w:t>
      </w:r>
      <w:proofErr w:type="gramStart"/>
      <w:r>
        <w:rPr>
          <w:lang w:val="cs-CZ"/>
        </w:rPr>
        <w:t>bázi  fenobarbitalu</w:t>
      </w:r>
      <w:proofErr w:type="gramEnd"/>
      <w:r>
        <w:rPr>
          <w:lang w:val="cs-CZ"/>
        </w:rPr>
        <w:t xml:space="preserve"> na tablety </w:t>
      </w:r>
      <w:proofErr w:type="spellStart"/>
      <w:r>
        <w:rPr>
          <w:lang w:val="cs-CZ"/>
        </w:rPr>
        <w:t>Phenoleptil</w:t>
      </w:r>
      <w:proofErr w:type="spellEnd"/>
      <w:r>
        <w:rPr>
          <w:lang w:val="cs-CZ"/>
        </w:rPr>
        <w:t xml:space="preserve">. Nicméně pokud se tomu nedá vyhnout, měla by být pacientovi věnována zvláštní pozornost. To zahrnuje častější stanovení koncentrace léčivé látky v plazmě, aby se zajistilo udržení terapeutické hladiny. Do doby než se potvrdí stabilizace pacienta, </w:t>
      </w:r>
      <w:proofErr w:type="gramStart"/>
      <w:r>
        <w:rPr>
          <w:lang w:val="cs-CZ"/>
        </w:rPr>
        <w:t>by</w:t>
      </w:r>
      <w:proofErr w:type="gramEnd"/>
      <w:r>
        <w:rPr>
          <w:lang w:val="cs-CZ"/>
        </w:rPr>
        <w:t xml:space="preserve"> se měly častěji sledovat nežádoucí účinky a poruchy funkce jater.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lastRenderedPageBreak/>
        <w:t xml:space="preserve">Vysazení léčby přípravky na </w:t>
      </w:r>
      <w:proofErr w:type="gramStart"/>
      <w:r>
        <w:rPr>
          <w:lang w:val="cs-CZ"/>
        </w:rPr>
        <w:t>bázi  fenobarbitalu</w:t>
      </w:r>
      <w:proofErr w:type="gramEnd"/>
      <w:r>
        <w:rPr>
          <w:lang w:val="cs-CZ"/>
        </w:rPr>
        <w:t xml:space="preserve"> by mělo být postupné, aby se zabránilo nárůstu frekvence záchvatů.</w:t>
      </w:r>
    </w:p>
    <w:p w:rsidR="00A05AF5" w:rsidRDefault="00A05AF5" w:rsidP="00A05AF5">
      <w:pPr>
        <w:spacing w:line="240" w:lineRule="auto"/>
        <w:jc w:val="both"/>
        <w:rPr>
          <w:b/>
          <w:lang w:val="cs-CZ"/>
        </w:rPr>
      </w:pPr>
    </w:p>
    <w:p w:rsidR="00A05AF5" w:rsidRDefault="00A05AF5" w:rsidP="00A05AF5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Zvláštní opatření určené osobám, které podávají veterinární léčivý přípravek zvířatům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Lidé se známou přecitlivělostí na barbituráty by se měli vyhnout kontaktu s veterinárním léčivým přípravkem. Po použití si umyjte ruce.</w:t>
      </w:r>
    </w:p>
    <w:p w:rsidR="00A05AF5" w:rsidRDefault="00A05AF5" w:rsidP="00A05AF5">
      <w:pPr>
        <w:pStyle w:val="Zhlav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Je třeba věnovat maximální pozornost tomu, aby se děti nedostaly do kontaktu s přípravkem. U dětí je zvlášť vysoké nebezpečí intoxikace, která může být i smrtelná.</w:t>
      </w:r>
    </w:p>
    <w:p w:rsidR="00A05AF5" w:rsidRDefault="00A05AF5" w:rsidP="00A05AF5">
      <w:pPr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 xml:space="preserve">V případě náhodného požití, vyhledejte ihned lékařskou pomoc a ukažte příbalovou informaci nebo etiketu praktickému lékaři. </w:t>
      </w:r>
      <w:r>
        <w:rPr>
          <w:szCs w:val="22"/>
          <w:lang w:val="cs-CZ"/>
        </w:rPr>
        <w:t xml:space="preserve">Je-li to možné, lékař by měl být informován o tom, kdy došlo k požití </w:t>
      </w:r>
      <w:r>
        <w:rPr>
          <w:szCs w:val="22"/>
          <w:lang w:val="cs-CZ"/>
        </w:rPr>
        <w:br/>
        <w:t>a v jakém množství, protože tyto informace mohou pomoci zajistit odpovídající ošetření a léčbu.</w:t>
      </w:r>
    </w:p>
    <w:p w:rsidR="00A05AF5" w:rsidRDefault="00A05AF5" w:rsidP="00A05AF5">
      <w:pPr>
        <w:spacing w:line="240" w:lineRule="auto"/>
        <w:jc w:val="both"/>
        <w:rPr>
          <w:b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Použití v průběhu březosti a laktace</w:t>
      </w:r>
    </w:p>
    <w:p w:rsidR="00A05AF5" w:rsidRDefault="00A05AF5" w:rsidP="00A05AF5">
      <w:pPr>
        <w:tabs>
          <w:tab w:val="left" w:pos="540"/>
        </w:tabs>
        <w:jc w:val="both"/>
        <w:rPr>
          <w:lang w:val="cs-CZ"/>
        </w:rPr>
      </w:pPr>
      <w:r>
        <w:rPr>
          <w:lang w:val="cs-CZ"/>
        </w:rPr>
        <w:t>Fenobarbital prochází přes placentární bariéru a při vyšších dávkách nelze u novorozených mláďat vyloučit příznaky z vysazení. Tento stav je ale reverzibilní. Studie na laboratorních zvířatech prokázaly působení fenobarbitalu na prenatální růst, zejména pokud jde o pohlavní vývoj. S léčbou fenobarbitalem během březosti jsou spojovány sklony ke krvácení u novorozených mláďat. Podání vitamínu K samici po dobu 10 dnů před porodem může přispět k minimalizaci těchto účinků na plod.</w:t>
      </w:r>
    </w:p>
    <w:p w:rsidR="00A05AF5" w:rsidRDefault="00A05AF5" w:rsidP="00A05AF5">
      <w:pPr>
        <w:tabs>
          <w:tab w:val="left" w:pos="540"/>
        </w:tabs>
        <w:jc w:val="both"/>
        <w:rPr>
          <w:lang w:val="cs-CZ"/>
        </w:rPr>
      </w:pPr>
      <w:r>
        <w:rPr>
          <w:lang w:val="cs-CZ"/>
        </w:rPr>
        <w:t xml:space="preserve">Bezpečnost veterinárního léčivého přípravku během březosti psů nebyla stanovena. Přínosy léčby mohou být vyšší než možná rizika na plod (hypoxie a acidóza) spojená s epileptickými záchvaty. Proto se v případě březosti nedoporučuje ukončení </w:t>
      </w:r>
      <w:proofErr w:type="spellStart"/>
      <w:r>
        <w:rPr>
          <w:lang w:val="cs-CZ"/>
        </w:rPr>
        <w:t>antiepileptické</w:t>
      </w:r>
      <w:proofErr w:type="spellEnd"/>
      <w:r>
        <w:rPr>
          <w:lang w:val="cs-CZ"/>
        </w:rPr>
        <w:t xml:space="preserve"> léčby, ale dávka by měla být co nejnižší.</w:t>
      </w:r>
    </w:p>
    <w:p w:rsidR="00A05AF5" w:rsidRDefault="00A05AF5" w:rsidP="00A05AF5">
      <w:pPr>
        <w:tabs>
          <w:tab w:val="left" w:pos="540"/>
        </w:tabs>
        <w:jc w:val="both"/>
        <w:rPr>
          <w:lang w:val="cs-CZ"/>
        </w:rPr>
      </w:pPr>
      <w:r>
        <w:rPr>
          <w:lang w:val="cs-CZ"/>
        </w:rPr>
        <w:t xml:space="preserve">Fenobarbital je v malém množství vylučován do mateřského mléka a během kojení by měla být mláďata pečlivě sledována na nežádoucí sedativní účinky. Může se přistoupit k </w:t>
      </w:r>
      <w:proofErr w:type="spellStart"/>
      <w:r>
        <w:rPr>
          <w:lang w:val="cs-CZ"/>
        </w:rPr>
        <w:t>rannému</w:t>
      </w:r>
      <w:proofErr w:type="spellEnd"/>
      <w:r>
        <w:rPr>
          <w:lang w:val="cs-CZ"/>
        </w:rPr>
        <w:t xml:space="preserve"> odstavení mláďat. Pokud se u sajících novorozených mláďat objeví somnolence / sedativní účinky (které by mohly překážet v sání), měl by se vybrat náhradní způsob výživy.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Použití během březosti a laktace pouze na základě zhodnocení přínosů a rizik ošetřujícím veterinárním lékařem.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pStyle w:val="Zkladntextodsazen"/>
        <w:jc w:val="both"/>
        <w:rPr>
          <w:lang w:val="cs-CZ"/>
        </w:rPr>
      </w:pPr>
      <w:r>
        <w:rPr>
          <w:lang w:val="cs-CZ"/>
        </w:rPr>
        <w:t xml:space="preserve">Předávkování (symptomy, první pomoc, </w:t>
      </w:r>
      <w:proofErr w:type="spellStart"/>
      <w:r>
        <w:rPr>
          <w:lang w:val="cs-CZ"/>
        </w:rPr>
        <w:t>antidota</w:t>
      </w:r>
      <w:proofErr w:type="spellEnd"/>
      <w:r>
        <w:rPr>
          <w:lang w:val="cs-CZ"/>
        </w:rPr>
        <w:t>), pokud je to nutné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Příznaky předávkování jsou: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- útlum centrálního nervového systému projevující se symptomy od spánku až po kóma, 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- dýchací potíže,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- kardiovaskulární problémy, hypotenze a šok vedoucí k selhání ledvin a úhynu.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rFonts w:cs="Arial"/>
          <w:bCs/>
          <w:iCs/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V případě předávkování odstraňte požitý přípravek ze žaludku např. výplachem žaludku. Můžete podat aktivní uhlí. Poskytněte podporu dýchání.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rFonts w:cs="Arial"/>
          <w:bCs/>
          <w:iCs/>
          <w:lang w:val="cs-CZ"/>
        </w:rPr>
      </w:pPr>
    </w:p>
    <w:p w:rsidR="00A05AF5" w:rsidRDefault="00A05AF5" w:rsidP="00A05AF5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 xml:space="preserve">Neexistuje žádné specifické </w:t>
      </w:r>
      <w:proofErr w:type="spellStart"/>
      <w:r>
        <w:rPr>
          <w:lang w:val="cs-CZ"/>
        </w:rPr>
        <w:t>antidotum</w:t>
      </w:r>
      <w:proofErr w:type="spellEnd"/>
      <w:r>
        <w:rPr>
          <w:lang w:val="cs-CZ"/>
        </w:rPr>
        <w:t xml:space="preserve">, ale prostředky povzbuzující CNS (jako </w:t>
      </w:r>
      <w:proofErr w:type="spellStart"/>
      <w:r>
        <w:rPr>
          <w:lang w:val="cs-CZ"/>
        </w:rPr>
        <w:t>doxapram</w:t>
      </w:r>
      <w:proofErr w:type="spellEnd"/>
      <w:r>
        <w:rPr>
          <w:lang w:val="cs-CZ"/>
        </w:rPr>
        <w:t>) mohou stimulovat dýchací centrum. Zajistěte podporu podáním kyslíku.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Interakce s dalšími léčivými přípravky a další formy interakce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Terapeutická dávka fenobarbitalu při </w:t>
      </w:r>
      <w:proofErr w:type="spellStart"/>
      <w:r>
        <w:rPr>
          <w:lang w:val="cs-CZ"/>
        </w:rPr>
        <w:t>antiepileptické</w:t>
      </w:r>
      <w:proofErr w:type="spellEnd"/>
      <w:r>
        <w:rPr>
          <w:lang w:val="cs-CZ"/>
        </w:rPr>
        <w:t xml:space="preserve"> léčbě může být výrazně ovlivněna plazmatickými bílkovinami (jako je </w:t>
      </w:r>
      <w:r>
        <w:rPr>
          <w:rFonts w:cs="Arial"/>
          <w:lang w:val="cs-CZ"/>
        </w:rPr>
        <w:t>α</w:t>
      </w:r>
      <w:r>
        <w:rPr>
          <w:lang w:val="cs-CZ"/>
        </w:rPr>
        <w:t>1-kyselý glykoprotein, AGP), který na sebe váže léčivé látky. Proto musí být věnována zvláštní pozornost farmakokinetice a dávkám současně podávaných léčiv.</w:t>
      </w:r>
    </w:p>
    <w:p w:rsidR="00A05AF5" w:rsidRDefault="00A05AF5" w:rsidP="00A05AF5">
      <w:pPr>
        <w:jc w:val="both"/>
        <w:rPr>
          <w:lang w:val="cs-CZ"/>
        </w:rPr>
      </w:pPr>
      <w:r>
        <w:rPr>
          <w:lang w:val="cs-CZ"/>
        </w:rPr>
        <w:t>Plazmatická koncentrace cyklosporinu, hormonů štítné žlázy a teofylinu je v případě souběžného podávání fenobarbitalu snížena. Účinnost těchto látek je také snížena.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Cimetidin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ketokonazol</w:t>
      </w:r>
      <w:proofErr w:type="spellEnd"/>
      <w:r>
        <w:rPr>
          <w:lang w:val="cs-CZ"/>
        </w:rPr>
        <w:t xml:space="preserve"> jsou inhibitory jaterních enzymů: současné užívání s fenobarbitalem může vyvolat zvýšení sérové koncentrace fenobarbitalu.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Současné užívání bromidu draselného zvyšuje riziko pankreatitidy.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Současné užívání s jinými léčivy, která mají centrální </w:t>
      </w:r>
      <w:proofErr w:type="gramStart"/>
      <w:r>
        <w:rPr>
          <w:lang w:val="cs-CZ"/>
        </w:rPr>
        <w:t>tlumivé  účinky</w:t>
      </w:r>
      <w:proofErr w:type="gramEnd"/>
      <w:r>
        <w:rPr>
          <w:lang w:val="cs-CZ"/>
        </w:rPr>
        <w:t xml:space="preserve">, jako jsou narkotická analgetika, deriváty morfinu, </w:t>
      </w:r>
      <w:proofErr w:type="spellStart"/>
      <w:r>
        <w:rPr>
          <w:lang w:val="cs-CZ"/>
        </w:rPr>
        <w:t>fenothiaziny</w:t>
      </w:r>
      <w:proofErr w:type="spellEnd"/>
      <w:r>
        <w:rPr>
          <w:lang w:val="cs-CZ"/>
        </w:rPr>
        <w:t xml:space="preserve">, antihistaminika, </w:t>
      </w:r>
      <w:proofErr w:type="spellStart"/>
      <w:r>
        <w:rPr>
          <w:lang w:val="cs-CZ"/>
        </w:rPr>
        <w:t>klomipramin</w:t>
      </w:r>
      <w:proofErr w:type="spellEnd"/>
      <w:r>
        <w:rPr>
          <w:lang w:val="cs-CZ"/>
        </w:rPr>
        <w:t xml:space="preserve"> a chloramfenikol, mohou účinek fenobarbitalu snižovat.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Fenobarbital může zvyšovat metabolismus, a tedy snižovat účinek antiepileptik, chloramfenikolu, kortikosteroidů, doxycyklinu, beta-blokátorů a </w:t>
      </w:r>
      <w:proofErr w:type="spellStart"/>
      <w:r>
        <w:rPr>
          <w:lang w:val="cs-CZ"/>
        </w:rPr>
        <w:t>metronidazolu</w:t>
      </w:r>
      <w:proofErr w:type="spellEnd"/>
      <w:r>
        <w:rPr>
          <w:lang w:val="cs-CZ"/>
        </w:rPr>
        <w:t>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lastRenderedPageBreak/>
        <w:t>Spolehlivost perorálních antikoncepčních prostředků je nižší.</w:t>
      </w: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lang w:val="cs-CZ"/>
        </w:rPr>
        <w:t>Fenobarbital může snižovat absorpci griseofulvinu.</w:t>
      </w:r>
    </w:p>
    <w:p w:rsidR="00A05AF5" w:rsidRDefault="00A05AF5" w:rsidP="00A05AF5">
      <w:pPr>
        <w:jc w:val="both"/>
        <w:rPr>
          <w:bCs/>
          <w:lang w:val="cs-CZ"/>
        </w:rPr>
      </w:pPr>
      <w:r>
        <w:rPr>
          <w:lang w:val="cs-CZ"/>
        </w:rPr>
        <w:t xml:space="preserve">Následující léčiva mohou snižovat křečový práh: například </w:t>
      </w:r>
      <w:proofErr w:type="spellStart"/>
      <w:r>
        <w:rPr>
          <w:lang w:val="cs-CZ"/>
        </w:rPr>
        <w:t>chinolony</w:t>
      </w:r>
      <w:proofErr w:type="spellEnd"/>
      <w:r>
        <w:rPr>
          <w:lang w:val="cs-CZ"/>
        </w:rPr>
        <w:t>, vysoké dávky β-</w:t>
      </w:r>
      <w:proofErr w:type="spellStart"/>
      <w:r>
        <w:rPr>
          <w:lang w:val="cs-CZ"/>
        </w:rPr>
        <w:t>laktamových</w:t>
      </w:r>
      <w:proofErr w:type="spellEnd"/>
      <w:r>
        <w:rPr>
          <w:lang w:val="cs-CZ"/>
        </w:rPr>
        <w:t xml:space="preserve"> antibiotik, teofylin, aminofylin, cyklosporin a </w:t>
      </w:r>
      <w:proofErr w:type="spellStart"/>
      <w:r>
        <w:rPr>
          <w:lang w:val="cs-CZ"/>
        </w:rPr>
        <w:t>propofol</w:t>
      </w:r>
      <w:proofErr w:type="spellEnd"/>
      <w:r>
        <w:rPr>
          <w:lang w:val="cs-CZ"/>
        </w:rPr>
        <w:t xml:space="preserve">. Léčiva, která </w:t>
      </w:r>
      <w:proofErr w:type="gramStart"/>
      <w:r>
        <w:rPr>
          <w:lang w:val="cs-CZ"/>
        </w:rPr>
        <w:t>mohou</w:t>
      </w:r>
      <w:proofErr w:type="gramEnd"/>
      <w:r>
        <w:rPr>
          <w:lang w:val="cs-CZ"/>
        </w:rPr>
        <w:t xml:space="preserve"> měnit práh pro vznik záchvatů by </w:t>
      </w:r>
      <w:proofErr w:type="gramStart"/>
      <w:r>
        <w:rPr>
          <w:lang w:val="cs-CZ"/>
        </w:rPr>
        <w:t>měla</w:t>
      </w:r>
      <w:proofErr w:type="gramEnd"/>
      <w:r>
        <w:rPr>
          <w:lang w:val="cs-CZ"/>
        </w:rPr>
        <w:t xml:space="preserve"> být používána pouze v případě, že to je skutečně nutné a pokud neexistuje žádná bezpečnější alternativa.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b/>
          <w:lang w:val="cs-CZ"/>
        </w:rPr>
      </w:pPr>
      <w:r>
        <w:rPr>
          <w:b/>
          <w:lang w:val="cs-CZ"/>
        </w:rPr>
        <w:t>13.</w:t>
      </w:r>
      <w:r>
        <w:rPr>
          <w:b/>
          <w:lang w:val="cs-CZ"/>
        </w:rPr>
        <w:tab/>
        <w:t>ZVLÁŠTNÍ OPATŘENÍ PRO ZNEŠKODŇOVÁNÍ NEPOUŽITÝCH PŘÍPRAVKŮ NEBO ODPADU, POKUD JE JICH TŘEBA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  <w:r>
        <w:rPr>
          <w:lang w:val="cs-CZ"/>
        </w:rPr>
        <w:t>Léčivé přípravky se nesmí likvidovat prostřednictvím odpadní vody či domovního odpadu.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10"/>
        <w:jc w:val="both"/>
        <w:rPr>
          <w:lang w:val="cs-CZ"/>
        </w:rPr>
      </w:pPr>
      <w:r>
        <w:rPr>
          <w:lang w:val="cs-CZ"/>
        </w:rPr>
        <w:t>O možnostech likvidace nepotřebných léčivých přípravků se poraďte s vaším veterinárním lékařem. Tato opatření napomáhají chránit životní prostředí.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14.</w:t>
      </w:r>
      <w:r>
        <w:rPr>
          <w:b/>
          <w:lang w:val="cs-CZ"/>
        </w:rPr>
        <w:tab/>
        <w:t>DATUM POSLEDNÍ REVIZE PŘÍBALOVÉ INFORMACE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A05AF5" w:rsidRDefault="00B26FA1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  <w:r>
        <w:rPr>
          <w:lang w:val="cs-CZ"/>
        </w:rPr>
        <w:t>Červenec</w:t>
      </w:r>
      <w:bookmarkStart w:id="0" w:name="_GoBack"/>
      <w:bookmarkEnd w:id="0"/>
      <w:r w:rsidR="00A05AF5">
        <w:rPr>
          <w:lang w:val="cs-CZ"/>
        </w:rPr>
        <w:t xml:space="preserve"> 2014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A05AF5" w:rsidRDefault="00A05AF5" w:rsidP="00A05AF5">
      <w:pPr>
        <w:spacing w:line="240" w:lineRule="auto"/>
        <w:ind w:left="567" w:hanging="567"/>
        <w:jc w:val="both"/>
        <w:rPr>
          <w:lang w:val="cs-CZ"/>
        </w:rPr>
      </w:pPr>
      <w:r>
        <w:rPr>
          <w:b/>
          <w:lang w:val="cs-CZ"/>
        </w:rPr>
        <w:t>15.</w:t>
      </w:r>
      <w:r>
        <w:rPr>
          <w:b/>
          <w:lang w:val="cs-CZ"/>
        </w:rPr>
        <w:tab/>
        <w:t>DALŠÍ INFORMACE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Farmakodynamické vlastnosti</w:t>
      </w:r>
    </w:p>
    <w:p w:rsidR="00A05AF5" w:rsidRDefault="00A05AF5" w:rsidP="00A05AF5">
      <w:pPr>
        <w:jc w:val="both"/>
        <w:rPr>
          <w:lang w:val="cs-CZ"/>
        </w:rPr>
      </w:pPr>
      <w:proofErr w:type="spellStart"/>
      <w:r>
        <w:rPr>
          <w:lang w:val="cs-CZ"/>
        </w:rPr>
        <w:t>Antiepileptické</w:t>
      </w:r>
      <w:proofErr w:type="spellEnd"/>
      <w:r>
        <w:rPr>
          <w:lang w:val="cs-CZ"/>
        </w:rPr>
        <w:t xml:space="preserve"> účinky fenobarbitalu jsou pravděpodobně výsledkem nejméně dvou mechanismů, kterými jsou snížení </w:t>
      </w:r>
      <w:proofErr w:type="spellStart"/>
      <w:r>
        <w:rPr>
          <w:lang w:val="cs-CZ"/>
        </w:rPr>
        <w:t>monosynaptického</w:t>
      </w:r>
      <w:proofErr w:type="spellEnd"/>
      <w:r>
        <w:rPr>
          <w:lang w:val="cs-CZ"/>
        </w:rPr>
        <w:t xml:space="preserve"> přenosu, </w:t>
      </w:r>
      <w:proofErr w:type="gramStart"/>
      <w:r>
        <w:rPr>
          <w:lang w:val="cs-CZ"/>
        </w:rPr>
        <w:t>které  pravděpodobně</w:t>
      </w:r>
      <w:proofErr w:type="gramEnd"/>
      <w:r>
        <w:rPr>
          <w:lang w:val="cs-CZ"/>
        </w:rPr>
        <w:t xml:space="preserve"> vede ke snížení </w:t>
      </w:r>
      <w:proofErr w:type="spellStart"/>
      <w:r>
        <w:rPr>
          <w:lang w:val="cs-CZ"/>
        </w:rPr>
        <w:t>neuronální</w:t>
      </w:r>
      <w:proofErr w:type="spellEnd"/>
      <w:r>
        <w:rPr>
          <w:lang w:val="cs-CZ"/>
        </w:rPr>
        <w:t xml:space="preserve"> dráždivosti a zvýšení prahu motorické kůry pro elektrickou stimulaci.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spacing w:line="240" w:lineRule="auto"/>
        <w:jc w:val="both"/>
        <w:rPr>
          <w:lang w:val="cs-CZ"/>
        </w:rPr>
      </w:pPr>
      <w:r>
        <w:rPr>
          <w:b/>
          <w:lang w:val="cs-CZ"/>
        </w:rPr>
        <w:t>Farmakokinetické údaje</w:t>
      </w:r>
    </w:p>
    <w:p w:rsidR="00A05AF5" w:rsidRDefault="00A05AF5" w:rsidP="00A05AF5">
      <w:pPr>
        <w:pStyle w:val="z-Zatekformule"/>
      </w:pPr>
      <w:r>
        <w:t>Začátek formuláře</w:t>
      </w:r>
    </w:p>
    <w:p w:rsidR="00A05AF5" w:rsidRDefault="00A05AF5" w:rsidP="00A05AF5">
      <w:pPr>
        <w:jc w:val="both"/>
        <w:rPr>
          <w:lang w:val="cs-CZ"/>
        </w:rPr>
      </w:pPr>
      <w:r>
        <w:rPr>
          <w:lang w:val="cs-CZ"/>
        </w:rPr>
        <w:t>Asi 45 % koncentrace v plazmě je vázáno na bílkoviny. Léčivá látka je metabolizována formou aromatické hydroxylace fenylové skupiny v poloze para (p-</w:t>
      </w:r>
      <w:proofErr w:type="spellStart"/>
      <w:r>
        <w:rPr>
          <w:lang w:val="cs-CZ"/>
        </w:rPr>
        <w:t>hydroxyfenobarbital</w:t>
      </w:r>
      <w:proofErr w:type="spellEnd"/>
      <w:r>
        <w:rPr>
          <w:lang w:val="cs-CZ"/>
        </w:rPr>
        <w:t>) a asi 25 % účinné látky se vylučuje v nezměněné formě močí. Biologický poločas vylučování se mezi jednotlivci značně liší a pohybuje se v rozmezí 40-90 hodin.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pStyle w:val="z-Konecformule"/>
      </w:pPr>
      <w:r>
        <w:t>Konec formuláře</w:t>
      </w:r>
    </w:p>
    <w:p w:rsidR="00A05AF5" w:rsidRDefault="00A05AF5" w:rsidP="00A05AF5">
      <w:pPr>
        <w:autoSpaceDE w:val="0"/>
        <w:autoSpaceDN w:val="0"/>
        <w:adjustRightInd w:val="0"/>
        <w:rPr>
          <w:szCs w:val="22"/>
          <w:lang w:val="cs-CZ"/>
        </w:rPr>
      </w:pPr>
      <w:r>
        <w:rPr>
          <w:szCs w:val="22"/>
          <w:lang w:val="cs-CZ"/>
        </w:rPr>
        <w:t>100 tablet v papírové krabičce, která obsahuje 10 Al/PVC blistrů a každý blistr obsahuje 10 tablet.</w:t>
      </w:r>
    </w:p>
    <w:p w:rsidR="00A05AF5" w:rsidRDefault="00A05AF5" w:rsidP="00A05AF5">
      <w:pPr>
        <w:autoSpaceDE w:val="0"/>
        <w:autoSpaceDN w:val="0"/>
        <w:adjustRightInd w:val="0"/>
        <w:rPr>
          <w:szCs w:val="22"/>
          <w:lang w:val="cs-CZ"/>
        </w:rPr>
      </w:pPr>
      <w:r>
        <w:rPr>
          <w:szCs w:val="22"/>
          <w:lang w:val="cs-CZ"/>
        </w:rPr>
        <w:t>500 tablet v papírové krabičce, která obsahuje 50 Al/PVC blistrů a každý blistr obsahuje 10 tablet.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Na trhu nemusí být všechny velikosti balení.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  <w:r>
        <w:rPr>
          <w:lang w:val="cs-CZ"/>
        </w:rPr>
        <w:t>Pouze pro zvířata.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113"/>
        <w:jc w:val="both"/>
        <w:rPr>
          <w:lang w:val="cs-CZ"/>
        </w:rPr>
      </w:pPr>
      <w:r>
        <w:rPr>
          <w:lang w:val="cs-CZ"/>
        </w:rPr>
        <w:t>Veterinární léčivý přípravek je vydáván pouze na předpis.</w:t>
      </w:r>
    </w:p>
    <w:p w:rsidR="00A05AF5" w:rsidRDefault="00A05AF5" w:rsidP="00A05AF5">
      <w:pPr>
        <w:tabs>
          <w:tab w:val="clear" w:pos="567"/>
          <w:tab w:val="left" w:pos="708"/>
        </w:tabs>
        <w:spacing w:line="240" w:lineRule="auto"/>
        <w:ind w:right="113"/>
        <w:jc w:val="both"/>
        <w:rPr>
          <w:lang w:val="cs-CZ"/>
        </w:rPr>
      </w:pPr>
      <w:r>
        <w:rPr>
          <w:lang w:val="cs-CZ"/>
        </w:rPr>
        <w:t xml:space="preserve">Přípravek obsahuje návykové látky. </w:t>
      </w:r>
      <w:r>
        <w:rPr>
          <w:noProof/>
          <w:lang w:val="cs-CZ" w:eastAsia="cs-CZ"/>
        </w:rPr>
        <w:drawing>
          <wp:inline distT="0" distB="0" distL="0" distR="0">
            <wp:extent cx="495300" cy="295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Default="005C30CC"/>
    <w:sectPr w:rsidR="005C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E"/>
    <w:rsid w:val="002A791C"/>
    <w:rsid w:val="005C30CC"/>
    <w:rsid w:val="00A05AF5"/>
    <w:rsid w:val="00B26FA1"/>
    <w:rsid w:val="00C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AF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05AF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eastAsia="x-none"/>
    </w:rPr>
  </w:style>
  <w:style w:type="character" w:customStyle="1" w:styleId="ZhlavChar">
    <w:name w:val="Záhlaví Char"/>
    <w:basedOn w:val="Standardnpsmoodstavce"/>
    <w:link w:val="Zhlav"/>
    <w:semiHidden/>
    <w:rsid w:val="00A05AF5"/>
    <w:rPr>
      <w:rFonts w:ascii="Helvetica" w:eastAsia="Times New Roman" w:hAnsi="Helvetica" w:cs="Times New Roman"/>
      <w:sz w:val="20"/>
      <w:szCs w:val="20"/>
      <w:lang w:val="en-GB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A05AF5"/>
    <w:pPr>
      <w:tabs>
        <w:tab w:val="clear" w:pos="567"/>
      </w:tabs>
      <w:spacing w:line="240" w:lineRule="auto"/>
      <w:ind w:left="567" w:hanging="567"/>
    </w:pPr>
    <w:rPr>
      <w:b/>
      <w:lang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5AF5"/>
    <w:rPr>
      <w:rFonts w:ascii="Times New Roman" w:eastAsia="Times New Roman" w:hAnsi="Times New Roman" w:cs="Times New Roman"/>
      <w:b/>
      <w:szCs w:val="20"/>
      <w:lang w:val="en-GB" w:eastAsia="x-none"/>
    </w:r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A05A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semiHidden/>
    <w:rsid w:val="00A05AF5"/>
    <w:rPr>
      <w:rFonts w:ascii="Arial" w:eastAsia="Times New Roman" w:hAnsi="Arial" w:cs="Arial"/>
      <w:vanish/>
      <w:sz w:val="16"/>
      <w:szCs w:val="16"/>
      <w:lang w:val="en-GB"/>
    </w:rPr>
  </w:style>
  <w:style w:type="paragraph" w:styleId="z-Konecformule">
    <w:name w:val="HTML Bottom of Form"/>
    <w:basedOn w:val="Normln"/>
    <w:next w:val="Normln"/>
    <w:link w:val="z-KonecformuleChar"/>
    <w:hidden/>
    <w:semiHidden/>
    <w:unhideWhenUsed/>
    <w:rsid w:val="00A05A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semiHidden/>
    <w:rsid w:val="00A05AF5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AF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05AF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eastAsia="x-none"/>
    </w:rPr>
  </w:style>
  <w:style w:type="character" w:customStyle="1" w:styleId="ZhlavChar">
    <w:name w:val="Záhlaví Char"/>
    <w:basedOn w:val="Standardnpsmoodstavce"/>
    <w:link w:val="Zhlav"/>
    <w:semiHidden/>
    <w:rsid w:val="00A05AF5"/>
    <w:rPr>
      <w:rFonts w:ascii="Helvetica" w:eastAsia="Times New Roman" w:hAnsi="Helvetica" w:cs="Times New Roman"/>
      <w:sz w:val="20"/>
      <w:szCs w:val="20"/>
      <w:lang w:val="en-GB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A05AF5"/>
    <w:pPr>
      <w:tabs>
        <w:tab w:val="clear" w:pos="567"/>
      </w:tabs>
      <w:spacing w:line="240" w:lineRule="auto"/>
      <w:ind w:left="567" w:hanging="567"/>
    </w:pPr>
    <w:rPr>
      <w:b/>
      <w:lang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5AF5"/>
    <w:rPr>
      <w:rFonts w:ascii="Times New Roman" w:eastAsia="Times New Roman" w:hAnsi="Times New Roman" w:cs="Times New Roman"/>
      <w:b/>
      <w:szCs w:val="20"/>
      <w:lang w:val="en-GB" w:eastAsia="x-none"/>
    </w:r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A05A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semiHidden/>
    <w:rsid w:val="00A05AF5"/>
    <w:rPr>
      <w:rFonts w:ascii="Arial" w:eastAsia="Times New Roman" w:hAnsi="Arial" w:cs="Arial"/>
      <w:vanish/>
      <w:sz w:val="16"/>
      <w:szCs w:val="16"/>
      <w:lang w:val="en-GB"/>
    </w:rPr>
  </w:style>
  <w:style w:type="paragraph" w:styleId="z-Konecformule">
    <w:name w:val="HTML Bottom of Form"/>
    <w:basedOn w:val="Normln"/>
    <w:next w:val="Normln"/>
    <w:link w:val="z-KonecformuleChar"/>
    <w:hidden/>
    <w:semiHidden/>
    <w:unhideWhenUsed/>
    <w:rsid w:val="00A05A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semiHidden/>
    <w:rsid w:val="00A05AF5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3</cp:revision>
  <dcterms:created xsi:type="dcterms:W3CDTF">2015-07-02T04:18:00Z</dcterms:created>
  <dcterms:modified xsi:type="dcterms:W3CDTF">2015-07-02T04:32:00Z</dcterms:modified>
</cp:coreProperties>
</file>