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46" w:rsidRPr="0061753A" w:rsidRDefault="00EB4946" w:rsidP="0069091F">
      <w:pPr>
        <w:ind w:right="113"/>
        <w:jc w:val="both"/>
        <w:rPr>
          <w:b/>
        </w:rPr>
      </w:pPr>
      <w:bookmarkStart w:id="0" w:name="_GoBack"/>
      <w:bookmarkEnd w:id="0"/>
    </w:p>
    <w:p w:rsidR="00AA256D" w:rsidRPr="0061753A" w:rsidRDefault="00AA256D" w:rsidP="0069091F">
      <w:pPr>
        <w:ind w:right="113"/>
        <w:jc w:val="both"/>
        <w:rPr>
          <w:b/>
        </w:rPr>
      </w:pPr>
    </w:p>
    <w:p w:rsidR="00AA256D" w:rsidRPr="0061753A" w:rsidRDefault="00AA256D" w:rsidP="0069091F">
      <w:pPr>
        <w:ind w:right="113"/>
        <w:jc w:val="both"/>
        <w:rPr>
          <w:b/>
        </w:rPr>
      </w:pPr>
    </w:p>
    <w:p w:rsidR="00AA256D" w:rsidRPr="0061753A" w:rsidRDefault="00AA256D" w:rsidP="0069091F">
      <w:pPr>
        <w:ind w:right="113"/>
        <w:jc w:val="both"/>
        <w:rPr>
          <w:b/>
        </w:rPr>
      </w:pPr>
    </w:p>
    <w:p w:rsidR="00AA256D" w:rsidRPr="0061753A" w:rsidRDefault="00AA256D" w:rsidP="0069091F">
      <w:pPr>
        <w:ind w:right="113"/>
        <w:jc w:val="both"/>
        <w:rPr>
          <w:b/>
        </w:rPr>
      </w:pPr>
    </w:p>
    <w:p w:rsidR="00AA256D" w:rsidRPr="0061753A" w:rsidRDefault="00AA256D" w:rsidP="0069091F">
      <w:pPr>
        <w:ind w:right="113"/>
        <w:jc w:val="both"/>
        <w:rPr>
          <w:b/>
        </w:rPr>
      </w:pPr>
    </w:p>
    <w:p w:rsidR="00AA256D" w:rsidRPr="0061753A" w:rsidRDefault="00AA256D" w:rsidP="0069091F">
      <w:pPr>
        <w:ind w:right="113"/>
        <w:jc w:val="both"/>
        <w:rPr>
          <w:b/>
        </w:rPr>
      </w:pPr>
    </w:p>
    <w:p w:rsidR="00AA256D" w:rsidRPr="0061753A" w:rsidRDefault="00AA256D" w:rsidP="0069091F">
      <w:pPr>
        <w:ind w:right="113"/>
        <w:jc w:val="both"/>
        <w:rPr>
          <w:b/>
        </w:rPr>
      </w:pPr>
    </w:p>
    <w:p w:rsidR="00AA256D" w:rsidRPr="0061753A" w:rsidRDefault="00AA256D" w:rsidP="0069091F">
      <w:pPr>
        <w:ind w:right="113"/>
        <w:jc w:val="both"/>
        <w:rPr>
          <w:b/>
        </w:rPr>
      </w:pPr>
    </w:p>
    <w:p w:rsidR="00AA256D" w:rsidRPr="0061753A" w:rsidRDefault="00AA256D" w:rsidP="0069091F">
      <w:pPr>
        <w:ind w:right="113"/>
        <w:jc w:val="both"/>
        <w:rPr>
          <w:b/>
        </w:rPr>
      </w:pPr>
    </w:p>
    <w:p w:rsidR="00AA256D" w:rsidRPr="0061753A" w:rsidRDefault="00AA256D" w:rsidP="0069091F">
      <w:pPr>
        <w:ind w:right="113"/>
        <w:jc w:val="both"/>
        <w:rPr>
          <w:b/>
        </w:rPr>
      </w:pPr>
    </w:p>
    <w:p w:rsidR="00AA256D" w:rsidRPr="0061753A" w:rsidRDefault="00AA256D" w:rsidP="0069091F">
      <w:pPr>
        <w:ind w:right="113"/>
        <w:jc w:val="both"/>
        <w:rPr>
          <w:b/>
        </w:rPr>
      </w:pPr>
    </w:p>
    <w:p w:rsidR="00AA256D" w:rsidRPr="0061753A" w:rsidRDefault="00AA256D" w:rsidP="0069091F">
      <w:pPr>
        <w:ind w:right="113"/>
        <w:jc w:val="both"/>
        <w:rPr>
          <w:b/>
        </w:rPr>
      </w:pPr>
    </w:p>
    <w:p w:rsidR="00EB4946" w:rsidRPr="0061753A" w:rsidRDefault="00EB4946" w:rsidP="0069091F">
      <w:pPr>
        <w:ind w:right="113"/>
        <w:jc w:val="both"/>
        <w:rPr>
          <w:b/>
        </w:rPr>
      </w:pPr>
    </w:p>
    <w:p w:rsidR="00EB4946" w:rsidRPr="0061753A" w:rsidRDefault="00EB4946" w:rsidP="0069091F">
      <w:pPr>
        <w:ind w:right="113"/>
        <w:jc w:val="both"/>
        <w:rPr>
          <w:b/>
        </w:rPr>
      </w:pPr>
    </w:p>
    <w:p w:rsidR="00EB4946" w:rsidRPr="0061753A" w:rsidRDefault="00EB4946" w:rsidP="0069091F">
      <w:pPr>
        <w:ind w:right="113"/>
        <w:jc w:val="both"/>
        <w:rPr>
          <w:b/>
        </w:rPr>
      </w:pPr>
    </w:p>
    <w:p w:rsidR="00EB4946" w:rsidRPr="0061753A" w:rsidRDefault="00EB4946" w:rsidP="0069091F">
      <w:pPr>
        <w:ind w:right="113"/>
        <w:jc w:val="both"/>
        <w:rPr>
          <w:b/>
        </w:rPr>
      </w:pPr>
    </w:p>
    <w:p w:rsidR="00EB4946" w:rsidRPr="0061753A" w:rsidRDefault="00EB4946" w:rsidP="0069091F">
      <w:pPr>
        <w:ind w:right="113"/>
        <w:jc w:val="both"/>
        <w:rPr>
          <w:b/>
        </w:rPr>
      </w:pPr>
    </w:p>
    <w:p w:rsidR="00EB4946" w:rsidRPr="0061753A" w:rsidRDefault="00EB4946" w:rsidP="0069091F">
      <w:pPr>
        <w:ind w:right="113"/>
        <w:jc w:val="both"/>
        <w:rPr>
          <w:b/>
        </w:rPr>
      </w:pPr>
    </w:p>
    <w:p w:rsidR="00EB4946" w:rsidRPr="0061753A" w:rsidRDefault="00EB4946" w:rsidP="0069091F">
      <w:pPr>
        <w:ind w:right="113"/>
        <w:jc w:val="both"/>
        <w:rPr>
          <w:b/>
        </w:rPr>
      </w:pPr>
    </w:p>
    <w:p w:rsidR="00EB4946" w:rsidRPr="0061753A" w:rsidRDefault="00EB4946" w:rsidP="0069091F">
      <w:pPr>
        <w:ind w:right="113"/>
        <w:jc w:val="both"/>
        <w:rPr>
          <w:b/>
        </w:rPr>
      </w:pPr>
    </w:p>
    <w:p w:rsidR="00EB4946" w:rsidRPr="0061753A" w:rsidRDefault="00EB4946" w:rsidP="0069091F">
      <w:pPr>
        <w:ind w:right="113"/>
        <w:jc w:val="both"/>
        <w:rPr>
          <w:b/>
        </w:rPr>
      </w:pPr>
    </w:p>
    <w:p w:rsidR="00EB4946" w:rsidRPr="0061753A" w:rsidRDefault="00EB4946">
      <w:pPr>
        <w:ind w:right="113"/>
        <w:jc w:val="center"/>
        <w:rPr>
          <w:b/>
        </w:rPr>
      </w:pPr>
    </w:p>
    <w:p w:rsidR="00554D84" w:rsidRPr="0061753A" w:rsidRDefault="00554D84">
      <w:pPr>
        <w:ind w:right="113"/>
        <w:jc w:val="center"/>
      </w:pPr>
      <w:r w:rsidRPr="0061753A">
        <w:rPr>
          <w:b/>
        </w:rPr>
        <w:t>B. PŘÍBALOVÁ INFORMACE</w:t>
      </w:r>
    </w:p>
    <w:p w:rsidR="00554D84" w:rsidRPr="0061753A" w:rsidRDefault="00554D84">
      <w:pPr>
        <w:jc w:val="center"/>
        <w:rPr>
          <w:b/>
        </w:rPr>
      </w:pPr>
      <w:r w:rsidRPr="0061753A">
        <w:br w:type="page"/>
      </w:r>
      <w:r w:rsidRPr="0061753A">
        <w:rPr>
          <w:b/>
        </w:rPr>
        <w:lastRenderedPageBreak/>
        <w:t>PŘÍBALOVÁ INFORMACE</w:t>
      </w:r>
      <w:r w:rsidR="00CF421C" w:rsidRPr="0061753A">
        <w:rPr>
          <w:b/>
        </w:rPr>
        <w:t xml:space="preserve"> PRO:</w:t>
      </w:r>
    </w:p>
    <w:p w:rsidR="00902572" w:rsidRPr="0061753A" w:rsidRDefault="00902572">
      <w:pPr>
        <w:jc w:val="center"/>
      </w:pPr>
    </w:p>
    <w:p w:rsidR="00554D84" w:rsidRDefault="00902572">
      <w:pPr>
        <w:jc w:val="center"/>
      </w:pPr>
      <w:r w:rsidRPr="0061753A">
        <w:t>CURACEF DUO 50 mg/ml / 150 mg/ml injekční suspenze pro skot</w:t>
      </w:r>
    </w:p>
    <w:p w:rsidR="00481EEB" w:rsidRPr="0061753A" w:rsidRDefault="00481EEB" w:rsidP="0069091F">
      <w:pPr>
        <w:ind w:right="-318"/>
        <w:jc w:val="center"/>
        <w:rPr>
          <w:b/>
          <w:szCs w:val="22"/>
        </w:rPr>
      </w:pPr>
      <w:r w:rsidRPr="0061753A">
        <w:rPr>
          <w:szCs w:val="22"/>
        </w:rPr>
        <w:t>Přípravek s indikačním omezením</w:t>
      </w:r>
    </w:p>
    <w:p w:rsidR="00481EEB" w:rsidRPr="0061753A" w:rsidRDefault="00481EEB">
      <w:pPr>
        <w:jc w:val="center"/>
      </w:pPr>
    </w:p>
    <w:p w:rsidR="00902572" w:rsidRPr="0061753A" w:rsidRDefault="00902572" w:rsidP="0069091F">
      <w:pPr>
        <w:jc w:val="both"/>
      </w:pPr>
    </w:p>
    <w:p w:rsidR="00554D84" w:rsidRPr="0061753A" w:rsidRDefault="00554D84" w:rsidP="0069091F">
      <w:pPr>
        <w:jc w:val="both"/>
        <w:rPr>
          <w:b/>
        </w:rPr>
      </w:pPr>
      <w:r w:rsidRPr="0061753A">
        <w:rPr>
          <w:b/>
        </w:rPr>
        <w:t>1.</w:t>
      </w:r>
      <w:r w:rsidRPr="0061753A"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Pr="0061753A" w:rsidRDefault="00554D84" w:rsidP="0069091F">
      <w:pPr>
        <w:jc w:val="both"/>
        <w:rPr>
          <w:b/>
        </w:rPr>
      </w:pPr>
    </w:p>
    <w:p w:rsidR="00554D84" w:rsidRPr="0061753A" w:rsidRDefault="00554D84" w:rsidP="0069091F">
      <w:pPr>
        <w:jc w:val="both"/>
        <w:rPr>
          <w:iCs/>
        </w:rPr>
      </w:pPr>
      <w:r w:rsidRPr="0061753A">
        <w:rPr>
          <w:iCs/>
          <w:u w:val="single"/>
        </w:rPr>
        <w:t>Držitel rozhodnutí o registraci a výrobce</w:t>
      </w:r>
      <w:r w:rsidR="00ED08CE" w:rsidRPr="0061753A">
        <w:rPr>
          <w:iCs/>
          <w:u w:val="single"/>
        </w:rPr>
        <w:t xml:space="preserve"> odpovědný za uvolnění šarže</w:t>
      </w:r>
      <w:r w:rsidRPr="0061753A">
        <w:rPr>
          <w:iCs/>
        </w:rPr>
        <w:t>:</w:t>
      </w:r>
    </w:p>
    <w:p w:rsidR="00902572" w:rsidRPr="0069091F" w:rsidRDefault="00902572" w:rsidP="0069091F">
      <w:pPr>
        <w:ind w:left="0" w:right="-318" w:firstLine="0"/>
        <w:jc w:val="both"/>
        <w:rPr>
          <w:caps/>
        </w:rPr>
      </w:pPr>
      <w:r w:rsidRPr="0069091F">
        <w:rPr>
          <w:caps/>
        </w:rPr>
        <w:t>VIRBAC</w:t>
      </w:r>
    </w:p>
    <w:p w:rsidR="00902572" w:rsidRPr="0069091F" w:rsidRDefault="00902572">
      <w:pPr>
        <w:ind w:left="0" w:right="-318" w:firstLine="0"/>
        <w:jc w:val="both"/>
      </w:pPr>
      <w:r w:rsidRPr="0069091F">
        <w:t xml:space="preserve">1ère avenue – 2065m – </w:t>
      </w:r>
      <w:proofErr w:type="gramStart"/>
      <w:r w:rsidRPr="0069091F">
        <w:t>L.I.D.</w:t>
      </w:r>
      <w:proofErr w:type="gramEnd"/>
    </w:p>
    <w:p w:rsidR="00902572" w:rsidRPr="0069091F" w:rsidRDefault="00902572" w:rsidP="0069091F">
      <w:pPr>
        <w:ind w:right="-318"/>
        <w:jc w:val="both"/>
        <w:rPr>
          <w:caps/>
        </w:rPr>
      </w:pPr>
      <w:r w:rsidRPr="0069091F">
        <w:rPr>
          <w:caps/>
        </w:rPr>
        <w:t xml:space="preserve">06516 CARROS  </w:t>
      </w:r>
    </w:p>
    <w:p w:rsidR="00554D84" w:rsidRPr="0061753A" w:rsidRDefault="00902572" w:rsidP="0069091F">
      <w:pPr>
        <w:jc w:val="both"/>
      </w:pPr>
      <w:r w:rsidRPr="0069091F">
        <w:rPr>
          <w:caps/>
        </w:rPr>
        <w:t>Francie</w:t>
      </w:r>
    </w:p>
    <w:p w:rsidR="00554D84" w:rsidRPr="0061753A" w:rsidRDefault="00554D84" w:rsidP="0069091F">
      <w:pPr>
        <w:jc w:val="both"/>
      </w:pPr>
    </w:p>
    <w:p w:rsidR="00554D84" w:rsidRPr="0061753A" w:rsidRDefault="00554D84" w:rsidP="0069091F">
      <w:pPr>
        <w:jc w:val="both"/>
      </w:pPr>
    </w:p>
    <w:p w:rsidR="00554D84" w:rsidRPr="0061753A" w:rsidRDefault="00554D84" w:rsidP="0069091F">
      <w:pPr>
        <w:jc w:val="both"/>
        <w:rPr>
          <w:b/>
        </w:rPr>
      </w:pPr>
      <w:r w:rsidRPr="0061753A">
        <w:rPr>
          <w:b/>
        </w:rPr>
        <w:t>2.</w:t>
      </w:r>
      <w:r w:rsidRPr="0061753A">
        <w:rPr>
          <w:b/>
        </w:rPr>
        <w:tab/>
        <w:t>NÁZEV VETERINÁRNÍHO LÉČIVÉHO PŘÍPRAVKU</w:t>
      </w:r>
    </w:p>
    <w:p w:rsidR="00902572" w:rsidRPr="0061753A" w:rsidRDefault="00902572" w:rsidP="0069091F">
      <w:pPr>
        <w:jc w:val="both"/>
      </w:pPr>
    </w:p>
    <w:p w:rsidR="00902572" w:rsidRPr="0061753A" w:rsidRDefault="00902572" w:rsidP="0069091F">
      <w:pPr>
        <w:jc w:val="both"/>
      </w:pPr>
      <w:r w:rsidRPr="0061753A">
        <w:t>CURACEF DUO 50 mg/ml / 150 mg/ml injekční suspenze pro skot</w:t>
      </w:r>
    </w:p>
    <w:p w:rsidR="001C4389" w:rsidRPr="0061753A" w:rsidRDefault="001C4389">
      <w:pPr>
        <w:ind w:right="-318"/>
        <w:jc w:val="both"/>
        <w:rPr>
          <w:b/>
          <w:szCs w:val="22"/>
        </w:rPr>
      </w:pPr>
      <w:r w:rsidRPr="0061753A">
        <w:rPr>
          <w:szCs w:val="22"/>
        </w:rPr>
        <w:t>Přípravek s indikačním omezením</w:t>
      </w:r>
    </w:p>
    <w:p w:rsidR="001C4389" w:rsidRPr="0061753A" w:rsidRDefault="001C4389">
      <w:pPr>
        <w:jc w:val="both"/>
      </w:pPr>
    </w:p>
    <w:p w:rsidR="00554D84" w:rsidRPr="0061753A" w:rsidRDefault="00554D84" w:rsidP="0069091F">
      <w:pPr>
        <w:jc w:val="both"/>
        <w:rPr>
          <w:b/>
        </w:rPr>
      </w:pPr>
      <w:r w:rsidRPr="0061753A">
        <w:rPr>
          <w:b/>
        </w:rPr>
        <w:t>3.</w:t>
      </w:r>
      <w:r w:rsidRPr="0061753A">
        <w:rPr>
          <w:b/>
        </w:rPr>
        <w:tab/>
        <w:t>OBSAH LÉČIVÝCH A OSTATNÍCH LÁTEK</w:t>
      </w:r>
    </w:p>
    <w:p w:rsidR="00554D84" w:rsidRPr="0061753A" w:rsidRDefault="00554D84" w:rsidP="0069091F">
      <w:pPr>
        <w:jc w:val="both"/>
        <w:rPr>
          <w:b/>
        </w:rPr>
      </w:pPr>
    </w:p>
    <w:p w:rsidR="0045757B" w:rsidRPr="0061753A" w:rsidRDefault="0045757B" w:rsidP="0069091F">
      <w:pPr>
        <w:jc w:val="both"/>
        <w:rPr>
          <w:u w:val="single"/>
        </w:rPr>
      </w:pPr>
      <w:r w:rsidRPr="0061753A">
        <w:rPr>
          <w:u w:val="single"/>
        </w:rPr>
        <w:t xml:space="preserve">1 ml přípravku obsahuje </w:t>
      </w:r>
    </w:p>
    <w:p w:rsidR="0045757B" w:rsidRPr="0061753A" w:rsidRDefault="0045757B" w:rsidP="0069091F">
      <w:pPr>
        <w:ind w:left="0" w:firstLine="0"/>
        <w:jc w:val="both"/>
      </w:pPr>
    </w:p>
    <w:p w:rsidR="008C2F39" w:rsidRPr="0061753A" w:rsidRDefault="00CD344F" w:rsidP="0069091F">
      <w:pPr>
        <w:ind w:left="0" w:firstLine="0"/>
        <w:jc w:val="both"/>
      </w:pPr>
      <w:r w:rsidRPr="0061753A">
        <w:rPr>
          <w:b/>
        </w:rPr>
        <w:t>Léčivé látky</w:t>
      </w:r>
      <w:r w:rsidR="008C2F39" w:rsidRPr="0061753A">
        <w:t>:</w:t>
      </w:r>
    </w:p>
    <w:p w:rsidR="00902572" w:rsidRPr="0061753A" w:rsidRDefault="00902572">
      <w:pPr>
        <w:tabs>
          <w:tab w:val="left" w:pos="4111"/>
        </w:tabs>
        <w:ind w:left="0" w:firstLine="0"/>
        <w:jc w:val="both"/>
        <w:rPr>
          <w:iCs/>
        </w:rPr>
      </w:pPr>
      <w:proofErr w:type="spellStart"/>
      <w:r w:rsidRPr="0061753A">
        <w:rPr>
          <w:iCs/>
        </w:rPr>
        <w:t>Ceftiofur</w:t>
      </w:r>
      <w:r w:rsidR="0045757B" w:rsidRPr="0061753A">
        <w:rPr>
          <w:iCs/>
        </w:rPr>
        <w:t>um</w:t>
      </w:r>
      <w:proofErr w:type="spellEnd"/>
      <w:r w:rsidR="0045757B" w:rsidRPr="0061753A">
        <w:rPr>
          <w:iCs/>
        </w:rPr>
        <w:t xml:space="preserve"> </w:t>
      </w:r>
      <w:r w:rsidRPr="0061753A">
        <w:rPr>
          <w:iCs/>
        </w:rPr>
        <w:t xml:space="preserve"> (</w:t>
      </w:r>
      <w:proofErr w:type="spellStart"/>
      <w:r w:rsidR="0045757B" w:rsidRPr="0061753A">
        <w:rPr>
          <w:iCs/>
        </w:rPr>
        <w:t>ut</w:t>
      </w:r>
      <w:proofErr w:type="spellEnd"/>
      <w:r w:rsidR="0045757B" w:rsidRPr="0061753A">
        <w:rPr>
          <w:iCs/>
        </w:rPr>
        <w:t xml:space="preserve"> </w:t>
      </w:r>
      <w:proofErr w:type="spellStart"/>
      <w:r w:rsidRPr="0061753A">
        <w:rPr>
          <w:iCs/>
        </w:rPr>
        <w:t>hydrochlorid</w:t>
      </w:r>
      <w:r w:rsidR="0045757B" w:rsidRPr="0061753A">
        <w:rPr>
          <w:iCs/>
        </w:rPr>
        <w:t>um</w:t>
      </w:r>
      <w:proofErr w:type="spellEnd"/>
      <w:r w:rsidRPr="0061753A">
        <w:rPr>
          <w:iCs/>
        </w:rPr>
        <w:t xml:space="preserve">) </w:t>
      </w:r>
      <w:r w:rsidRPr="0061753A">
        <w:rPr>
          <w:iCs/>
        </w:rPr>
        <w:tab/>
        <w:t>50</w:t>
      </w:r>
      <w:r w:rsidR="0099127A" w:rsidRPr="0061753A">
        <w:rPr>
          <w:iCs/>
        </w:rPr>
        <w:t>,</w:t>
      </w:r>
      <w:r w:rsidRPr="0061753A">
        <w:rPr>
          <w:iCs/>
        </w:rPr>
        <w:t>0</w:t>
      </w:r>
      <w:r w:rsidRPr="0061753A">
        <w:rPr>
          <w:iCs/>
        </w:rPr>
        <w:tab/>
      </w:r>
      <w:r w:rsidR="0099127A" w:rsidRPr="0061753A">
        <w:rPr>
          <w:iCs/>
        </w:rPr>
        <w:t xml:space="preserve"> </w:t>
      </w:r>
      <w:r w:rsidRPr="0061753A">
        <w:rPr>
          <w:iCs/>
        </w:rPr>
        <w:t>mg</w:t>
      </w:r>
    </w:p>
    <w:p w:rsidR="00902572" w:rsidRPr="0061753A" w:rsidRDefault="00902572" w:rsidP="0069091F">
      <w:pPr>
        <w:tabs>
          <w:tab w:val="left" w:pos="4111"/>
        </w:tabs>
        <w:jc w:val="both"/>
        <w:rPr>
          <w:iCs/>
        </w:rPr>
      </w:pPr>
      <w:proofErr w:type="spellStart"/>
      <w:r w:rsidRPr="0061753A">
        <w:rPr>
          <w:iCs/>
        </w:rPr>
        <w:t>Ketoprofen</w:t>
      </w:r>
      <w:r w:rsidR="0045757B" w:rsidRPr="0061753A">
        <w:rPr>
          <w:iCs/>
        </w:rPr>
        <w:t>um</w:t>
      </w:r>
      <w:proofErr w:type="spellEnd"/>
      <w:r w:rsidRPr="0061753A">
        <w:rPr>
          <w:iCs/>
        </w:rPr>
        <w:tab/>
        <w:t>150</w:t>
      </w:r>
      <w:r w:rsidR="0099127A" w:rsidRPr="0061753A">
        <w:rPr>
          <w:iCs/>
        </w:rPr>
        <w:t>,</w:t>
      </w:r>
      <w:r w:rsidRPr="0061753A">
        <w:rPr>
          <w:iCs/>
        </w:rPr>
        <w:t>0</w:t>
      </w:r>
      <w:r w:rsidR="0099127A" w:rsidRPr="0061753A">
        <w:rPr>
          <w:iCs/>
        </w:rPr>
        <w:t xml:space="preserve"> </w:t>
      </w:r>
      <w:r w:rsidRPr="0061753A">
        <w:rPr>
          <w:iCs/>
        </w:rPr>
        <w:t>mg</w:t>
      </w:r>
    </w:p>
    <w:p w:rsidR="00554D84" w:rsidRPr="0061753A" w:rsidRDefault="00554D84" w:rsidP="0069091F">
      <w:pPr>
        <w:jc w:val="both"/>
      </w:pPr>
    </w:p>
    <w:p w:rsidR="0099127A" w:rsidRPr="0061753A" w:rsidRDefault="0099127A">
      <w:pPr>
        <w:ind w:left="0" w:firstLine="0"/>
        <w:jc w:val="both"/>
      </w:pPr>
      <w:r w:rsidRPr="0061753A">
        <w:t>Našedlá až narůžovělá suspen</w:t>
      </w:r>
      <w:r w:rsidRPr="0061753A">
        <w:rPr>
          <w:color w:val="FF0000"/>
        </w:rPr>
        <w:t>z</w:t>
      </w:r>
      <w:r w:rsidRPr="0061753A">
        <w:t>e.</w:t>
      </w:r>
    </w:p>
    <w:p w:rsidR="0099127A" w:rsidRPr="0061753A" w:rsidRDefault="0099127A" w:rsidP="0069091F">
      <w:pPr>
        <w:jc w:val="both"/>
      </w:pPr>
    </w:p>
    <w:p w:rsidR="009F2128" w:rsidRPr="0061753A" w:rsidRDefault="009F2128" w:rsidP="0069091F">
      <w:pPr>
        <w:jc w:val="both"/>
      </w:pPr>
    </w:p>
    <w:p w:rsidR="00554D84" w:rsidRPr="0061753A" w:rsidRDefault="00554D84" w:rsidP="0069091F">
      <w:pPr>
        <w:jc w:val="both"/>
        <w:rPr>
          <w:b/>
        </w:rPr>
      </w:pPr>
      <w:r w:rsidRPr="0061753A">
        <w:rPr>
          <w:b/>
        </w:rPr>
        <w:t>4.</w:t>
      </w:r>
      <w:r w:rsidRPr="0061753A">
        <w:rPr>
          <w:b/>
        </w:rPr>
        <w:tab/>
        <w:t>INDIKACE</w:t>
      </w:r>
    </w:p>
    <w:p w:rsidR="00554D84" w:rsidRPr="0061753A" w:rsidRDefault="00554D84" w:rsidP="0069091F">
      <w:pPr>
        <w:jc w:val="both"/>
        <w:rPr>
          <w:b/>
        </w:rPr>
      </w:pPr>
    </w:p>
    <w:p w:rsidR="001A6E67" w:rsidRPr="0061753A" w:rsidRDefault="00481EEB" w:rsidP="0069091F">
      <w:pPr>
        <w:ind w:left="0" w:firstLine="0"/>
        <w:jc w:val="both"/>
      </w:pPr>
      <w:r>
        <w:t>L</w:t>
      </w:r>
      <w:r w:rsidR="001A6E67" w:rsidRPr="0061753A">
        <w:t>éčb</w:t>
      </w:r>
      <w:r>
        <w:t>a</w:t>
      </w:r>
      <w:r w:rsidR="001A6E67" w:rsidRPr="0061753A">
        <w:t xml:space="preserve"> bovinního respiračního onemocnění (BRD), způsobeného </w:t>
      </w:r>
      <w:proofErr w:type="spellStart"/>
      <w:r w:rsidR="001A6E67" w:rsidRPr="0061753A">
        <w:rPr>
          <w:i/>
        </w:rPr>
        <w:t>Mannheimia</w:t>
      </w:r>
      <w:proofErr w:type="spellEnd"/>
      <w:r w:rsidR="001A6E67" w:rsidRPr="0061753A">
        <w:rPr>
          <w:i/>
        </w:rPr>
        <w:t xml:space="preserve"> </w:t>
      </w:r>
      <w:proofErr w:type="spellStart"/>
      <w:r w:rsidR="001A6E67" w:rsidRPr="0061753A">
        <w:rPr>
          <w:i/>
        </w:rPr>
        <w:t>haemolytica</w:t>
      </w:r>
      <w:proofErr w:type="spellEnd"/>
      <w:r w:rsidR="001A6E67" w:rsidRPr="0061753A">
        <w:t xml:space="preserve"> a </w:t>
      </w:r>
      <w:proofErr w:type="spellStart"/>
      <w:r w:rsidR="001A6E67" w:rsidRPr="0061753A">
        <w:rPr>
          <w:i/>
        </w:rPr>
        <w:t>Pasteurella</w:t>
      </w:r>
      <w:proofErr w:type="spellEnd"/>
      <w:r w:rsidR="001A6E67" w:rsidRPr="0061753A">
        <w:rPr>
          <w:i/>
        </w:rPr>
        <w:t xml:space="preserve"> </w:t>
      </w:r>
      <w:proofErr w:type="spellStart"/>
      <w:r w:rsidR="001A6E67" w:rsidRPr="0061753A">
        <w:rPr>
          <w:i/>
        </w:rPr>
        <w:t>multocida</w:t>
      </w:r>
      <w:proofErr w:type="spellEnd"/>
      <w:r w:rsidR="001A6E67" w:rsidRPr="0061753A">
        <w:t xml:space="preserve"> citlivými na </w:t>
      </w:r>
      <w:proofErr w:type="spellStart"/>
      <w:r w:rsidR="001A6E67" w:rsidRPr="0061753A">
        <w:t>ceftiofur</w:t>
      </w:r>
      <w:proofErr w:type="spellEnd"/>
      <w:r w:rsidR="001A6E67" w:rsidRPr="0061753A">
        <w:t xml:space="preserve"> a </w:t>
      </w:r>
      <w:r>
        <w:t>zmírnění</w:t>
      </w:r>
      <w:r w:rsidR="001A6E67" w:rsidRPr="0061753A">
        <w:t xml:space="preserve"> přidružených klinických příznaků zánětu nebo horečky.</w:t>
      </w:r>
    </w:p>
    <w:p w:rsidR="001A6E67" w:rsidRPr="0061753A" w:rsidRDefault="001A6E67" w:rsidP="0069091F">
      <w:pPr>
        <w:jc w:val="both"/>
        <w:rPr>
          <w:b/>
        </w:rPr>
      </w:pPr>
    </w:p>
    <w:p w:rsidR="001A6E67" w:rsidRPr="0061753A" w:rsidRDefault="001A6E67" w:rsidP="0069091F">
      <w:pPr>
        <w:jc w:val="both"/>
        <w:rPr>
          <w:b/>
        </w:rPr>
      </w:pPr>
    </w:p>
    <w:p w:rsidR="00554D84" w:rsidRPr="0061753A" w:rsidRDefault="00554D84" w:rsidP="0069091F">
      <w:pPr>
        <w:jc w:val="both"/>
        <w:rPr>
          <w:b/>
        </w:rPr>
      </w:pPr>
      <w:r w:rsidRPr="0061753A">
        <w:rPr>
          <w:b/>
        </w:rPr>
        <w:t xml:space="preserve">5. </w:t>
      </w:r>
      <w:r w:rsidRPr="0061753A">
        <w:rPr>
          <w:b/>
        </w:rPr>
        <w:tab/>
        <w:t>KONTRAINDIKACE</w:t>
      </w:r>
    </w:p>
    <w:p w:rsidR="00554D84" w:rsidRPr="0061753A" w:rsidRDefault="00554D84" w:rsidP="0069091F">
      <w:pPr>
        <w:jc w:val="both"/>
      </w:pPr>
    </w:p>
    <w:p w:rsidR="001A6E67" w:rsidRPr="0061753A" w:rsidRDefault="001A6E67" w:rsidP="0069091F">
      <w:pPr>
        <w:ind w:left="0" w:firstLine="0"/>
        <w:jc w:val="both"/>
      </w:pPr>
      <w:r w:rsidRPr="0061753A">
        <w:t>Nepoužív</w:t>
      </w:r>
      <w:r w:rsidR="001C4389" w:rsidRPr="0061753A">
        <w:t>at</w:t>
      </w:r>
      <w:r w:rsidRPr="0061753A">
        <w:t xml:space="preserve"> v případě známé rezistence na jiné cefalosporiny nebo na beta-</w:t>
      </w:r>
      <w:proofErr w:type="spellStart"/>
      <w:r w:rsidRPr="0061753A">
        <w:t>laktamová</w:t>
      </w:r>
      <w:proofErr w:type="spellEnd"/>
      <w:r w:rsidRPr="0061753A">
        <w:t xml:space="preserve"> antibiotika.  </w:t>
      </w:r>
    </w:p>
    <w:p w:rsidR="001A6E67" w:rsidRPr="0061753A" w:rsidRDefault="001A6E67" w:rsidP="0069091F">
      <w:pPr>
        <w:ind w:left="0" w:firstLine="0"/>
        <w:jc w:val="both"/>
      </w:pPr>
      <w:r w:rsidRPr="0061753A">
        <w:t xml:space="preserve">Nepoužívat v případě přecitlivělosti na </w:t>
      </w:r>
      <w:proofErr w:type="spellStart"/>
      <w:r w:rsidRPr="0061753A">
        <w:t>ceftiofur</w:t>
      </w:r>
      <w:proofErr w:type="spellEnd"/>
      <w:r w:rsidRPr="0061753A">
        <w:t xml:space="preserve"> a další </w:t>
      </w:r>
      <w:r w:rsidR="001C4389" w:rsidRPr="0061753A">
        <w:t>beta</w:t>
      </w:r>
      <w:r w:rsidRPr="0061753A">
        <w:t>-</w:t>
      </w:r>
      <w:proofErr w:type="spellStart"/>
      <w:r w:rsidRPr="0061753A">
        <w:t>laktamová</w:t>
      </w:r>
      <w:proofErr w:type="spellEnd"/>
      <w:r w:rsidRPr="0061753A">
        <w:t xml:space="preserve"> antibiotika.</w:t>
      </w:r>
    </w:p>
    <w:p w:rsidR="001A6E67" w:rsidRPr="0061753A" w:rsidRDefault="001A6E67" w:rsidP="0069091F">
      <w:pPr>
        <w:jc w:val="both"/>
      </w:pPr>
      <w:r w:rsidRPr="0061753A">
        <w:t xml:space="preserve">Nepoužívat </w:t>
      </w:r>
      <w:r w:rsidR="0045757B" w:rsidRPr="0061753A">
        <w:t xml:space="preserve">v případě </w:t>
      </w:r>
      <w:r w:rsidR="0061753A">
        <w:t>p</w:t>
      </w:r>
      <w:r w:rsidRPr="0061753A">
        <w:t xml:space="preserve">řecitlivělosti na </w:t>
      </w:r>
      <w:proofErr w:type="spellStart"/>
      <w:r w:rsidRPr="0061753A">
        <w:t>ketoprofen</w:t>
      </w:r>
      <w:proofErr w:type="spellEnd"/>
      <w:r w:rsidRPr="0061753A">
        <w:t xml:space="preserve">. </w:t>
      </w:r>
    </w:p>
    <w:p w:rsidR="001A6E67" w:rsidRPr="0061753A" w:rsidRDefault="001A6E67" w:rsidP="0069091F">
      <w:pPr>
        <w:ind w:left="0" w:firstLine="0"/>
        <w:jc w:val="both"/>
      </w:pPr>
      <w:r w:rsidRPr="0061753A">
        <w:t>Nepoužív</w:t>
      </w:r>
      <w:r w:rsidR="001C4389" w:rsidRPr="0061753A">
        <w:t>at</w:t>
      </w:r>
      <w:r w:rsidRPr="0061753A">
        <w:t xml:space="preserve"> u drůbeže (včetně vajec) z důvodu nebezpečí šíření antimikrob</w:t>
      </w:r>
      <w:r w:rsidR="0045757B" w:rsidRPr="0061753A">
        <w:t xml:space="preserve">ní rezistence </w:t>
      </w:r>
      <w:r w:rsidRPr="0061753A">
        <w:t xml:space="preserve">na člověka.  </w:t>
      </w:r>
    </w:p>
    <w:p w:rsidR="0045757B" w:rsidRPr="0061753A" w:rsidRDefault="0045757B" w:rsidP="0069091F">
      <w:pPr>
        <w:ind w:left="0" w:firstLine="0"/>
        <w:jc w:val="both"/>
      </w:pPr>
      <w:r w:rsidRPr="0061753A">
        <w:t>Neaplik</w:t>
      </w:r>
      <w:r w:rsidR="001C4389" w:rsidRPr="0061753A">
        <w:t>ovat</w:t>
      </w:r>
      <w:r w:rsidRPr="0061753A">
        <w:t xml:space="preserve"> současně nebo v rozmezí 24 hodin jiná nesteroidní protizánětlivá léčiva (NSAID)</w:t>
      </w:r>
      <w:r w:rsidR="001C4389" w:rsidRPr="0061753A">
        <w:t>.</w:t>
      </w:r>
      <w:r w:rsidRPr="0061753A">
        <w:t xml:space="preserve"> </w:t>
      </w:r>
    </w:p>
    <w:p w:rsidR="0045757B" w:rsidRPr="0061753A" w:rsidRDefault="0045757B" w:rsidP="0069091F">
      <w:pPr>
        <w:ind w:left="0" w:firstLine="0"/>
        <w:jc w:val="both"/>
      </w:pPr>
    </w:p>
    <w:p w:rsidR="0045757B" w:rsidRPr="0061753A" w:rsidRDefault="0045757B" w:rsidP="0069091F">
      <w:pPr>
        <w:ind w:left="0" w:firstLine="0"/>
        <w:jc w:val="both"/>
        <w:rPr>
          <w:highlight w:val="yellow"/>
        </w:rPr>
      </w:pPr>
      <w:r w:rsidRPr="0061753A">
        <w:t>Použití je kontraindikováno u zvířat s</w:t>
      </w:r>
      <w:r w:rsidR="00481EEB">
        <w:t> </w:t>
      </w:r>
      <w:r w:rsidRPr="0061753A">
        <w:t>onemocněním</w:t>
      </w:r>
      <w:r w:rsidR="00481EEB">
        <w:t xml:space="preserve"> srdce, jater a ledvin</w:t>
      </w:r>
      <w:r w:rsidRPr="0061753A">
        <w:t>, v případech možn</w:t>
      </w:r>
      <w:r w:rsidR="00481EEB">
        <w:t xml:space="preserve">ých onemocnění </w:t>
      </w:r>
      <w:r w:rsidRPr="0061753A">
        <w:t>gastrointestinální</w:t>
      </w:r>
      <w:r w:rsidR="00481EEB">
        <w:t>ho</w:t>
      </w:r>
      <w:r w:rsidRPr="0061753A">
        <w:t xml:space="preserve"> traktu </w:t>
      </w:r>
      <w:r w:rsidR="00481EEB">
        <w:t xml:space="preserve">jako jsou ulcerace </w:t>
      </w:r>
      <w:r w:rsidRPr="0061753A">
        <w:t xml:space="preserve">nebo krvácení, </w:t>
      </w:r>
      <w:r w:rsidRPr="0061753A">
        <w:rPr>
          <w:rStyle w:val="st1"/>
        </w:rPr>
        <w:t xml:space="preserve">nebo tam, </w:t>
      </w:r>
      <w:r w:rsidRPr="0061753A">
        <w:rPr>
          <w:rStyle w:val="Zvraznn"/>
          <w:b w:val="0"/>
        </w:rPr>
        <w:t>kde</w:t>
      </w:r>
      <w:r w:rsidRPr="0061753A">
        <w:rPr>
          <w:rStyle w:val="st1"/>
          <w:b/>
        </w:rPr>
        <w:t xml:space="preserve"> </w:t>
      </w:r>
      <w:r w:rsidRPr="0061753A">
        <w:rPr>
          <w:rStyle w:val="st1"/>
        </w:rPr>
        <w:t xml:space="preserve">je prokázána </w:t>
      </w:r>
      <w:r w:rsidRPr="0061753A">
        <w:rPr>
          <w:rStyle w:val="Zvraznn"/>
          <w:b w:val="0"/>
        </w:rPr>
        <w:t>krevní dyskrazie</w:t>
      </w:r>
      <w:r w:rsidR="001C4389" w:rsidRPr="0061753A">
        <w:rPr>
          <w:rStyle w:val="Zvraznn"/>
          <w:b w:val="0"/>
        </w:rPr>
        <w:t>.</w:t>
      </w:r>
    </w:p>
    <w:p w:rsidR="00554D84" w:rsidRPr="0061753A" w:rsidRDefault="00554D84" w:rsidP="0069091F">
      <w:pPr>
        <w:jc w:val="both"/>
      </w:pPr>
    </w:p>
    <w:p w:rsidR="001A6E67" w:rsidRPr="0061753A" w:rsidRDefault="001A6E67" w:rsidP="0069091F">
      <w:pPr>
        <w:jc w:val="both"/>
      </w:pPr>
    </w:p>
    <w:p w:rsidR="00554D84" w:rsidRPr="0061753A" w:rsidRDefault="00554D84" w:rsidP="0069091F">
      <w:pPr>
        <w:jc w:val="both"/>
      </w:pPr>
      <w:r w:rsidRPr="0061753A">
        <w:rPr>
          <w:b/>
        </w:rPr>
        <w:t>6.</w:t>
      </w:r>
      <w:r w:rsidRPr="0061753A">
        <w:rPr>
          <w:b/>
        </w:rPr>
        <w:tab/>
        <w:t>NEŽÁDOUCÍ ÚČINKY</w:t>
      </w:r>
    </w:p>
    <w:p w:rsidR="00554D84" w:rsidRPr="0061753A" w:rsidRDefault="00554D84" w:rsidP="0069091F">
      <w:pPr>
        <w:jc w:val="both"/>
      </w:pPr>
    </w:p>
    <w:p w:rsidR="0045757B" w:rsidRPr="0061753A" w:rsidRDefault="001C4389" w:rsidP="0069091F">
      <w:pPr>
        <w:ind w:left="0" w:firstLine="0"/>
        <w:jc w:val="both"/>
      </w:pPr>
      <w:r w:rsidRPr="0061753A">
        <w:rPr>
          <w:color w:val="000000"/>
          <w:szCs w:val="22"/>
          <w:lang w:eastAsia="sk-SK"/>
        </w:rPr>
        <w:t xml:space="preserve">Nezávisle na dávce se mohou vyskytnout hypersenzitivní reakce </w:t>
      </w:r>
      <w:r w:rsidR="0045757B" w:rsidRPr="0061753A">
        <w:t xml:space="preserve">(např. kožní reakce, </w:t>
      </w:r>
      <w:proofErr w:type="spellStart"/>
      <w:r w:rsidR="0045757B" w:rsidRPr="0061753A">
        <w:t>anaphylaxe</w:t>
      </w:r>
      <w:proofErr w:type="spellEnd"/>
      <w:r w:rsidR="0045757B" w:rsidRPr="0061753A">
        <w:t xml:space="preserve">). </w:t>
      </w:r>
    </w:p>
    <w:p w:rsidR="000F1957" w:rsidRPr="0061753A" w:rsidRDefault="0045757B">
      <w:pPr>
        <w:ind w:left="0" w:firstLine="0"/>
        <w:jc w:val="both"/>
      </w:pPr>
      <w:r w:rsidRPr="0061753A">
        <w:lastRenderedPageBreak/>
        <w:t>V ter</w:t>
      </w:r>
      <w:r w:rsidR="000F1957" w:rsidRPr="0061753A">
        <w:t>é</w:t>
      </w:r>
      <w:r w:rsidRPr="0061753A">
        <w:t xml:space="preserve">nních studiích byl přípravek </w:t>
      </w:r>
      <w:r w:rsidR="000F1957" w:rsidRPr="0061753A">
        <w:t>testován u</w:t>
      </w:r>
      <w:r w:rsidRPr="0061753A">
        <w:t xml:space="preserve"> skotu ve věku od 1 měsíce do 12 let; </w:t>
      </w:r>
      <w:r w:rsidR="000F1957" w:rsidRPr="0061753A">
        <w:t>tyto studie nepodaly žádné důkazy o</w:t>
      </w:r>
      <w:r w:rsidR="00481EEB">
        <w:t xml:space="preserve"> bezpečnostním </w:t>
      </w:r>
      <w:r w:rsidR="000F1957" w:rsidRPr="0061753A">
        <w:t xml:space="preserve">riziku přípravku. </w:t>
      </w:r>
    </w:p>
    <w:p w:rsidR="000F1957" w:rsidRPr="0061753A" w:rsidRDefault="000F1957">
      <w:pPr>
        <w:ind w:left="0" w:firstLine="0"/>
        <w:jc w:val="both"/>
      </w:pPr>
      <w:r w:rsidRPr="0061753A">
        <w:t>V místě injekčního podání mohou být pozorovány mírné zánětlivé reakce, jako jsou otoky tkání, ve většině případů bez bolesti.</w:t>
      </w:r>
    </w:p>
    <w:p w:rsidR="000F1957" w:rsidRPr="0061753A" w:rsidRDefault="000F1957">
      <w:pPr>
        <w:ind w:left="0" w:firstLine="0"/>
        <w:jc w:val="both"/>
      </w:pPr>
      <w:r w:rsidRPr="0061753A">
        <w:t xml:space="preserve">Lze pozorovat změnu zbarvení podkoží anebo svalů.  </w:t>
      </w:r>
    </w:p>
    <w:p w:rsidR="00554D84" w:rsidRPr="0061753A" w:rsidRDefault="000F1957" w:rsidP="0069091F">
      <w:pPr>
        <w:ind w:left="0" w:firstLine="0"/>
        <w:jc w:val="both"/>
      </w:pPr>
      <w:r w:rsidRPr="0069091F">
        <w:t xml:space="preserve">Stejně jako u ostatních nesteroidních protizánětlivých léčiv, </w:t>
      </w:r>
      <w:r w:rsidR="00481EEB">
        <w:t xml:space="preserve">jako důsledek </w:t>
      </w:r>
      <w:r w:rsidRPr="0069091F">
        <w:t>inhibice syntézy prostaglandinů, může u některých jedinců dojít k poškození sliznice žaludku nebo poškození ledvin</w:t>
      </w:r>
      <w:r w:rsidR="0061753A" w:rsidRPr="00481EEB">
        <w:t>.</w:t>
      </w:r>
      <w:r w:rsidR="0061753A">
        <w:t xml:space="preserve"> </w:t>
      </w:r>
      <w:r w:rsidR="00554D84" w:rsidRPr="0061753A">
        <w:t>Jestliže zaznamenáte jakékoliv závažné nežádoucí účinky či jiné reakce, které nejsou uvedeny v této příbalové informaci, oznamte to prosím vašemu veterinárnímu lékaři.</w:t>
      </w:r>
    </w:p>
    <w:p w:rsidR="00554D84" w:rsidRPr="0061753A" w:rsidRDefault="00554D84" w:rsidP="0069091F">
      <w:pPr>
        <w:jc w:val="both"/>
      </w:pPr>
    </w:p>
    <w:p w:rsidR="00554D84" w:rsidRPr="0061753A" w:rsidRDefault="00554D84" w:rsidP="0069091F">
      <w:pPr>
        <w:jc w:val="both"/>
      </w:pPr>
    </w:p>
    <w:p w:rsidR="00554D84" w:rsidRPr="0061753A" w:rsidRDefault="00554D84" w:rsidP="0069091F">
      <w:pPr>
        <w:jc w:val="both"/>
      </w:pPr>
      <w:r w:rsidRPr="0061753A">
        <w:rPr>
          <w:b/>
        </w:rPr>
        <w:t>7.</w:t>
      </w:r>
      <w:r w:rsidRPr="0061753A">
        <w:rPr>
          <w:b/>
        </w:rPr>
        <w:tab/>
        <w:t>CÍLOVÝ DRUH ZVÍŘAT</w:t>
      </w:r>
    </w:p>
    <w:p w:rsidR="00554D84" w:rsidRPr="0061753A" w:rsidRDefault="00554D84" w:rsidP="0069091F">
      <w:pPr>
        <w:jc w:val="both"/>
      </w:pPr>
    </w:p>
    <w:p w:rsidR="00554D84" w:rsidRPr="0061753A" w:rsidRDefault="001A6E67" w:rsidP="0069091F">
      <w:pPr>
        <w:jc w:val="both"/>
      </w:pPr>
      <w:r w:rsidRPr="0061753A">
        <w:t>Skot.</w:t>
      </w:r>
    </w:p>
    <w:p w:rsidR="001A6E67" w:rsidRPr="0061753A" w:rsidRDefault="001A6E67" w:rsidP="0069091F">
      <w:pPr>
        <w:jc w:val="both"/>
        <w:rPr>
          <w:b/>
        </w:rPr>
      </w:pPr>
    </w:p>
    <w:p w:rsidR="00554D84" w:rsidRPr="0061753A" w:rsidRDefault="00554D84" w:rsidP="0069091F">
      <w:pPr>
        <w:jc w:val="both"/>
      </w:pPr>
      <w:r w:rsidRPr="0061753A">
        <w:rPr>
          <w:b/>
        </w:rPr>
        <w:t>8.</w:t>
      </w:r>
      <w:r w:rsidRPr="0061753A">
        <w:rPr>
          <w:b/>
        </w:rPr>
        <w:tab/>
        <w:t xml:space="preserve">DÁVKOVÁNÍ PRO KAŽDÝ DRUH, </w:t>
      </w:r>
      <w:proofErr w:type="gramStart"/>
      <w:r w:rsidRPr="0061753A">
        <w:rPr>
          <w:b/>
        </w:rPr>
        <w:t>CESTA(Y) A ZPŮSOB</w:t>
      </w:r>
      <w:proofErr w:type="gramEnd"/>
      <w:r w:rsidRPr="0061753A">
        <w:rPr>
          <w:b/>
        </w:rPr>
        <w:t xml:space="preserve"> PODÁNÍ</w:t>
      </w:r>
    </w:p>
    <w:p w:rsidR="00742EB3" w:rsidRPr="0061753A" w:rsidRDefault="00742EB3" w:rsidP="0069091F">
      <w:pPr>
        <w:jc w:val="both"/>
      </w:pPr>
    </w:p>
    <w:p w:rsidR="00F97837" w:rsidRPr="0061753A" w:rsidRDefault="00F97837" w:rsidP="0069091F">
      <w:pPr>
        <w:ind w:left="0" w:firstLine="0"/>
        <w:jc w:val="both"/>
      </w:pPr>
      <w:r w:rsidRPr="0061753A">
        <w:t xml:space="preserve">Intramuskulární </w:t>
      </w:r>
      <w:r w:rsidR="0045757B" w:rsidRPr="0061753A">
        <w:t>podání</w:t>
      </w:r>
      <w:r w:rsidR="0061753A">
        <w:t>.</w:t>
      </w:r>
      <w:r w:rsidR="0045757B" w:rsidRPr="0061753A">
        <w:t xml:space="preserve"> </w:t>
      </w:r>
      <w:r w:rsidRPr="0061753A">
        <w:t xml:space="preserve"> </w:t>
      </w:r>
    </w:p>
    <w:p w:rsidR="00F97837" w:rsidRPr="0061753A" w:rsidRDefault="000F1957" w:rsidP="0069091F">
      <w:pPr>
        <w:ind w:left="0" w:firstLine="0"/>
        <w:jc w:val="both"/>
      </w:pPr>
      <w:r w:rsidRPr="0061753A">
        <w:t xml:space="preserve">1 mg </w:t>
      </w:r>
      <w:proofErr w:type="spellStart"/>
      <w:r w:rsidRPr="0061753A">
        <w:t>ceftiofuru</w:t>
      </w:r>
      <w:proofErr w:type="spellEnd"/>
      <w:r w:rsidRPr="0061753A">
        <w:t xml:space="preserve">/kg/den a 3 mg </w:t>
      </w:r>
      <w:proofErr w:type="spellStart"/>
      <w:r w:rsidRPr="0061753A">
        <w:t>ketoprofenu</w:t>
      </w:r>
      <w:proofErr w:type="spellEnd"/>
      <w:r w:rsidRPr="0061753A">
        <w:t xml:space="preserve">/kg/den intramuskulárně, </w:t>
      </w:r>
      <w:proofErr w:type="spellStart"/>
      <w:r w:rsidRPr="0069091F">
        <w:t>tj</w:t>
      </w:r>
      <w:proofErr w:type="spellEnd"/>
      <w:r w:rsidRPr="0069091F">
        <w:t xml:space="preserve"> 1 ml/50 </w:t>
      </w:r>
      <w:proofErr w:type="gramStart"/>
      <w:r w:rsidRPr="0069091F">
        <w:t>kg</w:t>
      </w:r>
      <w:r w:rsidR="00481EEB">
        <w:t xml:space="preserve"> ž.hm</w:t>
      </w:r>
      <w:proofErr w:type="gramEnd"/>
      <w:r w:rsidR="00481EEB">
        <w:t>. při každém injekčním podání</w:t>
      </w:r>
      <w:r w:rsidRPr="0061753A">
        <w:t xml:space="preserve">. </w:t>
      </w:r>
      <w:r w:rsidRPr="0061753A">
        <w:t>Přípravek smí být použit pouze v případech, kdy je onemocnění provázeno klinickými příznaky zánětu nebo horečky. Přípravek může být podáván po dobu 1 až 5 po sobě následujících dnů v závislosti na klinické odezvě, kterou je třeba hodnotit případ od případu. Vzhledem k tomu, že délka trvání antibiotické léčby by neměla být kratší než 3 až 5 dn</w:t>
      </w:r>
      <w:r w:rsidR="00481EEB">
        <w:t>ů</w:t>
      </w:r>
      <w:r w:rsidRPr="0061753A">
        <w:t xml:space="preserve">, po odeznění zánětu a horečky má veterinární lékař </w:t>
      </w:r>
      <w:r w:rsidRPr="0061753A">
        <w:rPr>
          <w:rFonts w:cs="Arial"/>
          <w:w w:val="105"/>
        </w:rPr>
        <w:t>k zajištění nepřetržité antibiotické léčby v délce trvání 3 až 5 dn</w:t>
      </w:r>
      <w:r w:rsidR="00481EEB">
        <w:rPr>
          <w:rFonts w:cs="Arial"/>
          <w:w w:val="105"/>
        </w:rPr>
        <w:t>ů</w:t>
      </w:r>
      <w:r w:rsidRPr="0061753A">
        <w:rPr>
          <w:rFonts w:cs="Arial"/>
          <w:w w:val="105"/>
        </w:rPr>
        <w:t xml:space="preserve"> přistoupit k použití přípravku obsahujícího samotný </w:t>
      </w:r>
      <w:proofErr w:type="spellStart"/>
      <w:r w:rsidRPr="0061753A">
        <w:rPr>
          <w:rFonts w:cs="Arial"/>
          <w:w w:val="105"/>
        </w:rPr>
        <w:t>ceftiofur</w:t>
      </w:r>
      <w:proofErr w:type="spellEnd"/>
      <w:r w:rsidRPr="0061753A">
        <w:rPr>
          <w:rFonts w:cs="Arial"/>
          <w:w w:val="105"/>
        </w:rPr>
        <w:t xml:space="preserve">. </w:t>
      </w:r>
      <w:r w:rsidRPr="0061753A">
        <w:t xml:space="preserve">Potřeba podání čtyř nebo pěti injekcí kombinovaného přípravku se předpokládá pouze u malého počtu zvířat. </w:t>
      </w:r>
    </w:p>
    <w:p w:rsidR="00554D84" w:rsidRPr="0061753A" w:rsidRDefault="00554D84" w:rsidP="0069091F">
      <w:pPr>
        <w:jc w:val="both"/>
      </w:pPr>
    </w:p>
    <w:p w:rsidR="00554D84" w:rsidRPr="0061753A" w:rsidRDefault="00554D84" w:rsidP="0069091F">
      <w:pPr>
        <w:jc w:val="both"/>
      </w:pPr>
      <w:r w:rsidRPr="0061753A">
        <w:rPr>
          <w:b/>
        </w:rPr>
        <w:t>9.</w:t>
      </w:r>
      <w:r w:rsidRPr="0061753A">
        <w:rPr>
          <w:b/>
        </w:rPr>
        <w:tab/>
        <w:t>POKYNY PRO SPRÁVNÉ PODÁNÍ</w:t>
      </w:r>
    </w:p>
    <w:p w:rsidR="00554D84" w:rsidRPr="0061753A" w:rsidRDefault="00554D84" w:rsidP="0069091F">
      <w:pPr>
        <w:jc w:val="both"/>
      </w:pPr>
    </w:p>
    <w:p w:rsidR="000F1957" w:rsidRPr="0061753A" w:rsidRDefault="000F1957">
      <w:pPr>
        <w:ind w:left="0" w:firstLine="0"/>
        <w:jc w:val="both"/>
        <w:rPr>
          <w:szCs w:val="24"/>
          <w:lang w:eastAsia="cs-CZ"/>
        </w:rPr>
      </w:pPr>
      <w:r w:rsidRPr="0061753A">
        <w:rPr>
          <w:szCs w:val="24"/>
          <w:lang w:eastAsia="cs-CZ"/>
        </w:rPr>
        <w:t xml:space="preserve">K zajištění homogenity suspenze injekční lahvičku před použitím řádně protřepejte po dobu 20 sekund. Po uchovávání přípravku při nízkých teplotách může </w:t>
      </w:r>
      <w:proofErr w:type="spellStart"/>
      <w:r w:rsidRPr="0061753A">
        <w:rPr>
          <w:szCs w:val="24"/>
          <w:lang w:eastAsia="cs-CZ"/>
        </w:rPr>
        <w:t>resuspendování</w:t>
      </w:r>
      <w:proofErr w:type="spellEnd"/>
      <w:r w:rsidRPr="0061753A">
        <w:rPr>
          <w:szCs w:val="24"/>
          <w:lang w:eastAsia="cs-CZ"/>
        </w:rPr>
        <w:t xml:space="preserve"> trvat déle.</w:t>
      </w:r>
    </w:p>
    <w:p w:rsidR="000F1957" w:rsidRPr="0061753A" w:rsidRDefault="000F1957">
      <w:pPr>
        <w:spacing w:after="60"/>
        <w:ind w:left="0" w:firstLine="0"/>
        <w:jc w:val="both"/>
        <w:rPr>
          <w:szCs w:val="22"/>
        </w:rPr>
      </w:pPr>
      <w:r w:rsidRPr="0061753A">
        <w:rPr>
          <w:szCs w:val="22"/>
        </w:rPr>
        <w:t xml:space="preserve">K zajištění správného dávkování musí být co nejpřesněji stanovena živá hmotnost, aby </w:t>
      </w:r>
      <w:r w:rsidRPr="0061753A">
        <w:rPr>
          <w:bCs/>
          <w:szCs w:val="22"/>
        </w:rPr>
        <w:t xml:space="preserve">nedošlo k </w:t>
      </w:r>
      <w:proofErr w:type="spellStart"/>
      <w:r w:rsidRPr="0061753A">
        <w:rPr>
          <w:bCs/>
          <w:szCs w:val="22"/>
        </w:rPr>
        <w:t>poddávkování</w:t>
      </w:r>
      <w:proofErr w:type="spellEnd"/>
      <w:r w:rsidRPr="0061753A">
        <w:rPr>
          <w:bCs/>
          <w:szCs w:val="22"/>
        </w:rPr>
        <w:t xml:space="preserve">. </w:t>
      </w:r>
    </w:p>
    <w:p w:rsidR="000F1957" w:rsidRPr="0061753A" w:rsidRDefault="000F1957">
      <w:pPr>
        <w:ind w:left="0" w:firstLine="0"/>
        <w:jc w:val="both"/>
        <w:rPr>
          <w:szCs w:val="24"/>
          <w:highlight w:val="yellow"/>
          <w:lang w:eastAsia="cs-CZ"/>
        </w:rPr>
      </w:pPr>
      <w:r w:rsidRPr="0061753A">
        <w:rPr>
          <w:szCs w:val="24"/>
          <w:lang w:eastAsia="cs-CZ"/>
        </w:rPr>
        <w:t>Uživatel by měl použít v závislosti na počtu léčených zvířat nejvhodnější velikost lahvičky. Zátky lahviček o objemu 50 ml a 100 ml by neměly být propíchnuty více než 10krát a lahviček o objemu 250 ml více než 18krát. Aby se zabránilo nadměrnému propichování zátky, doporučuje se použít k odebrání přípravku z lahvičky odběrové jehly.</w:t>
      </w:r>
    </w:p>
    <w:p w:rsidR="00140B41" w:rsidRPr="0061753A" w:rsidRDefault="00140B41" w:rsidP="0069091F">
      <w:pPr>
        <w:ind w:left="0" w:firstLine="0"/>
        <w:jc w:val="both"/>
      </w:pPr>
    </w:p>
    <w:p w:rsidR="00401AB8" w:rsidRPr="0061753A" w:rsidRDefault="00401AB8" w:rsidP="0069091F">
      <w:pPr>
        <w:jc w:val="both"/>
      </w:pPr>
    </w:p>
    <w:p w:rsidR="00554D84" w:rsidRPr="0061753A" w:rsidRDefault="00554D84" w:rsidP="0069091F">
      <w:pPr>
        <w:jc w:val="both"/>
      </w:pPr>
      <w:r w:rsidRPr="0061753A">
        <w:rPr>
          <w:b/>
        </w:rPr>
        <w:t>10.</w:t>
      </w:r>
      <w:r w:rsidRPr="0061753A">
        <w:rPr>
          <w:b/>
        </w:rPr>
        <w:tab/>
        <w:t xml:space="preserve">OCHRANNÁ LHŮTA </w:t>
      </w:r>
    </w:p>
    <w:p w:rsidR="00554D84" w:rsidRPr="0061753A" w:rsidRDefault="00554D84" w:rsidP="0069091F">
      <w:pPr>
        <w:jc w:val="both"/>
        <w:rPr>
          <w:iCs/>
        </w:rPr>
      </w:pPr>
    </w:p>
    <w:p w:rsidR="00F97837" w:rsidRPr="0069091F" w:rsidRDefault="00F97837">
      <w:pPr>
        <w:ind w:left="0" w:firstLine="0"/>
        <w:jc w:val="both"/>
      </w:pPr>
      <w:proofErr w:type="gramStart"/>
      <w:r w:rsidRPr="0069091F">
        <w:t>Maso : 8 dn</w:t>
      </w:r>
      <w:r w:rsidR="00481EEB">
        <w:t>ů</w:t>
      </w:r>
      <w:proofErr w:type="gramEnd"/>
    </w:p>
    <w:p w:rsidR="00F97837" w:rsidRPr="0069091F" w:rsidRDefault="00F97837">
      <w:pPr>
        <w:ind w:left="0" w:firstLine="0"/>
        <w:jc w:val="both"/>
      </w:pPr>
      <w:r w:rsidRPr="0069091F">
        <w:t>Mléko:</w:t>
      </w:r>
      <w:r w:rsidR="00C022B2" w:rsidRPr="0069091F">
        <w:t xml:space="preserve"> </w:t>
      </w:r>
      <w:r w:rsidR="00140B41" w:rsidRPr="0069091F">
        <w:t>Bez ochranných lhůt</w:t>
      </w:r>
      <w:r w:rsidR="00C022B2" w:rsidRPr="0069091F">
        <w:t>.</w:t>
      </w:r>
    </w:p>
    <w:p w:rsidR="00554D84" w:rsidRPr="0061753A" w:rsidRDefault="00554D84" w:rsidP="0069091F">
      <w:pPr>
        <w:jc w:val="both"/>
        <w:rPr>
          <w:iCs/>
        </w:rPr>
      </w:pPr>
    </w:p>
    <w:p w:rsidR="00F97837" w:rsidRPr="0061753A" w:rsidRDefault="00F97837" w:rsidP="0069091F">
      <w:pPr>
        <w:jc w:val="both"/>
        <w:rPr>
          <w:iCs/>
        </w:rPr>
      </w:pPr>
    </w:p>
    <w:p w:rsidR="00554D84" w:rsidRPr="0061753A" w:rsidRDefault="00554D84" w:rsidP="0069091F">
      <w:pPr>
        <w:jc w:val="both"/>
      </w:pPr>
      <w:r w:rsidRPr="0061753A">
        <w:rPr>
          <w:b/>
        </w:rPr>
        <w:t>11.</w:t>
      </w:r>
      <w:r w:rsidRPr="0061753A">
        <w:rPr>
          <w:b/>
        </w:rPr>
        <w:tab/>
        <w:t>ZVLÁŠTNÍ OPATŘENÍ PRO UCHOVÁVÁNÍ</w:t>
      </w:r>
    </w:p>
    <w:p w:rsidR="00554D84" w:rsidRPr="0061753A" w:rsidRDefault="00554D84" w:rsidP="0069091F">
      <w:pPr>
        <w:jc w:val="both"/>
      </w:pPr>
    </w:p>
    <w:p w:rsidR="00F97837" w:rsidRPr="0061753A" w:rsidRDefault="00F97837">
      <w:pPr>
        <w:tabs>
          <w:tab w:val="left" w:pos="567"/>
        </w:tabs>
        <w:spacing w:line="260" w:lineRule="exact"/>
        <w:ind w:left="0" w:right="-318" w:firstLine="0"/>
        <w:jc w:val="both"/>
      </w:pPr>
      <w:r w:rsidRPr="0061753A">
        <w:t>Chraňte před mrazem.</w:t>
      </w:r>
    </w:p>
    <w:p w:rsidR="00140B41" w:rsidRPr="0061753A" w:rsidRDefault="00140B41">
      <w:pPr>
        <w:tabs>
          <w:tab w:val="left" w:pos="567"/>
        </w:tabs>
        <w:spacing w:line="260" w:lineRule="exact"/>
        <w:ind w:left="0" w:right="-318" w:firstLine="0"/>
        <w:jc w:val="both"/>
      </w:pPr>
      <w:r w:rsidRPr="0061753A">
        <w:t>Skleněnou lahvičku uchovávejte v krabičce, aby byla chráněna před světlem.</w:t>
      </w:r>
    </w:p>
    <w:p w:rsidR="00554D84" w:rsidRPr="0061753A" w:rsidRDefault="00554D84" w:rsidP="0069091F">
      <w:pPr>
        <w:jc w:val="both"/>
      </w:pPr>
      <w:r w:rsidRPr="0061753A">
        <w:t>Uchovávat mimo dosah dětí.</w:t>
      </w:r>
    </w:p>
    <w:p w:rsidR="00554D84" w:rsidRPr="0061753A" w:rsidRDefault="00554D84" w:rsidP="0069091F">
      <w:pPr>
        <w:ind w:right="-2"/>
        <w:jc w:val="both"/>
      </w:pPr>
    </w:p>
    <w:p w:rsidR="00DF1B51" w:rsidRPr="0061753A" w:rsidRDefault="00554D84" w:rsidP="0069091F">
      <w:pPr>
        <w:ind w:left="0" w:right="-2" w:firstLine="0"/>
        <w:jc w:val="both"/>
      </w:pPr>
      <w:r w:rsidRPr="0061753A">
        <w:t xml:space="preserve">Nepoužívejte </w:t>
      </w:r>
      <w:r w:rsidR="00ED08CE" w:rsidRPr="0061753A">
        <w:t xml:space="preserve">tento veterinární léčivý přípravek </w:t>
      </w:r>
      <w:r w:rsidRPr="0061753A">
        <w:t>po uplynutí doby použitelnost u</w:t>
      </w:r>
      <w:r w:rsidR="009F2128" w:rsidRPr="0061753A">
        <w:t>vedené na etiketě</w:t>
      </w:r>
      <w:r w:rsidR="0099127A" w:rsidRPr="0061753A">
        <w:t xml:space="preserve"> nebo na </w:t>
      </w:r>
      <w:r w:rsidR="009F2128" w:rsidRPr="0061753A">
        <w:t>krabičce</w:t>
      </w:r>
      <w:r w:rsidR="0099127A" w:rsidRPr="0061753A">
        <w:t xml:space="preserve"> za „EXP“.</w:t>
      </w:r>
    </w:p>
    <w:p w:rsidR="00DF1B51" w:rsidRPr="0061753A" w:rsidRDefault="00DF1B51" w:rsidP="0069091F">
      <w:pPr>
        <w:jc w:val="both"/>
      </w:pPr>
    </w:p>
    <w:p w:rsidR="00EA67B0" w:rsidRPr="0061753A" w:rsidRDefault="00EA67B0" w:rsidP="0069091F">
      <w:pPr>
        <w:ind w:left="0" w:right="-318" w:firstLine="0"/>
        <w:jc w:val="both"/>
      </w:pPr>
    </w:p>
    <w:p w:rsidR="00554D84" w:rsidRPr="0061753A" w:rsidRDefault="00554D84" w:rsidP="0069091F">
      <w:pPr>
        <w:jc w:val="both"/>
        <w:rPr>
          <w:b/>
        </w:rPr>
      </w:pPr>
      <w:r w:rsidRPr="0061753A">
        <w:rPr>
          <w:b/>
        </w:rPr>
        <w:t>12.</w:t>
      </w:r>
      <w:r w:rsidRPr="0061753A">
        <w:rPr>
          <w:b/>
        </w:rPr>
        <w:tab/>
        <w:t>ZVLÁŠTNÍ UPOZORNĚNÍ</w:t>
      </w:r>
    </w:p>
    <w:p w:rsidR="00554D84" w:rsidRPr="0061753A" w:rsidRDefault="00554D84" w:rsidP="0069091F">
      <w:pPr>
        <w:jc w:val="both"/>
      </w:pPr>
    </w:p>
    <w:p w:rsidR="00DF1B51" w:rsidRPr="0061753A" w:rsidRDefault="00DF1B51" w:rsidP="0069091F">
      <w:pPr>
        <w:jc w:val="both"/>
        <w:rPr>
          <w:szCs w:val="22"/>
        </w:rPr>
      </w:pPr>
      <w:r w:rsidRPr="0061753A">
        <w:rPr>
          <w:szCs w:val="22"/>
          <w:u w:val="single"/>
        </w:rPr>
        <w:lastRenderedPageBreak/>
        <w:t>Zvláštní upozornění pro každý cílový druh:</w:t>
      </w:r>
    </w:p>
    <w:p w:rsidR="00DF1B51" w:rsidRPr="0061753A" w:rsidRDefault="00DF1B51" w:rsidP="0069091F">
      <w:pPr>
        <w:jc w:val="both"/>
        <w:rPr>
          <w:szCs w:val="22"/>
        </w:rPr>
      </w:pPr>
    </w:p>
    <w:p w:rsidR="00140B41" w:rsidRPr="0061753A" w:rsidRDefault="00140B41" w:rsidP="0069091F">
      <w:pPr>
        <w:ind w:left="0" w:firstLine="0"/>
        <w:jc w:val="both"/>
      </w:pPr>
      <w:r w:rsidRPr="0061753A">
        <w:t>Nepoužív</w:t>
      </w:r>
      <w:r w:rsidR="0049199C" w:rsidRPr="0061753A">
        <w:t>at</w:t>
      </w:r>
      <w:r w:rsidRPr="0061753A">
        <w:t xml:space="preserve"> u zví</w:t>
      </w:r>
      <w:r w:rsidR="0049199C" w:rsidRPr="0061753A">
        <w:t>ř</w:t>
      </w:r>
      <w:r w:rsidRPr="0061753A">
        <w:t xml:space="preserve">at dehydrovaných, </w:t>
      </w:r>
      <w:proofErr w:type="spellStart"/>
      <w:r w:rsidRPr="0061753A">
        <w:t>hypovolemických</w:t>
      </w:r>
      <w:proofErr w:type="spellEnd"/>
      <w:r w:rsidRPr="0061753A">
        <w:t>, nebo s hypotenzí, protože tyto stavy zvyšují možné riziko renální toxicity</w:t>
      </w:r>
      <w:r w:rsidR="0049199C" w:rsidRPr="0061753A">
        <w:t>.</w:t>
      </w:r>
      <w:r w:rsidRPr="0061753A">
        <w:t xml:space="preserve"> </w:t>
      </w:r>
    </w:p>
    <w:p w:rsidR="009F2128" w:rsidRPr="0061753A" w:rsidRDefault="009F2128" w:rsidP="0069091F">
      <w:pPr>
        <w:ind w:left="0" w:firstLine="0"/>
        <w:jc w:val="both"/>
        <w:rPr>
          <w:szCs w:val="22"/>
        </w:rPr>
      </w:pPr>
    </w:p>
    <w:p w:rsidR="00DF1B51" w:rsidRPr="0061753A" w:rsidRDefault="00DF1B51" w:rsidP="0069091F">
      <w:pPr>
        <w:jc w:val="both"/>
        <w:rPr>
          <w:szCs w:val="22"/>
        </w:rPr>
      </w:pPr>
      <w:r w:rsidRPr="0061753A">
        <w:rPr>
          <w:szCs w:val="22"/>
          <w:u w:val="single"/>
        </w:rPr>
        <w:t>Zvláštní opatření pro použití u zvířat:</w:t>
      </w:r>
    </w:p>
    <w:p w:rsidR="00DF1B51" w:rsidRPr="0061753A" w:rsidRDefault="00DF1B51" w:rsidP="0069091F">
      <w:pPr>
        <w:jc w:val="both"/>
        <w:rPr>
          <w:szCs w:val="22"/>
        </w:rPr>
      </w:pPr>
    </w:p>
    <w:p w:rsidR="0049199C" w:rsidRPr="0061753A" w:rsidRDefault="0049199C">
      <w:pPr>
        <w:ind w:left="0" w:firstLine="0"/>
        <w:jc w:val="both"/>
      </w:pPr>
      <w:r w:rsidRPr="0061753A">
        <w:t>V případě výskytu alergické reakce léčbu přerušit.</w:t>
      </w:r>
    </w:p>
    <w:p w:rsidR="0049199C" w:rsidRPr="0061753A" w:rsidRDefault="0049199C">
      <w:pPr>
        <w:jc w:val="both"/>
        <w:rPr>
          <w:szCs w:val="22"/>
        </w:rPr>
      </w:pPr>
      <w:r w:rsidRPr="0061753A">
        <w:rPr>
          <w:szCs w:val="22"/>
        </w:rPr>
        <w:t>Přípravek selektuje rezistentní kmeny, jako jsou bakterie produkující širokospektré beta-</w:t>
      </w:r>
      <w:proofErr w:type="spellStart"/>
      <w:r w:rsidRPr="0061753A">
        <w:rPr>
          <w:szCs w:val="22"/>
        </w:rPr>
        <w:t>laktamázy</w:t>
      </w:r>
      <w:proofErr w:type="spellEnd"/>
    </w:p>
    <w:p w:rsidR="0049199C" w:rsidRPr="0061753A" w:rsidRDefault="0049199C">
      <w:pPr>
        <w:jc w:val="both"/>
        <w:rPr>
          <w:szCs w:val="22"/>
        </w:rPr>
      </w:pPr>
      <w:r w:rsidRPr="0061753A">
        <w:rPr>
          <w:szCs w:val="22"/>
        </w:rPr>
        <w:t>(ESBL), které mohou představovat riziko pro lidské zdraví, pokud dojde k jejich rozšíření na lidskou</w:t>
      </w:r>
    </w:p>
    <w:p w:rsidR="0049199C" w:rsidRPr="0061753A" w:rsidRDefault="0049199C">
      <w:pPr>
        <w:jc w:val="both"/>
        <w:rPr>
          <w:szCs w:val="22"/>
        </w:rPr>
      </w:pPr>
      <w:r w:rsidRPr="0061753A">
        <w:rPr>
          <w:szCs w:val="22"/>
        </w:rPr>
        <w:t xml:space="preserve">populaci, např. prostřednictvím potravin. Z toho důvodu by měl být </w:t>
      </w:r>
      <w:r w:rsidRPr="0061753A">
        <w:rPr>
          <w:bCs/>
          <w:szCs w:val="22"/>
        </w:rPr>
        <w:t>přípravek</w:t>
      </w:r>
      <w:r w:rsidRPr="0061753A">
        <w:rPr>
          <w:b/>
          <w:bCs/>
          <w:szCs w:val="22"/>
        </w:rPr>
        <w:t xml:space="preserve"> </w:t>
      </w:r>
      <w:r w:rsidRPr="0061753A">
        <w:rPr>
          <w:szCs w:val="22"/>
        </w:rPr>
        <w:t>vyhrazen pro léčbu</w:t>
      </w:r>
    </w:p>
    <w:p w:rsidR="0049199C" w:rsidRPr="0061753A" w:rsidRDefault="0049199C">
      <w:pPr>
        <w:jc w:val="both"/>
        <w:rPr>
          <w:szCs w:val="22"/>
        </w:rPr>
      </w:pPr>
      <w:r w:rsidRPr="0061753A">
        <w:rPr>
          <w:szCs w:val="22"/>
        </w:rPr>
        <w:t>klinických stavů, které měly slabou odezvu, nebo u nichž se očekává slabá odezva na léčbu první</w:t>
      </w:r>
    </w:p>
    <w:p w:rsidR="0049199C" w:rsidRPr="0061753A" w:rsidRDefault="0049199C">
      <w:pPr>
        <w:jc w:val="both"/>
        <w:rPr>
          <w:szCs w:val="22"/>
        </w:rPr>
      </w:pPr>
      <w:r w:rsidRPr="0061753A">
        <w:rPr>
          <w:szCs w:val="22"/>
        </w:rPr>
        <w:t>volby (týká se velmi akutních stavů, kde musí být léčba zahájena bez bakteriologické diagnózy).</w:t>
      </w:r>
    </w:p>
    <w:p w:rsidR="0049199C" w:rsidRPr="0061753A" w:rsidRDefault="0049199C">
      <w:pPr>
        <w:ind w:left="0" w:firstLine="0"/>
        <w:jc w:val="both"/>
      </w:pPr>
    </w:p>
    <w:p w:rsidR="0049199C" w:rsidRPr="0061753A" w:rsidRDefault="0049199C">
      <w:pPr>
        <w:ind w:left="0" w:firstLine="0"/>
        <w:jc w:val="both"/>
        <w:rPr>
          <w:rFonts w:cs="Arial"/>
          <w:w w:val="105"/>
        </w:rPr>
      </w:pPr>
      <w:r w:rsidRPr="0061753A">
        <w:rPr>
          <w:rFonts w:cs="Arial"/>
          <w:w w:val="105"/>
        </w:rPr>
        <w:t>Po odeznění příznaků zánětů nebo horečky má veterinární lékař k zajištění nepřetržité antibiotické léčby v délce trvání 3 až 5 dn</w:t>
      </w:r>
      <w:r w:rsidR="00481EEB">
        <w:rPr>
          <w:rFonts w:cs="Arial"/>
          <w:w w:val="105"/>
        </w:rPr>
        <w:t>ů</w:t>
      </w:r>
      <w:r w:rsidRPr="0061753A">
        <w:rPr>
          <w:rFonts w:cs="Arial"/>
          <w:w w:val="105"/>
        </w:rPr>
        <w:t xml:space="preserve"> přistoupit k použití přípravku obsahujícího samotný </w:t>
      </w:r>
      <w:proofErr w:type="spellStart"/>
      <w:r w:rsidRPr="0061753A">
        <w:rPr>
          <w:rFonts w:cs="Arial"/>
          <w:w w:val="105"/>
        </w:rPr>
        <w:t>ceftiofur</w:t>
      </w:r>
      <w:proofErr w:type="spellEnd"/>
      <w:r w:rsidRPr="0061753A">
        <w:rPr>
          <w:rFonts w:cs="Arial"/>
          <w:w w:val="105"/>
        </w:rPr>
        <w:t xml:space="preserve">. K  omezení rozvoje rezistence je důležité zajistit potřebnou délku trvání léčby. </w:t>
      </w:r>
    </w:p>
    <w:p w:rsidR="0049199C" w:rsidRPr="0061753A" w:rsidRDefault="0049199C">
      <w:pPr>
        <w:ind w:left="0" w:firstLine="0"/>
        <w:jc w:val="both"/>
        <w:rPr>
          <w:szCs w:val="24"/>
        </w:rPr>
      </w:pPr>
      <w:r w:rsidRPr="0061753A">
        <w:rPr>
          <w:szCs w:val="24"/>
        </w:rPr>
        <w:t xml:space="preserve">Při použití tohoto přípravku by měly být vzaty v úvahu principy oficiální, národní a místní antibiotické politiky. </w:t>
      </w:r>
      <w:r w:rsidRPr="0061753A">
        <w:rPr>
          <w:szCs w:val="22"/>
        </w:rPr>
        <w:t>Zvýšené používání</w:t>
      </w:r>
      <w:r w:rsidRPr="0061753A">
        <w:rPr>
          <w:szCs w:val="24"/>
        </w:rPr>
        <w:t xml:space="preserve">, včetně použití přípravku v rozporu s pokyny uvedenými v souhrnu údajů o přípravku, </w:t>
      </w:r>
      <w:r w:rsidRPr="0061753A">
        <w:rPr>
          <w:iCs/>
          <w:szCs w:val="22"/>
        </w:rPr>
        <w:t>může zvýšit prevalenci rezistence</w:t>
      </w:r>
      <w:r w:rsidRPr="0061753A">
        <w:rPr>
          <w:szCs w:val="24"/>
        </w:rPr>
        <w:t>. Kdykoliv je to možné, měl by se přípravek používat pouze na základě stanovení citlivosti.</w:t>
      </w:r>
    </w:p>
    <w:p w:rsidR="0049199C" w:rsidRPr="0061753A" w:rsidRDefault="0049199C">
      <w:pPr>
        <w:ind w:left="0" w:firstLine="0"/>
        <w:jc w:val="both"/>
        <w:rPr>
          <w:szCs w:val="24"/>
        </w:rPr>
      </w:pPr>
    </w:p>
    <w:p w:rsidR="0049199C" w:rsidRPr="0061753A" w:rsidRDefault="0049199C">
      <w:pPr>
        <w:tabs>
          <w:tab w:val="left" w:pos="828"/>
          <w:tab w:val="left" w:pos="9286"/>
        </w:tabs>
        <w:ind w:left="0" w:firstLine="0"/>
        <w:jc w:val="both"/>
        <w:rPr>
          <w:szCs w:val="22"/>
          <w:lang w:eastAsia="sk-SK"/>
        </w:rPr>
      </w:pPr>
      <w:r w:rsidRPr="0061753A">
        <w:rPr>
          <w:rFonts w:cs="Arial"/>
          <w:w w:val="105"/>
        </w:rPr>
        <w:t xml:space="preserve">Přípravek je určen k léčbě jednotlivých zvířat. Nepoužívejte k prevenci onemocnění ani jako součást ozdravných programů stáda. Léčba skupin zvířat musí být přísně omezena </w:t>
      </w:r>
      <w:r w:rsidRPr="0061753A">
        <w:rPr>
          <w:szCs w:val="22"/>
          <w:lang w:eastAsia="sk-SK"/>
        </w:rPr>
        <w:t xml:space="preserve">na probíhající onemocnění </w:t>
      </w:r>
      <w:r w:rsidRPr="0061753A">
        <w:rPr>
          <w:bCs/>
          <w:szCs w:val="22"/>
        </w:rPr>
        <w:t>v souladu se schválenými podmínkami použití.</w:t>
      </w:r>
    </w:p>
    <w:p w:rsidR="0049199C" w:rsidRPr="0061753A" w:rsidRDefault="0049199C">
      <w:pPr>
        <w:ind w:left="0" w:firstLine="0"/>
        <w:jc w:val="both"/>
        <w:rPr>
          <w:rFonts w:cs="Arial"/>
          <w:w w:val="105"/>
        </w:rPr>
      </w:pPr>
    </w:p>
    <w:p w:rsidR="0049199C" w:rsidRPr="0061753A" w:rsidRDefault="0049199C">
      <w:pPr>
        <w:ind w:left="0" w:firstLine="0"/>
        <w:jc w:val="both"/>
        <w:rPr>
          <w:rFonts w:cs="Arial"/>
          <w:w w:val="105"/>
        </w:rPr>
      </w:pPr>
      <w:r w:rsidRPr="0061753A">
        <w:rPr>
          <w:rFonts w:cs="Arial"/>
          <w:w w:val="105"/>
        </w:rPr>
        <w:t xml:space="preserve">Současné použití diuretik nebo látek zvyšujících krevní srážlivost musí být založeno na hodnocení </w:t>
      </w:r>
      <w:r w:rsidRPr="0061753A">
        <w:t xml:space="preserve">poměru terapeutického prospěchu </w:t>
      </w:r>
      <w:r w:rsidRPr="0061753A">
        <w:rPr>
          <w:rFonts w:cs="Arial"/>
          <w:w w:val="105"/>
        </w:rPr>
        <w:t>a rizika ošetřujícím veterinárním lékařem.</w:t>
      </w:r>
    </w:p>
    <w:p w:rsidR="0049199C" w:rsidRPr="0061753A" w:rsidRDefault="0049199C">
      <w:pPr>
        <w:ind w:left="0" w:firstLine="0"/>
        <w:jc w:val="both"/>
        <w:rPr>
          <w:rFonts w:cs="Arial"/>
          <w:w w:val="105"/>
        </w:rPr>
      </w:pPr>
    </w:p>
    <w:p w:rsidR="0049199C" w:rsidRPr="0061753A" w:rsidRDefault="0049199C">
      <w:pPr>
        <w:ind w:left="0" w:firstLine="0"/>
        <w:jc w:val="both"/>
        <w:rPr>
          <w:rFonts w:cs="Arial"/>
          <w:w w:val="105"/>
        </w:rPr>
      </w:pPr>
      <w:r w:rsidRPr="0061753A">
        <w:rPr>
          <w:rFonts w:cs="Arial"/>
          <w:w w:val="105"/>
        </w:rPr>
        <w:t xml:space="preserve">Nepodávat </w:t>
      </w:r>
      <w:proofErr w:type="spellStart"/>
      <w:r w:rsidRPr="0061753A">
        <w:rPr>
          <w:rFonts w:cs="Arial"/>
          <w:w w:val="105"/>
        </w:rPr>
        <w:t>intraarteriálně</w:t>
      </w:r>
      <w:proofErr w:type="spellEnd"/>
      <w:r w:rsidRPr="0061753A">
        <w:rPr>
          <w:rFonts w:cs="Arial"/>
          <w:w w:val="105"/>
        </w:rPr>
        <w:t xml:space="preserve"> a intravenózně.</w:t>
      </w:r>
    </w:p>
    <w:p w:rsidR="0049199C" w:rsidRPr="0061753A" w:rsidRDefault="0049199C">
      <w:pPr>
        <w:ind w:left="0" w:firstLine="0"/>
        <w:jc w:val="both"/>
        <w:rPr>
          <w:rFonts w:cs="Arial"/>
          <w:w w:val="105"/>
        </w:rPr>
      </w:pPr>
    </w:p>
    <w:p w:rsidR="0049199C" w:rsidRPr="0069091F" w:rsidRDefault="0049199C">
      <w:pPr>
        <w:ind w:left="0" w:firstLine="0"/>
        <w:jc w:val="both"/>
        <w:rPr>
          <w:rFonts w:cs="Arial"/>
          <w:w w:val="105"/>
        </w:rPr>
      </w:pPr>
      <w:r w:rsidRPr="0061753A">
        <w:rPr>
          <w:rFonts w:cs="Arial"/>
          <w:w w:val="105"/>
        </w:rPr>
        <w:t xml:space="preserve">Použijte nejlépe jehlu </w:t>
      </w:r>
      <w:r w:rsidRPr="0069091F">
        <w:rPr>
          <w:rFonts w:cs="Arial"/>
          <w:w w:val="105"/>
        </w:rPr>
        <w:t>14G.</w:t>
      </w:r>
    </w:p>
    <w:p w:rsidR="00EA75A4" w:rsidRPr="0069091F" w:rsidRDefault="00EA75A4">
      <w:pPr>
        <w:ind w:left="0" w:firstLine="0"/>
        <w:jc w:val="both"/>
        <w:rPr>
          <w:rFonts w:cs="Arial"/>
          <w:w w:val="105"/>
          <w:highlight w:val="yellow"/>
        </w:rPr>
      </w:pPr>
    </w:p>
    <w:p w:rsidR="00EA75A4" w:rsidRPr="0061753A" w:rsidRDefault="00EA75A4" w:rsidP="0069091F">
      <w:pPr>
        <w:jc w:val="both"/>
        <w:rPr>
          <w:u w:val="single"/>
        </w:rPr>
      </w:pPr>
      <w:r w:rsidRPr="0061753A">
        <w:rPr>
          <w:u w:val="single"/>
        </w:rPr>
        <w:t>Zvláštní opatření určené osobám, které podávají veterinární léčivý přípravek zvířatům</w:t>
      </w:r>
      <w:r w:rsidR="00A16DEE" w:rsidRPr="0061753A">
        <w:rPr>
          <w:u w:val="single"/>
        </w:rPr>
        <w:t>:</w:t>
      </w:r>
    </w:p>
    <w:p w:rsidR="00EA75A4" w:rsidRPr="0061753A" w:rsidRDefault="00EA75A4" w:rsidP="0069091F">
      <w:pPr>
        <w:jc w:val="both"/>
      </w:pPr>
    </w:p>
    <w:p w:rsidR="00A16DEE" w:rsidRPr="0061753A" w:rsidRDefault="00A16DEE">
      <w:pPr>
        <w:ind w:left="0" w:firstLine="0"/>
        <w:jc w:val="both"/>
      </w:pPr>
      <w:r w:rsidRPr="0061753A">
        <w:t xml:space="preserve">Peniciliny a cefalosporiny mohou po injekci, inhalaci, požití nebo po kontaktu s kůží vyvolat přecitlivělost (alergii). Přecitlivělost na peniciliny může vést ke zkříženým reakcím s cefalosporiny </w:t>
      </w:r>
      <w:r w:rsidRPr="0061753A">
        <w:br/>
        <w:t xml:space="preserve">a naopak. Alergické reakce na tyto látky mohou být v některých případech vážné. </w:t>
      </w:r>
    </w:p>
    <w:p w:rsidR="00A16DEE" w:rsidRPr="0061753A" w:rsidRDefault="00A16DEE">
      <w:pPr>
        <w:tabs>
          <w:tab w:val="left" w:pos="567"/>
        </w:tabs>
        <w:ind w:left="0" w:firstLine="0"/>
        <w:jc w:val="both"/>
      </w:pPr>
      <w:r w:rsidRPr="0061753A">
        <w:t xml:space="preserve">Nemanipulujte s přípravkem, pokud víte, že jste přecitlivělí, nebo pokud vám bylo doporučeno </w:t>
      </w:r>
      <w:r w:rsidRPr="0061753A">
        <w:br/>
        <w:t>s přípravky tohoto typu nepracovat.</w:t>
      </w:r>
    </w:p>
    <w:p w:rsidR="00A16DEE" w:rsidRPr="0061753A" w:rsidRDefault="00A16DEE">
      <w:pPr>
        <w:ind w:left="0" w:firstLine="0"/>
        <w:jc w:val="both"/>
      </w:pPr>
      <w:r w:rsidRPr="0061753A">
        <w:t>Po použití si umyjte ruce.</w:t>
      </w:r>
    </w:p>
    <w:p w:rsidR="00A16DEE" w:rsidRPr="0061753A" w:rsidRDefault="00A16DEE">
      <w:pPr>
        <w:tabs>
          <w:tab w:val="left" w:pos="567"/>
        </w:tabs>
        <w:ind w:left="0" w:firstLine="0"/>
        <w:jc w:val="both"/>
        <w:rPr>
          <w:rFonts w:cs="Arial"/>
          <w:szCs w:val="22"/>
        </w:rPr>
      </w:pPr>
      <w:r w:rsidRPr="0061753A">
        <w:rPr>
          <w:rFonts w:cs="Arial"/>
          <w:szCs w:val="22"/>
        </w:rPr>
        <w:t xml:space="preserve">Zabraňte kontaktu přípravku s kůží a očima. V případě zasažení ihned omyjte vodou.  </w:t>
      </w:r>
    </w:p>
    <w:p w:rsidR="00A16DEE" w:rsidRPr="0061753A" w:rsidRDefault="00A16DEE">
      <w:pPr>
        <w:tabs>
          <w:tab w:val="left" w:pos="567"/>
        </w:tabs>
        <w:ind w:left="0" w:firstLine="0"/>
        <w:jc w:val="both"/>
        <w:rPr>
          <w:rFonts w:cs="Arial"/>
          <w:szCs w:val="22"/>
        </w:rPr>
      </w:pPr>
      <w:r w:rsidRPr="0061753A">
        <w:rPr>
          <w:rFonts w:cs="Arial"/>
          <w:szCs w:val="22"/>
        </w:rPr>
        <w:t>Pokud se po kontaktu s přípravkem objeví příznaky jako například kožní vyrážka, vyhledejte lékařskou pomoc a ukažte lékaři toto upozornění.</w:t>
      </w:r>
    </w:p>
    <w:p w:rsidR="00A16DEE" w:rsidRPr="0061753A" w:rsidRDefault="00A16DEE">
      <w:pPr>
        <w:tabs>
          <w:tab w:val="left" w:pos="567"/>
        </w:tabs>
        <w:ind w:left="0" w:firstLine="0"/>
        <w:jc w:val="both"/>
        <w:rPr>
          <w:rFonts w:cs="Arial"/>
          <w:szCs w:val="22"/>
        </w:rPr>
      </w:pPr>
      <w:r w:rsidRPr="0061753A">
        <w:rPr>
          <w:rFonts w:cs="Arial"/>
          <w:szCs w:val="22"/>
        </w:rPr>
        <w:t>Otok obličeje, rtů či očí nebo potíže s dýcháním jsou vážné příznaky a vyžadují okamžitou lékařskou péči.</w:t>
      </w:r>
    </w:p>
    <w:p w:rsidR="00A16DEE" w:rsidRPr="0061753A" w:rsidRDefault="00A16DEE">
      <w:pPr>
        <w:autoSpaceDE w:val="0"/>
        <w:autoSpaceDN w:val="0"/>
        <w:adjustRightInd w:val="0"/>
        <w:ind w:left="0" w:firstLine="0"/>
        <w:jc w:val="both"/>
      </w:pPr>
      <w:r w:rsidRPr="0061753A">
        <w:rPr>
          <w:rFonts w:cs="Arial"/>
          <w:szCs w:val="22"/>
        </w:rPr>
        <w:t xml:space="preserve">V případě náhodného </w:t>
      </w:r>
      <w:r w:rsidRPr="0061753A">
        <w:t xml:space="preserve">sebepoškození injekčně aplikovaným přípravkem </w:t>
      </w:r>
      <w:r w:rsidRPr="0061753A">
        <w:rPr>
          <w:rFonts w:ascii="TimesNewRoman,Italic" w:hAnsi="TimesNewRoman,Italic"/>
          <w:szCs w:val="22"/>
        </w:rPr>
        <w:t>vyhledejte ihned léka</w:t>
      </w:r>
      <w:r w:rsidRPr="0061753A">
        <w:rPr>
          <w:rFonts w:ascii="TimesNewRoman,Italic" w:hAnsi="TimesNewRoman,Italic" w:hint="eastAsia"/>
          <w:szCs w:val="22"/>
        </w:rPr>
        <w:t>ř</w:t>
      </w:r>
      <w:r w:rsidRPr="0061753A">
        <w:rPr>
          <w:rFonts w:ascii="TimesNewRoman,Italic" w:hAnsi="TimesNewRoman,Italic"/>
          <w:szCs w:val="22"/>
        </w:rPr>
        <w:t>skou pomoc a ukažte p</w:t>
      </w:r>
      <w:r w:rsidRPr="0061753A">
        <w:rPr>
          <w:rFonts w:ascii="TimesNewRoman,Italic" w:hAnsi="TimesNewRoman,Italic" w:hint="eastAsia"/>
          <w:szCs w:val="22"/>
        </w:rPr>
        <w:t>ří</w:t>
      </w:r>
      <w:r w:rsidRPr="0061753A">
        <w:rPr>
          <w:rFonts w:ascii="TimesNewRoman,Italic" w:hAnsi="TimesNewRoman,Italic"/>
          <w:szCs w:val="22"/>
        </w:rPr>
        <w:t>balovou informaci nebo etiketu praktickému léka</w:t>
      </w:r>
      <w:r w:rsidRPr="0061753A">
        <w:rPr>
          <w:rFonts w:ascii="TimesNewRoman,Italic" w:hAnsi="TimesNewRoman,Italic" w:hint="eastAsia"/>
          <w:szCs w:val="22"/>
        </w:rPr>
        <w:t>ř</w:t>
      </w:r>
      <w:r w:rsidRPr="0061753A">
        <w:rPr>
          <w:rFonts w:ascii="TimesNewRoman,Italic" w:hAnsi="TimesNewRoman,Italic"/>
          <w:szCs w:val="22"/>
        </w:rPr>
        <w:t>i</w:t>
      </w:r>
      <w:r w:rsidRPr="0061753A">
        <w:t>.</w:t>
      </w:r>
    </w:p>
    <w:p w:rsidR="00EA75A4" w:rsidRPr="0061753A" w:rsidRDefault="00EA75A4" w:rsidP="0069091F">
      <w:pPr>
        <w:ind w:left="0" w:firstLine="0"/>
        <w:jc w:val="both"/>
      </w:pPr>
    </w:p>
    <w:p w:rsidR="00DF1B51" w:rsidRPr="0061753A" w:rsidRDefault="00DF1B51" w:rsidP="0069091F">
      <w:pPr>
        <w:jc w:val="both"/>
        <w:rPr>
          <w:szCs w:val="22"/>
        </w:rPr>
      </w:pPr>
      <w:r w:rsidRPr="0061753A">
        <w:rPr>
          <w:szCs w:val="22"/>
          <w:u w:val="single"/>
        </w:rPr>
        <w:t>Březost</w:t>
      </w:r>
      <w:r w:rsidR="002E195B" w:rsidRPr="0061753A">
        <w:rPr>
          <w:szCs w:val="22"/>
          <w:u w:val="single"/>
        </w:rPr>
        <w:t xml:space="preserve"> a laktace:</w:t>
      </w:r>
    </w:p>
    <w:p w:rsidR="00DF1B51" w:rsidRPr="0061753A" w:rsidRDefault="00DF1B51" w:rsidP="0069091F">
      <w:pPr>
        <w:jc w:val="both"/>
        <w:rPr>
          <w:szCs w:val="22"/>
        </w:rPr>
      </w:pPr>
    </w:p>
    <w:p w:rsidR="0049199C" w:rsidRPr="0061753A" w:rsidRDefault="0049199C">
      <w:pPr>
        <w:ind w:left="0" w:firstLine="0"/>
        <w:jc w:val="both"/>
      </w:pPr>
      <w:r w:rsidRPr="0061753A">
        <w:t xml:space="preserve">I když studie s </w:t>
      </w:r>
      <w:proofErr w:type="spellStart"/>
      <w:r w:rsidRPr="0061753A">
        <w:t>ceftiofurem</w:t>
      </w:r>
      <w:proofErr w:type="spellEnd"/>
      <w:r w:rsidRPr="0061753A">
        <w:t xml:space="preserve"> nebo </w:t>
      </w:r>
      <w:proofErr w:type="spellStart"/>
      <w:r w:rsidRPr="0061753A">
        <w:t>ketoprofenem</w:t>
      </w:r>
      <w:proofErr w:type="spellEnd"/>
      <w:r w:rsidRPr="0061753A">
        <w:t xml:space="preserve"> na laboratorních zvířatech nepodaly důkaz o teratogenním účinku, abortech nebo vlivu na reprodukci, bezpečnost přípravku z hlediska reprodukce nebyla u březích krav specificky zkoumána. </w:t>
      </w:r>
    </w:p>
    <w:p w:rsidR="0049199C" w:rsidRPr="0061753A" w:rsidRDefault="0049199C">
      <w:pPr>
        <w:jc w:val="both"/>
      </w:pPr>
      <w:r w:rsidRPr="0061753A">
        <w:t>Použít pouze po zvážení poměru terapeutického prospěchu a rizika příslušným veterinárním lékařem.</w:t>
      </w:r>
    </w:p>
    <w:p w:rsidR="002E195B" w:rsidRPr="0061753A" w:rsidRDefault="002E195B" w:rsidP="0069091F">
      <w:pPr>
        <w:jc w:val="both"/>
      </w:pPr>
    </w:p>
    <w:p w:rsidR="00DF1B51" w:rsidRPr="0061753A" w:rsidRDefault="00DF1B51" w:rsidP="0069091F">
      <w:pPr>
        <w:jc w:val="both"/>
        <w:rPr>
          <w:szCs w:val="22"/>
        </w:rPr>
      </w:pPr>
    </w:p>
    <w:p w:rsidR="00DF1B51" w:rsidRPr="0061753A" w:rsidRDefault="00A121C4" w:rsidP="0069091F">
      <w:pPr>
        <w:jc w:val="both"/>
        <w:rPr>
          <w:szCs w:val="22"/>
        </w:rPr>
      </w:pPr>
      <w:r w:rsidRPr="0061753A">
        <w:rPr>
          <w:szCs w:val="22"/>
          <w:u w:val="single"/>
        </w:rPr>
        <w:lastRenderedPageBreak/>
        <w:t>Interakce s dalšími léčivými přípravky a další formy interakce</w:t>
      </w:r>
      <w:r w:rsidR="00DF1B51" w:rsidRPr="0061753A">
        <w:rPr>
          <w:szCs w:val="22"/>
          <w:u w:val="single"/>
        </w:rPr>
        <w:t>:</w:t>
      </w:r>
    </w:p>
    <w:p w:rsidR="00DF1B51" w:rsidRPr="0061753A" w:rsidRDefault="00DF1B51" w:rsidP="0069091F">
      <w:pPr>
        <w:jc w:val="both"/>
        <w:rPr>
          <w:szCs w:val="22"/>
        </w:rPr>
      </w:pPr>
    </w:p>
    <w:p w:rsidR="0049199C" w:rsidRPr="0061753A" w:rsidRDefault="0049199C">
      <w:pPr>
        <w:ind w:left="0" w:firstLine="0"/>
        <w:jc w:val="both"/>
      </w:pPr>
      <w:r w:rsidRPr="0069091F">
        <w:t>Některá NSAID mohou být silně vázaná na plazmatické bílkoviny a mohou soutěžit s jinými léčivy se silnou vazbou, což může vést k toxickým účinkům.</w:t>
      </w:r>
    </w:p>
    <w:p w:rsidR="0049199C" w:rsidRPr="0061753A" w:rsidRDefault="0049199C">
      <w:pPr>
        <w:ind w:left="0" w:firstLine="0"/>
        <w:jc w:val="both"/>
      </w:pPr>
      <w:r w:rsidRPr="0061753A">
        <w:rPr>
          <w:szCs w:val="24"/>
          <w:lang w:eastAsia="cs-CZ"/>
        </w:rPr>
        <w:t xml:space="preserve">Nepodávejte </w:t>
      </w:r>
      <w:r w:rsidRPr="0061753A">
        <w:t xml:space="preserve">současně s </w:t>
      </w:r>
      <w:proofErr w:type="spellStart"/>
      <w:r w:rsidRPr="0061753A">
        <w:t>nefrotoxickými</w:t>
      </w:r>
      <w:proofErr w:type="spellEnd"/>
      <w:r w:rsidRPr="0061753A">
        <w:t xml:space="preserve"> léčivy. </w:t>
      </w:r>
    </w:p>
    <w:p w:rsidR="0049199C" w:rsidRPr="0061753A" w:rsidRDefault="0049199C">
      <w:pPr>
        <w:ind w:left="0" w:firstLine="0"/>
        <w:jc w:val="both"/>
      </w:pPr>
      <w:r w:rsidRPr="0061753A">
        <w:t>Baktericidní vlastnosti beta laktamů jsou neutralizovány při současném podání bakteriostatických antibiotik (</w:t>
      </w:r>
      <w:proofErr w:type="spellStart"/>
      <w:r w:rsidRPr="0061753A">
        <w:t>makrolidy</w:t>
      </w:r>
      <w:proofErr w:type="spellEnd"/>
      <w:r w:rsidRPr="0061753A">
        <w:t>, sulfonamidy a tetracykliny).</w:t>
      </w:r>
    </w:p>
    <w:p w:rsidR="002E195B" w:rsidRPr="0061753A" w:rsidRDefault="002E195B" w:rsidP="0069091F">
      <w:pPr>
        <w:jc w:val="both"/>
        <w:rPr>
          <w:szCs w:val="22"/>
        </w:rPr>
      </w:pPr>
    </w:p>
    <w:p w:rsidR="002E195B" w:rsidRPr="0061753A" w:rsidRDefault="002E195B" w:rsidP="0069091F">
      <w:pPr>
        <w:jc w:val="both"/>
        <w:rPr>
          <w:szCs w:val="22"/>
        </w:rPr>
      </w:pPr>
    </w:p>
    <w:p w:rsidR="00DF1B51" w:rsidRPr="0061753A" w:rsidRDefault="00A121C4" w:rsidP="0069091F">
      <w:pPr>
        <w:jc w:val="both"/>
        <w:rPr>
          <w:szCs w:val="22"/>
        </w:rPr>
      </w:pPr>
      <w:r w:rsidRPr="0061753A">
        <w:rPr>
          <w:szCs w:val="22"/>
          <w:u w:val="single"/>
        </w:rPr>
        <w:t>Předávkování (symptomy, první pomoc, antidota)</w:t>
      </w:r>
      <w:r w:rsidR="00DF1B51" w:rsidRPr="0061753A">
        <w:rPr>
          <w:szCs w:val="22"/>
        </w:rPr>
        <w:t>:</w:t>
      </w:r>
    </w:p>
    <w:p w:rsidR="00DF1B51" w:rsidRPr="0061753A" w:rsidRDefault="00DF1B51" w:rsidP="0069091F">
      <w:pPr>
        <w:jc w:val="both"/>
        <w:rPr>
          <w:szCs w:val="22"/>
        </w:rPr>
      </w:pPr>
    </w:p>
    <w:p w:rsidR="0049199C" w:rsidRPr="0061753A" w:rsidRDefault="0049199C">
      <w:pPr>
        <w:ind w:left="0" w:firstLine="0"/>
        <w:jc w:val="both"/>
      </w:pPr>
      <w:r w:rsidRPr="0061753A">
        <w:rPr>
          <w:szCs w:val="22"/>
          <w:lang w:eastAsia="sk-SK"/>
        </w:rPr>
        <w:t xml:space="preserve">Nebyly pozorovány žádné příznaky systémové toxicity </w:t>
      </w:r>
      <w:r w:rsidRPr="0061753A">
        <w:rPr>
          <w:rFonts w:ascii="Times" w:hAnsi="Times"/>
          <w:szCs w:val="22"/>
        </w:rPr>
        <w:t>v dávkách 5 krát převyšujících doporučenou denní dávku</w:t>
      </w:r>
      <w:r w:rsidRPr="0061753A">
        <w:rPr>
          <w:rFonts w:ascii="Times" w:hAnsi="Times"/>
          <w:sz w:val="20"/>
        </w:rPr>
        <w:t xml:space="preserve"> </w:t>
      </w:r>
      <w:r w:rsidRPr="0061753A">
        <w:t>15 po sobě jdoucích dnů.</w:t>
      </w:r>
    </w:p>
    <w:p w:rsidR="0049199C" w:rsidRPr="0061753A" w:rsidRDefault="0049199C">
      <w:pPr>
        <w:jc w:val="both"/>
        <w:rPr>
          <w:rFonts w:cs="Arial"/>
          <w:szCs w:val="22"/>
        </w:rPr>
      </w:pPr>
    </w:p>
    <w:p w:rsidR="00954F9F" w:rsidRPr="0061753A" w:rsidRDefault="00954F9F" w:rsidP="0069091F">
      <w:pPr>
        <w:jc w:val="both"/>
        <w:rPr>
          <w:szCs w:val="22"/>
        </w:rPr>
      </w:pPr>
    </w:p>
    <w:p w:rsidR="00DF1B51" w:rsidRPr="0061753A" w:rsidRDefault="00A121C4" w:rsidP="0069091F">
      <w:pPr>
        <w:jc w:val="both"/>
        <w:rPr>
          <w:szCs w:val="22"/>
        </w:rPr>
      </w:pPr>
      <w:r w:rsidRPr="0061753A">
        <w:rPr>
          <w:szCs w:val="22"/>
          <w:u w:val="single"/>
        </w:rPr>
        <w:t>Inkompatibility</w:t>
      </w:r>
      <w:r w:rsidR="00DF1B51" w:rsidRPr="0061753A">
        <w:rPr>
          <w:szCs w:val="22"/>
        </w:rPr>
        <w:t>:</w:t>
      </w:r>
    </w:p>
    <w:p w:rsidR="00554D84" w:rsidRPr="0061753A" w:rsidRDefault="00554D84" w:rsidP="0069091F">
      <w:pPr>
        <w:jc w:val="both"/>
      </w:pPr>
    </w:p>
    <w:p w:rsidR="00954F9F" w:rsidRPr="0061753A" w:rsidRDefault="00954F9F" w:rsidP="0069091F">
      <w:pPr>
        <w:ind w:left="0" w:firstLine="0"/>
        <w:jc w:val="both"/>
      </w:pPr>
      <w:r w:rsidRPr="0061753A">
        <w:t>Studie kompatibility nejsou k dispozici, a proto tento veterinární léčivý přípravek nesmí být mísen s žádnými dalšími veterinárními léčivými přípravky.</w:t>
      </w:r>
    </w:p>
    <w:p w:rsidR="00954F9F" w:rsidRPr="0061753A" w:rsidRDefault="00954F9F" w:rsidP="0069091F">
      <w:pPr>
        <w:jc w:val="both"/>
      </w:pPr>
    </w:p>
    <w:p w:rsidR="00554D84" w:rsidRPr="0061753A" w:rsidRDefault="00554D84" w:rsidP="0069091F">
      <w:pPr>
        <w:jc w:val="both"/>
      </w:pPr>
    </w:p>
    <w:p w:rsidR="00554D84" w:rsidRPr="0061753A" w:rsidRDefault="00554D84" w:rsidP="0069091F">
      <w:pPr>
        <w:jc w:val="both"/>
        <w:rPr>
          <w:b/>
        </w:rPr>
      </w:pPr>
      <w:r w:rsidRPr="0061753A">
        <w:rPr>
          <w:b/>
        </w:rPr>
        <w:t>13.</w:t>
      </w:r>
      <w:r w:rsidRPr="0061753A">
        <w:rPr>
          <w:b/>
        </w:rPr>
        <w:tab/>
        <w:t>ZVLÁŠTNÍ OPATŘENÍ PRO ZNEŠKODŇOVÁNÍ NEPOUŽITÝCH PŘÍPRAVKŮ NEBO ODPADU, POKUD JE JICH TŘEBA</w:t>
      </w:r>
    </w:p>
    <w:p w:rsidR="00554D84" w:rsidRPr="0061753A" w:rsidRDefault="00554D84" w:rsidP="0069091F">
      <w:pPr>
        <w:ind w:right="-318"/>
        <w:jc w:val="both"/>
      </w:pPr>
    </w:p>
    <w:p w:rsidR="00554D84" w:rsidRPr="0061753A" w:rsidRDefault="00554D84" w:rsidP="0069091F">
      <w:pPr>
        <w:ind w:left="0" w:right="-318" w:firstLine="0"/>
        <w:jc w:val="both"/>
      </w:pPr>
      <w:r w:rsidRPr="0061753A">
        <w:t>Léčivé přípravky se nesmí likvidovat prostřednictvím odpadní vody či domovního odpadu.</w:t>
      </w:r>
    </w:p>
    <w:p w:rsidR="00554D84" w:rsidRPr="0061753A" w:rsidRDefault="00A16DEE" w:rsidP="0069091F">
      <w:pPr>
        <w:ind w:left="0" w:right="-318" w:firstLine="0"/>
        <w:jc w:val="both"/>
      </w:pPr>
      <w:r w:rsidRPr="0061753A">
        <w:t>Všechen nepoužitý veterinární léčivý přípravek nebo odpad, který pochází z tohoto přípravku, musí být likvidován podle místních právních předpisů</w:t>
      </w:r>
      <w:r w:rsidR="00554D84" w:rsidRPr="0061753A">
        <w:t>.</w:t>
      </w:r>
    </w:p>
    <w:p w:rsidR="00554D84" w:rsidRPr="0061753A" w:rsidRDefault="00554D84" w:rsidP="0069091F">
      <w:pPr>
        <w:jc w:val="both"/>
        <w:rPr>
          <w:b/>
        </w:rPr>
      </w:pPr>
    </w:p>
    <w:p w:rsidR="00554D84" w:rsidRPr="0061753A" w:rsidRDefault="00554D84" w:rsidP="0069091F">
      <w:pPr>
        <w:jc w:val="both"/>
        <w:rPr>
          <w:b/>
        </w:rPr>
      </w:pPr>
    </w:p>
    <w:p w:rsidR="00554D84" w:rsidRPr="0061753A" w:rsidRDefault="00554D84" w:rsidP="0069091F">
      <w:pPr>
        <w:jc w:val="both"/>
      </w:pPr>
      <w:r w:rsidRPr="0061753A">
        <w:rPr>
          <w:b/>
        </w:rPr>
        <w:t>14.</w:t>
      </w:r>
      <w:r w:rsidRPr="0061753A">
        <w:rPr>
          <w:b/>
        </w:rPr>
        <w:tab/>
        <w:t>DATUM POSLEDNÍ REVIZE PŘÍBALOVÉ INFORMACE</w:t>
      </w:r>
    </w:p>
    <w:p w:rsidR="00554D84" w:rsidRPr="0061753A" w:rsidRDefault="00554D84" w:rsidP="0069091F">
      <w:pPr>
        <w:ind w:right="-318"/>
        <w:jc w:val="both"/>
      </w:pPr>
    </w:p>
    <w:p w:rsidR="00554D84" w:rsidRPr="0061753A" w:rsidRDefault="0049199C" w:rsidP="0069091F">
      <w:pPr>
        <w:ind w:right="-318"/>
        <w:jc w:val="both"/>
      </w:pPr>
      <w:r w:rsidRPr="0061753A">
        <w:t>Září 2015</w:t>
      </w:r>
    </w:p>
    <w:p w:rsidR="00554D84" w:rsidRPr="0061753A" w:rsidRDefault="00554D84" w:rsidP="0069091F">
      <w:pPr>
        <w:ind w:right="-318"/>
        <w:jc w:val="both"/>
      </w:pPr>
    </w:p>
    <w:p w:rsidR="00554D84" w:rsidRPr="0061753A" w:rsidRDefault="00554D84" w:rsidP="0069091F">
      <w:pPr>
        <w:jc w:val="both"/>
        <w:rPr>
          <w:b/>
        </w:rPr>
      </w:pPr>
      <w:r w:rsidRPr="0061753A">
        <w:rPr>
          <w:b/>
        </w:rPr>
        <w:t>15.</w:t>
      </w:r>
      <w:r w:rsidRPr="0061753A">
        <w:rPr>
          <w:b/>
        </w:rPr>
        <w:tab/>
        <w:t>DALŠÍ INFORMACE</w:t>
      </w:r>
    </w:p>
    <w:p w:rsidR="00FB4774" w:rsidRPr="0061753A" w:rsidRDefault="00FB4774" w:rsidP="0069091F">
      <w:pPr>
        <w:jc w:val="both"/>
        <w:rPr>
          <w:b/>
        </w:rPr>
      </w:pPr>
    </w:p>
    <w:p w:rsidR="00F97837" w:rsidRPr="0061753A" w:rsidRDefault="00FB4774" w:rsidP="0069091F">
      <w:pPr>
        <w:jc w:val="both"/>
      </w:pPr>
      <w:r w:rsidRPr="0061753A">
        <w:t>Balení: 1 x 50 ml, 1 x 100 ml a 1 x 250 ml (skleněné nebo polypropylenov</w:t>
      </w:r>
      <w:r w:rsidR="00E91EA3" w:rsidRPr="0061753A">
        <w:t>é</w:t>
      </w:r>
      <w:r w:rsidRPr="0061753A">
        <w:t xml:space="preserve"> lahvičky).  </w:t>
      </w:r>
    </w:p>
    <w:p w:rsidR="00FB4774" w:rsidRPr="0061753A" w:rsidRDefault="00FB4774" w:rsidP="0069091F">
      <w:pPr>
        <w:jc w:val="both"/>
      </w:pPr>
    </w:p>
    <w:p w:rsidR="00554D84" w:rsidRDefault="00554D84" w:rsidP="0069091F">
      <w:pPr>
        <w:jc w:val="both"/>
      </w:pPr>
      <w:r w:rsidRPr="0061753A">
        <w:t>Na trhu nemusí být všechny velikosti balení.</w:t>
      </w:r>
    </w:p>
    <w:p w:rsidR="00481EEB" w:rsidRDefault="00481EEB" w:rsidP="0069091F">
      <w:pPr>
        <w:jc w:val="both"/>
      </w:pPr>
    </w:p>
    <w:p w:rsidR="00481EEB" w:rsidRPr="00720EBD" w:rsidRDefault="00481EEB">
      <w:pPr>
        <w:ind w:left="0" w:firstLine="0"/>
        <w:jc w:val="both"/>
      </w:pPr>
      <w:r>
        <w:t>Veterinární léčivý přípravek je vydáván pouze na předpis.</w:t>
      </w:r>
    </w:p>
    <w:p w:rsidR="00481EEB" w:rsidRPr="0061753A" w:rsidRDefault="00481EEB" w:rsidP="0069091F">
      <w:pPr>
        <w:jc w:val="both"/>
      </w:pPr>
    </w:p>
    <w:sectPr w:rsidR="00481EEB" w:rsidRPr="0061753A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C4" w:rsidRDefault="007278C4">
      <w:r>
        <w:separator/>
      </w:r>
    </w:p>
  </w:endnote>
  <w:endnote w:type="continuationSeparator" w:id="0">
    <w:p w:rsidR="007278C4" w:rsidRDefault="0072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28" w:rsidRDefault="0037212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372128" w:rsidRDefault="0037212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69091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28" w:rsidRDefault="00372128">
    <w:pPr>
      <w:pStyle w:val="Zpat"/>
      <w:tabs>
        <w:tab w:val="clear" w:pos="8930"/>
        <w:tab w:val="right" w:pos="8931"/>
      </w:tabs>
    </w:pPr>
  </w:p>
  <w:p w:rsidR="00372128" w:rsidRDefault="0037212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6909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C4" w:rsidRDefault="007278C4">
      <w:r>
        <w:separator/>
      </w:r>
    </w:p>
  </w:footnote>
  <w:footnote w:type="continuationSeparator" w:id="0">
    <w:p w:rsidR="007278C4" w:rsidRDefault="0072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28" w:rsidRDefault="003721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37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5"/>
  </w:num>
  <w:num w:numId="11">
    <w:abstractNumId w:val="36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9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40"/>
  </w:num>
  <w:num w:numId="39">
    <w:abstractNumId w:val="15"/>
  </w:num>
  <w:num w:numId="40">
    <w:abstractNumId w:val="5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07CB2"/>
    <w:rsid w:val="00013853"/>
    <w:rsid w:val="000208CF"/>
    <w:rsid w:val="00022E21"/>
    <w:rsid w:val="000306E8"/>
    <w:rsid w:val="00044181"/>
    <w:rsid w:val="00067640"/>
    <w:rsid w:val="000A0E19"/>
    <w:rsid w:val="000A2F0C"/>
    <w:rsid w:val="000A7089"/>
    <w:rsid w:val="000B6157"/>
    <w:rsid w:val="000D60EC"/>
    <w:rsid w:val="000E7EEA"/>
    <w:rsid w:val="000F1957"/>
    <w:rsid w:val="000F1AB7"/>
    <w:rsid w:val="00100DDA"/>
    <w:rsid w:val="00116F84"/>
    <w:rsid w:val="00122776"/>
    <w:rsid w:val="00134FE1"/>
    <w:rsid w:val="00140775"/>
    <w:rsid w:val="00140B41"/>
    <w:rsid w:val="001443DA"/>
    <w:rsid w:val="00152E20"/>
    <w:rsid w:val="001556FD"/>
    <w:rsid w:val="00155E9D"/>
    <w:rsid w:val="001652DE"/>
    <w:rsid w:val="0016786D"/>
    <w:rsid w:val="00175CFD"/>
    <w:rsid w:val="0017622A"/>
    <w:rsid w:val="00176AFF"/>
    <w:rsid w:val="001A24A9"/>
    <w:rsid w:val="001A5B3A"/>
    <w:rsid w:val="001A6E67"/>
    <w:rsid w:val="001C2E52"/>
    <w:rsid w:val="001C4389"/>
    <w:rsid w:val="001E0872"/>
    <w:rsid w:val="001E1F34"/>
    <w:rsid w:val="001F66B4"/>
    <w:rsid w:val="0020738F"/>
    <w:rsid w:val="002102DC"/>
    <w:rsid w:val="0024512B"/>
    <w:rsid w:val="0025393A"/>
    <w:rsid w:val="00257098"/>
    <w:rsid w:val="0028043D"/>
    <w:rsid w:val="002910FA"/>
    <w:rsid w:val="00294D9B"/>
    <w:rsid w:val="00296924"/>
    <w:rsid w:val="002A4700"/>
    <w:rsid w:val="002B7702"/>
    <w:rsid w:val="002C4E18"/>
    <w:rsid w:val="002E195B"/>
    <w:rsid w:val="002E703B"/>
    <w:rsid w:val="002F57F7"/>
    <w:rsid w:val="00340131"/>
    <w:rsid w:val="0035159C"/>
    <w:rsid w:val="003626B6"/>
    <w:rsid w:val="00372128"/>
    <w:rsid w:val="00381254"/>
    <w:rsid w:val="00386002"/>
    <w:rsid w:val="003A2EEC"/>
    <w:rsid w:val="003A7224"/>
    <w:rsid w:val="003C663E"/>
    <w:rsid w:val="003D4FDD"/>
    <w:rsid w:val="003E03C5"/>
    <w:rsid w:val="003E0D57"/>
    <w:rsid w:val="003E3E6C"/>
    <w:rsid w:val="003F16C4"/>
    <w:rsid w:val="003F7E7F"/>
    <w:rsid w:val="00401AB8"/>
    <w:rsid w:val="00403374"/>
    <w:rsid w:val="00410FC4"/>
    <w:rsid w:val="00445750"/>
    <w:rsid w:val="00453EE6"/>
    <w:rsid w:val="00455F65"/>
    <w:rsid w:val="0045757B"/>
    <w:rsid w:val="00464269"/>
    <w:rsid w:val="00481EEB"/>
    <w:rsid w:val="0049199C"/>
    <w:rsid w:val="004A4A2C"/>
    <w:rsid w:val="004A6C10"/>
    <w:rsid w:val="004B5695"/>
    <w:rsid w:val="004C5BEF"/>
    <w:rsid w:val="004D2C09"/>
    <w:rsid w:val="004D3940"/>
    <w:rsid w:val="004E33B0"/>
    <w:rsid w:val="004F3604"/>
    <w:rsid w:val="00524805"/>
    <w:rsid w:val="00525669"/>
    <w:rsid w:val="005436D2"/>
    <w:rsid w:val="00554D84"/>
    <w:rsid w:val="005657D9"/>
    <w:rsid w:val="00571320"/>
    <w:rsid w:val="00592696"/>
    <w:rsid w:val="005C1296"/>
    <w:rsid w:val="005E50A5"/>
    <w:rsid w:val="005F2E32"/>
    <w:rsid w:val="005F7FA2"/>
    <w:rsid w:val="00604F4D"/>
    <w:rsid w:val="0061753A"/>
    <w:rsid w:val="00621D4F"/>
    <w:rsid w:val="00633A59"/>
    <w:rsid w:val="00637F91"/>
    <w:rsid w:val="00644DBB"/>
    <w:rsid w:val="006557BC"/>
    <w:rsid w:val="006741D0"/>
    <w:rsid w:val="00682E55"/>
    <w:rsid w:val="0069091F"/>
    <w:rsid w:val="00693879"/>
    <w:rsid w:val="00693933"/>
    <w:rsid w:val="006A2F72"/>
    <w:rsid w:val="006C733F"/>
    <w:rsid w:val="006D2E0C"/>
    <w:rsid w:val="006D4FCD"/>
    <w:rsid w:val="006E1931"/>
    <w:rsid w:val="006E2117"/>
    <w:rsid w:val="006E66ED"/>
    <w:rsid w:val="006F09CF"/>
    <w:rsid w:val="00717DDF"/>
    <w:rsid w:val="00725273"/>
    <w:rsid w:val="007278C4"/>
    <w:rsid w:val="00730F7C"/>
    <w:rsid w:val="00737FB4"/>
    <w:rsid w:val="00742EB3"/>
    <w:rsid w:val="00743110"/>
    <w:rsid w:val="00754113"/>
    <w:rsid w:val="007551C7"/>
    <w:rsid w:val="00764B49"/>
    <w:rsid w:val="0076719E"/>
    <w:rsid w:val="00783B06"/>
    <w:rsid w:val="007A5610"/>
    <w:rsid w:val="007C240A"/>
    <w:rsid w:val="007C3F8B"/>
    <w:rsid w:val="007C6C15"/>
    <w:rsid w:val="007D0C57"/>
    <w:rsid w:val="007E1A9D"/>
    <w:rsid w:val="007E7DE4"/>
    <w:rsid w:val="007F0B23"/>
    <w:rsid w:val="007F4288"/>
    <w:rsid w:val="008039B0"/>
    <w:rsid w:val="008043EC"/>
    <w:rsid w:val="0081008D"/>
    <w:rsid w:val="008306D6"/>
    <w:rsid w:val="00833A0B"/>
    <w:rsid w:val="00860BFD"/>
    <w:rsid w:val="00866C55"/>
    <w:rsid w:val="00870214"/>
    <w:rsid w:val="008758DA"/>
    <w:rsid w:val="0088105E"/>
    <w:rsid w:val="008963C9"/>
    <w:rsid w:val="008A0A5F"/>
    <w:rsid w:val="008A1D73"/>
    <w:rsid w:val="008B1355"/>
    <w:rsid w:val="008C2F39"/>
    <w:rsid w:val="008E1461"/>
    <w:rsid w:val="008E554C"/>
    <w:rsid w:val="008F4D19"/>
    <w:rsid w:val="00902572"/>
    <w:rsid w:val="00940EB2"/>
    <w:rsid w:val="00945D2D"/>
    <w:rsid w:val="00952E34"/>
    <w:rsid w:val="00953EB1"/>
    <w:rsid w:val="00954F9F"/>
    <w:rsid w:val="00955A6D"/>
    <w:rsid w:val="00960F91"/>
    <w:rsid w:val="00976E1F"/>
    <w:rsid w:val="00976FEC"/>
    <w:rsid w:val="00984F2E"/>
    <w:rsid w:val="0099127A"/>
    <w:rsid w:val="00992479"/>
    <w:rsid w:val="009B54B1"/>
    <w:rsid w:val="009C105B"/>
    <w:rsid w:val="009D5C28"/>
    <w:rsid w:val="009F2128"/>
    <w:rsid w:val="00A121C4"/>
    <w:rsid w:val="00A16DEE"/>
    <w:rsid w:val="00A219CA"/>
    <w:rsid w:val="00A23CD6"/>
    <w:rsid w:val="00A304F8"/>
    <w:rsid w:val="00A3097A"/>
    <w:rsid w:val="00A33D05"/>
    <w:rsid w:val="00A51EDE"/>
    <w:rsid w:val="00A60A84"/>
    <w:rsid w:val="00A83FE1"/>
    <w:rsid w:val="00A86842"/>
    <w:rsid w:val="00A94807"/>
    <w:rsid w:val="00AA256D"/>
    <w:rsid w:val="00AE334A"/>
    <w:rsid w:val="00AF0C12"/>
    <w:rsid w:val="00AF0F5F"/>
    <w:rsid w:val="00AF61D8"/>
    <w:rsid w:val="00B01EB8"/>
    <w:rsid w:val="00B0200C"/>
    <w:rsid w:val="00B1150B"/>
    <w:rsid w:val="00B35E2E"/>
    <w:rsid w:val="00B41526"/>
    <w:rsid w:val="00B42C7B"/>
    <w:rsid w:val="00B44CC1"/>
    <w:rsid w:val="00B5056F"/>
    <w:rsid w:val="00B52AFE"/>
    <w:rsid w:val="00B62DA0"/>
    <w:rsid w:val="00B75F51"/>
    <w:rsid w:val="00BA2325"/>
    <w:rsid w:val="00BA7E09"/>
    <w:rsid w:val="00BB4F91"/>
    <w:rsid w:val="00BB7F62"/>
    <w:rsid w:val="00BD0D80"/>
    <w:rsid w:val="00BD32F4"/>
    <w:rsid w:val="00BD6DD5"/>
    <w:rsid w:val="00C009AF"/>
    <w:rsid w:val="00C022B2"/>
    <w:rsid w:val="00C27C63"/>
    <w:rsid w:val="00C4072E"/>
    <w:rsid w:val="00C420A0"/>
    <w:rsid w:val="00C5336B"/>
    <w:rsid w:val="00C57265"/>
    <w:rsid w:val="00C74C1D"/>
    <w:rsid w:val="00C7574D"/>
    <w:rsid w:val="00C82DDD"/>
    <w:rsid w:val="00C8461A"/>
    <w:rsid w:val="00C8498E"/>
    <w:rsid w:val="00C9401A"/>
    <w:rsid w:val="00C96CCB"/>
    <w:rsid w:val="00CA0601"/>
    <w:rsid w:val="00CA0A9E"/>
    <w:rsid w:val="00CB1ED6"/>
    <w:rsid w:val="00CB6EE5"/>
    <w:rsid w:val="00CD344F"/>
    <w:rsid w:val="00CD4ACE"/>
    <w:rsid w:val="00CE4286"/>
    <w:rsid w:val="00CF421C"/>
    <w:rsid w:val="00CF5161"/>
    <w:rsid w:val="00CF7CB3"/>
    <w:rsid w:val="00D042A0"/>
    <w:rsid w:val="00D22E80"/>
    <w:rsid w:val="00D26FFF"/>
    <w:rsid w:val="00D541B6"/>
    <w:rsid w:val="00D727C8"/>
    <w:rsid w:val="00D86292"/>
    <w:rsid w:val="00D8668E"/>
    <w:rsid w:val="00D9297F"/>
    <w:rsid w:val="00DA554E"/>
    <w:rsid w:val="00DD4509"/>
    <w:rsid w:val="00DE2E3E"/>
    <w:rsid w:val="00DE3DFD"/>
    <w:rsid w:val="00DF1B51"/>
    <w:rsid w:val="00E13635"/>
    <w:rsid w:val="00E22426"/>
    <w:rsid w:val="00E236C9"/>
    <w:rsid w:val="00E32C0F"/>
    <w:rsid w:val="00E45AE7"/>
    <w:rsid w:val="00E47623"/>
    <w:rsid w:val="00E53884"/>
    <w:rsid w:val="00E601ED"/>
    <w:rsid w:val="00E66776"/>
    <w:rsid w:val="00E91EA3"/>
    <w:rsid w:val="00E97859"/>
    <w:rsid w:val="00EA67B0"/>
    <w:rsid w:val="00EA6A2B"/>
    <w:rsid w:val="00EA74C5"/>
    <w:rsid w:val="00EA75A4"/>
    <w:rsid w:val="00EB45EB"/>
    <w:rsid w:val="00EB4946"/>
    <w:rsid w:val="00EB566F"/>
    <w:rsid w:val="00EC0BFB"/>
    <w:rsid w:val="00ED08CE"/>
    <w:rsid w:val="00EE2DB4"/>
    <w:rsid w:val="00F10A37"/>
    <w:rsid w:val="00F16315"/>
    <w:rsid w:val="00F51039"/>
    <w:rsid w:val="00F51766"/>
    <w:rsid w:val="00F564C7"/>
    <w:rsid w:val="00F637CA"/>
    <w:rsid w:val="00F75554"/>
    <w:rsid w:val="00F97837"/>
    <w:rsid w:val="00FA4BEE"/>
    <w:rsid w:val="00FB4774"/>
    <w:rsid w:val="00FD2564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character" w:styleId="Zvraznn">
    <w:name w:val="Emphasis"/>
    <w:basedOn w:val="Standardnpsmoodstavce"/>
    <w:uiPriority w:val="20"/>
    <w:qFormat/>
    <w:rsid w:val="00940EB2"/>
    <w:rPr>
      <w:b/>
      <w:bCs/>
      <w:i w:val="0"/>
      <w:iCs w:val="0"/>
    </w:rPr>
  </w:style>
  <w:style w:type="character" w:customStyle="1" w:styleId="st1">
    <w:name w:val="st1"/>
    <w:basedOn w:val="Standardnpsmoodstavce"/>
    <w:rsid w:val="002F57F7"/>
  </w:style>
  <w:style w:type="character" w:customStyle="1" w:styleId="TextkomenteChar">
    <w:name w:val="Text komentáře Char"/>
    <w:basedOn w:val="Standardnpsmoodstavce"/>
    <w:link w:val="Textkomente"/>
    <w:semiHidden/>
    <w:rsid w:val="000F1957"/>
    <w:rPr>
      <w:lang w:val="cs-CZ" w:eastAsia="en-US"/>
    </w:rPr>
  </w:style>
  <w:style w:type="paragraph" w:styleId="Revize">
    <w:name w:val="Revision"/>
    <w:hidden/>
    <w:uiPriority w:val="99"/>
    <w:semiHidden/>
    <w:rsid w:val="00481EEB"/>
    <w:rPr>
      <w:sz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character" w:styleId="Zvraznn">
    <w:name w:val="Emphasis"/>
    <w:basedOn w:val="Standardnpsmoodstavce"/>
    <w:uiPriority w:val="20"/>
    <w:qFormat/>
    <w:rsid w:val="00940EB2"/>
    <w:rPr>
      <w:b/>
      <w:bCs/>
      <w:i w:val="0"/>
      <w:iCs w:val="0"/>
    </w:rPr>
  </w:style>
  <w:style w:type="character" w:customStyle="1" w:styleId="st1">
    <w:name w:val="st1"/>
    <w:basedOn w:val="Standardnpsmoodstavce"/>
    <w:rsid w:val="002F57F7"/>
  </w:style>
  <w:style w:type="character" w:customStyle="1" w:styleId="TextkomenteChar">
    <w:name w:val="Text komentáře Char"/>
    <w:basedOn w:val="Standardnpsmoodstavce"/>
    <w:link w:val="Textkomente"/>
    <w:semiHidden/>
    <w:rsid w:val="000F1957"/>
    <w:rPr>
      <w:lang w:val="cs-CZ" w:eastAsia="en-US"/>
    </w:rPr>
  </w:style>
  <w:style w:type="paragraph" w:styleId="Revize">
    <w:name w:val="Revision"/>
    <w:hidden/>
    <w:uiPriority w:val="99"/>
    <w:semiHidden/>
    <w:rsid w:val="00481EEB"/>
    <w:rPr>
      <w:sz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1293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CURACEF_Duo.SPC.cz_Transl.msaj</vt:lpstr>
      <vt:lpstr>CS_qrd_veterinary template_v 8 cs</vt:lpstr>
    </vt:vector>
  </TitlesOfParts>
  <Company>Translation Centre</Company>
  <LinksUpToDate>false</LinksUpToDate>
  <CharactersWithSpaces>8909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http://www.edqm.eu/site/Procedure_Article_82doc-en-624-2.html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CURACEF_Duo.SPC.cz_Transl.msaj</dc:title>
  <dc:subject>General-EMA/201220/2010</dc:subject>
  <dc:creator>Milan;milan.sajgalik@gmail.com</dc:creator>
  <cp:lastModifiedBy>Dušek Daniel</cp:lastModifiedBy>
  <cp:revision>20</cp:revision>
  <cp:lastPrinted>2015-07-15T18:44:00Z</cp:lastPrinted>
  <dcterms:created xsi:type="dcterms:W3CDTF">2015-07-21T05:18:00Z</dcterms:created>
  <dcterms:modified xsi:type="dcterms:W3CDTF">2015-09-23T08:43:00Z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