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96" w:rsidRPr="00F75554" w:rsidRDefault="00715396" w:rsidP="00A07DE5">
      <w:bookmarkStart w:id="0" w:name="_GoBack"/>
      <w:bookmarkEnd w:id="0"/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>
      <w:pPr>
        <w:ind w:right="113"/>
      </w:pPr>
    </w:p>
    <w:p w:rsidR="00715396" w:rsidRPr="00F75554" w:rsidRDefault="00715396"/>
    <w:p w:rsidR="00715396" w:rsidRPr="00F75554" w:rsidRDefault="00715396"/>
    <w:p w:rsidR="00715396" w:rsidRPr="00F75554" w:rsidRDefault="00715396"/>
    <w:p w:rsidR="00715396" w:rsidRPr="00F75554" w:rsidRDefault="00715396"/>
    <w:p w:rsidR="00715396" w:rsidRPr="00F75554" w:rsidRDefault="00715396">
      <w:pPr>
        <w:ind w:right="113"/>
        <w:jc w:val="center"/>
      </w:pPr>
      <w:r w:rsidRPr="00F75554">
        <w:rPr>
          <w:b/>
        </w:rPr>
        <w:t>PŘÍBALOVÁ INFORMACE</w:t>
      </w:r>
    </w:p>
    <w:p w:rsidR="00715396" w:rsidRDefault="00715396">
      <w:pPr>
        <w:jc w:val="center"/>
        <w:rPr>
          <w:b/>
        </w:rPr>
      </w:pPr>
      <w:r w:rsidRPr="00F75554">
        <w:br w:type="page"/>
      </w:r>
      <w:r w:rsidRPr="00F75554">
        <w:rPr>
          <w:b/>
        </w:rPr>
        <w:lastRenderedPageBreak/>
        <w:t>PŘÍBALOVÁ INFORMACE</w:t>
      </w:r>
    </w:p>
    <w:p w:rsidR="00715396" w:rsidRPr="00F75554" w:rsidRDefault="00715396">
      <w:pPr>
        <w:jc w:val="center"/>
      </w:pPr>
    </w:p>
    <w:p w:rsidR="00715396" w:rsidRDefault="00715396" w:rsidP="00696227">
      <w:pPr>
        <w:ind w:left="0" w:firstLine="0"/>
        <w:rPr>
          <w:iCs/>
        </w:rPr>
      </w:pPr>
      <w:r w:rsidRPr="00325956">
        <w:rPr>
          <w:iCs/>
        </w:rPr>
        <w:t xml:space="preserve">Doxx-Sol 500 mg/g </w:t>
      </w:r>
      <w:r>
        <w:rPr>
          <w:iCs/>
        </w:rPr>
        <w:t xml:space="preserve">prášek pro </w:t>
      </w:r>
      <w:r w:rsidR="00020F4D">
        <w:rPr>
          <w:iCs/>
        </w:rPr>
        <w:t xml:space="preserve">podání </w:t>
      </w:r>
      <w:r>
        <w:rPr>
          <w:iCs/>
        </w:rPr>
        <w:t>v</w:t>
      </w:r>
      <w:r w:rsidR="00FA3D46">
        <w:rPr>
          <w:iCs/>
        </w:rPr>
        <w:t> pitné</w:t>
      </w:r>
      <w:r>
        <w:rPr>
          <w:iCs/>
        </w:rPr>
        <w:t xml:space="preserve"> vodě / mléčné náhražce pro neruminující telata, </w:t>
      </w:r>
    </w:p>
    <w:p w:rsidR="00715396" w:rsidRDefault="00715396" w:rsidP="00696227">
      <w:pPr>
        <w:rPr>
          <w:iCs/>
        </w:rPr>
      </w:pPr>
      <w:r>
        <w:rPr>
          <w:iCs/>
        </w:rPr>
        <w:t>prasata a kura domácího</w:t>
      </w:r>
    </w:p>
    <w:p w:rsidR="00715396" w:rsidRPr="00F75554" w:rsidRDefault="00715396" w:rsidP="00696227"/>
    <w:p w:rsidR="00715396" w:rsidRPr="00F75554" w:rsidRDefault="00715396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715396" w:rsidRPr="00F75554" w:rsidRDefault="00715396">
      <w:pPr>
        <w:rPr>
          <w:b/>
        </w:rPr>
      </w:pPr>
    </w:p>
    <w:p w:rsidR="00715396" w:rsidRDefault="00715396">
      <w:pPr>
        <w:rPr>
          <w:szCs w:val="22"/>
          <w:u w:val="single"/>
        </w:rPr>
      </w:pPr>
      <w:r>
        <w:rPr>
          <w:szCs w:val="22"/>
          <w:u w:val="single"/>
        </w:rPr>
        <w:t xml:space="preserve">Držitel rozhodnutí o registraci: </w:t>
      </w:r>
    </w:p>
    <w:p w:rsidR="00715396" w:rsidRPr="00325956" w:rsidRDefault="00715396" w:rsidP="006C3F0A">
      <w:pPr>
        <w:autoSpaceDE w:val="0"/>
        <w:autoSpaceDN w:val="0"/>
        <w:adjustRightInd w:val="0"/>
        <w:ind w:left="600" w:hanging="600"/>
        <w:rPr>
          <w:bCs/>
          <w:lang w:val="nl-BE"/>
        </w:rPr>
      </w:pPr>
      <w:r w:rsidRPr="00325956">
        <w:rPr>
          <w:bCs/>
          <w:lang w:val="nl-BE"/>
        </w:rPr>
        <w:t>Huvepharma NV</w:t>
      </w:r>
    </w:p>
    <w:p w:rsidR="00715396" w:rsidRPr="00325956" w:rsidRDefault="00715396" w:rsidP="006C3F0A">
      <w:pPr>
        <w:autoSpaceDE w:val="0"/>
        <w:autoSpaceDN w:val="0"/>
        <w:adjustRightInd w:val="0"/>
        <w:ind w:left="600" w:hanging="600"/>
        <w:rPr>
          <w:bCs/>
          <w:lang w:val="nl-BE"/>
        </w:rPr>
      </w:pPr>
      <w:r w:rsidRPr="00325956">
        <w:rPr>
          <w:bCs/>
          <w:lang w:val="nl-BE"/>
        </w:rPr>
        <w:t>Uitbreidingstraat 80</w:t>
      </w:r>
    </w:p>
    <w:p w:rsidR="00715396" w:rsidRPr="00325956" w:rsidRDefault="00715396" w:rsidP="006C3F0A">
      <w:pPr>
        <w:autoSpaceDE w:val="0"/>
        <w:autoSpaceDN w:val="0"/>
        <w:adjustRightInd w:val="0"/>
        <w:ind w:left="600" w:hanging="600"/>
        <w:rPr>
          <w:bCs/>
          <w:lang w:val="nl-BE"/>
        </w:rPr>
      </w:pPr>
      <w:r w:rsidRPr="00325956">
        <w:rPr>
          <w:bCs/>
          <w:lang w:val="nl-BE"/>
        </w:rPr>
        <w:t>2600 Ant</w:t>
      </w:r>
      <w:r>
        <w:rPr>
          <w:bCs/>
          <w:lang w:val="nl-BE"/>
        </w:rPr>
        <w:t>verpy</w:t>
      </w:r>
    </w:p>
    <w:p w:rsidR="00715396" w:rsidRDefault="00715396" w:rsidP="006C3F0A">
      <w:pPr>
        <w:rPr>
          <w:bCs/>
        </w:rPr>
      </w:pPr>
      <w:r>
        <w:rPr>
          <w:bCs/>
        </w:rPr>
        <w:t>Belgie</w:t>
      </w:r>
    </w:p>
    <w:p w:rsidR="00715396" w:rsidRDefault="00715396" w:rsidP="006C3F0A">
      <w:pPr>
        <w:rPr>
          <w:bCs/>
        </w:rPr>
      </w:pPr>
    </w:p>
    <w:p w:rsidR="00715396" w:rsidRDefault="00715396" w:rsidP="006C3F0A">
      <w:pPr>
        <w:rPr>
          <w:szCs w:val="22"/>
          <w:u w:val="single"/>
        </w:rPr>
      </w:pPr>
      <w:r>
        <w:rPr>
          <w:szCs w:val="22"/>
          <w:u w:val="single"/>
        </w:rPr>
        <w:t xml:space="preserve">Výrobce odpovědný za uvolnění šarže: </w:t>
      </w:r>
    </w:p>
    <w:p w:rsidR="00715396" w:rsidRPr="0077087B" w:rsidRDefault="00715396" w:rsidP="006C3F0A">
      <w:pPr>
        <w:autoSpaceDE w:val="0"/>
        <w:autoSpaceDN w:val="0"/>
        <w:adjustRightInd w:val="0"/>
        <w:ind w:left="560" w:hanging="560"/>
        <w:rPr>
          <w:bCs/>
        </w:rPr>
      </w:pPr>
      <w:r w:rsidRPr="0077087B">
        <w:rPr>
          <w:bCs/>
        </w:rPr>
        <w:t>Biovet JSC</w:t>
      </w:r>
    </w:p>
    <w:p w:rsidR="00715396" w:rsidRPr="0077087B" w:rsidRDefault="00715396" w:rsidP="006C3F0A">
      <w:pPr>
        <w:autoSpaceDE w:val="0"/>
        <w:autoSpaceDN w:val="0"/>
        <w:adjustRightInd w:val="0"/>
        <w:ind w:left="560" w:hanging="560"/>
        <w:rPr>
          <w:bCs/>
        </w:rPr>
      </w:pPr>
      <w:r w:rsidRPr="0077087B">
        <w:rPr>
          <w:bCs/>
        </w:rPr>
        <w:t>39 Petar Rakov Str,</w:t>
      </w:r>
    </w:p>
    <w:p w:rsidR="00715396" w:rsidRPr="0077087B" w:rsidRDefault="00715396" w:rsidP="006C3F0A">
      <w:pPr>
        <w:autoSpaceDE w:val="0"/>
        <w:autoSpaceDN w:val="0"/>
        <w:adjustRightInd w:val="0"/>
        <w:ind w:left="560" w:hanging="560"/>
        <w:rPr>
          <w:bCs/>
        </w:rPr>
      </w:pPr>
      <w:r w:rsidRPr="0077087B">
        <w:rPr>
          <w:bCs/>
        </w:rPr>
        <w:t>4550 Peshtera</w:t>
      </w:r>
    </w:p>
    <w:p w:rsidR="00715396" w:rsidRPr="0077087B" w:rsidRDefault="00715396" w:rsidP="006C3F0A">
      <w:pPr>
        <w:autoSpaceDE w:val="0"/>
        <w:autoSpaceDN w:val="0"/>
        <w:adjustRightInd w:val="0"/>
        <w:ind w:left="560" w:hanging="560"/>
        <w:rPr>
          <w:bCs/>
        </w:rPr>
      </w:pPr>
      <w:r w:rsidRPr="0077087B">
        <w:rPr>
          <w:bCs/>
        </w:rPr>
        <w:t>Bulharsko</w:t>
      </w:r>
    </w:p>
    <w:p w:rsidR="00715396" w:rsidRPr="00F75554" w:rsidRDefault="00715396" w:rsidP="006C3F0A"/>
    <w:p w:rsidR="00715396" w:rsidRPr="00F75554" w:rsidRDefault="00715396"/>
    <w:p w:rsidR="00715396" w:rsidRPr="00F75554" w:rsidRDefault="00715396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  <w:r>
        <w:rPr>
          <w:b/>
        </w:rPr>
        <w:t xml:space="preserve"> </w:t>
      </w:r>
    </w:p>
    <w:p w:rsidR="00715396" w:rsidRPr="00F75554" w:rsidRDefault="00715396">
      <w:pPr>
        <w:ind w:left="0" w:firstLine="0"/>
      </w:pPr>
    </w:p>
    <w:p w:rsidR="00715396" w:rsidRDefault="00715396" w:rsidP="006C3F0A">
      <w:pPr>
        <w:ind w:left="0" w:firstLine="0"/>
        <w:rPr>
          <w:iCs/>
        </w:rPr>
      </w:pPr>
      <w:r w:rsidRPr="00325956">
        <w:rPr>
          <w:iCs/>
        </w:rPr>
        <w:t xml:space="preserve">Doxx-Sol 500 mg/g </w:t>
      </w:r>
      <w:r>
        <w:rPr>
          <w:iCs/>
        </w:rPr>
        <w:t xml:space="preserve">prášek pro </w:t>
      </w:r>
      <w:r w:rsidR="00020F4D">
        <w:rPr>
          <w:iCs/>
        </w:rPr>
        <w:t>podání</w:t>
      </w:r>
      <w:r>
        <w:rPr>
          <w:iCs/>
        </w:rPr>
        <w:t xml:space="preserve"> v</w:t>
      </w:r>
      <w:r w:rsidR="00FA3D46">
        <w:rPr>
          <w:iCs/>
        </w:rPr>
        <w:t> pitné</w:t>
      </w:r>
      <w:r>
        <w:rPr>
          <w:iCs/>
        </w:rPr>
        <w:t xml:space="preserve"> vodě / mléčné náhražce pro neruminující telata, </w:t>
      </w:r>
    </w:p>
    <w:p w:rsidR="00715396" w:rsidRPr="00F75554" w:rsidRDefault="00715396" w:rsidP="006C3F0A">
      <w:pPr>
        <w:rPr>
          <w:b/>
        </w:rPr>
      </w:pPr>
      <w:r>
        <w:rPr>
          <w:iCs/>
        </w:rPr>
        <w:t>prasata a kura domácího</w:t>
      </w:r>
    </w:p>
    <w:p w:rsidR="00715396" w:rsidRPr="00F75554" w:rsidRDefault="00715396">
      <w:pPr>
        <w:rPr>
          <w:b/>
        </w:rPr>
      </w:pPr>
    </w:p>
    <w:p w:rsidR="00715396" w:rsidRDefault="00715396">
      <w:pPr>
        <w:rPr>
          <w:szCs w:val="22"/>
        </w:rPr>
      </w:pPr>
      <w:r>
        <w:rPr>
          <w:szCs w:val="22"/>
        </w:rPr>
        <w:t>Doxycyclini hyclas</w:t>
      </w:r>
    </w:p>
    <w:p w:rsidR="00715396" w:rsidRPr="00F75554" w:rsidRDefault="00715396">
      <w:pPr>
        <w:rPr>
          <w:b/>
        </w:rPr>
      </w:pPr>
    </w:p>
    <w:p w:rsidR="00715396" w:rsidRPr="00F75554" w:rsidRDefault="00715396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715396" w:rsidRPr="00F75554" w:rsidRDefault="00715396">
      <w:pPr>
        <w:rPr>
          <w:b/>
        </w:rPr>
      </w:pPr>
    </w:p>
    <w:p w:rsidR="00606E5D" w:rsidRPr="00DD22C6" w:rsidRDefault="00606E5D" w:rsidP="00606E5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 xml:space="preserve">1 </w:t>
      </w:r>
      <w:r w:rsidRPr="00DD22C6">
        <w:rPr>
          <w:color w:val="000000"/>
          <w:szCs w:val="22"/>
          <w:lang w:eastAsia="cs-CZ"/>
        </w:rPr>
        <w:t>gram</w:t>
      </w:r>
      <w:r>
        <w:rPr>
          <w:color w:val="000000"/>
          <w:szCs w:val="22"/>
          <w:lang w:eastAsia="cs-CZ"/>
        </w:rPr>
        <w:t xml:space="preserve"> obsahuje</w:t>
      </w:r>
      <w:r w:rsidRPr="00DD22C6">
        <w:rPr>
          <w:color w:val="000000"/>
          <w:szCs w:val="22"/>
          <w:lang w:eastAsia="cs-CZ"/>
        </w:rPr>
        <w:t xml:space="preserve">: </w:t>
      </w:r>
    </w:p>
    <w:p w:rsidR="00715396" w:rsidRPr="00DD22C6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cs-CZ"/>
        </w:rPr>
      </w:pPr>
      <w:r w:rsidRPr="00DD22C6">
        <w:rPr>
          <w:bCs/>
          <w:iCs/>
          <w:color w:val="000000"/>
          <w:szCs w:val="22"/>
          <w:u w:val="single"/>
          <w:lang w:eastAsia="cs-CZ"/>
        </w:rPr>
        <w:t xml:space="preserve">Léčivá látka: </w:t>
      </w:r>
    </w:p>
    <w:p w:rsidR="00715396" w:rsidRPr="00DD22C6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DD22C6">
        <w:rPr>
          <w:color w:val="000000"/>
          <w:szCs w:val="22"/>
          <w:lang w:eastAsia="cs-CZ"/>
        </w:rPr>
        <w:t>Doxycyclini hyclas</w:t>
      </w:r>
      <w:r w:rsidR="00606E5D">
        <w:rPr>
          <w:color w:val="000000"/>
          <w:szCs w:val="22"/>
          <w:lang w:eastAsia="cs-CZ"/>
        </w:rPr>
        <w:t xml:space="preserve"> </w:t>
      </w:r>
      <w:r w:rsidRPr="00DD22C6">
        <w:rPr>
          <w:color w:val="000000"/>
          <w:szCs w:val="22"/>
          <w:lang w:eastAsia="cs-CZ"/>
        </w:rPr>
        <w:t xml:space="preserve"> 500 mg </w:t>
      </w:r>
      <w:r>
        <w:rPr>
          <w:color w:val="000000"/>
          <w:szCs w:val="22"/>
          <w:lang w:eastAsia="cs-CZ"/>
        </w:rPr>
        <w:t xml:space="preserve"> </w:t>
      </w:r>
      <w:r w:rsidRPr="00DD22C6">
        <w:rPr>
          <w:color w:val="000000"/>
          <w:szCs w:val="22"/>
          <w:lang w:eastAsia="cs-CZ"/>
        </w:rPr>
        <w:t xml:space="preserve">(odpovídá 433 mg </w:t>
      </w:r>
      <w:r w:rsidR="00606E5D">
        <w:rPr>
          <w:color w:val="000000"/>
          <w:szCs w:val="22"/>
          <w:lang w:eastAsia="cs-CZ"/>
        </w:rPr>
        <w:t>d</w:t>
      </w:r>
      <w:r w:rsidRPr="00DD22C6">
        <w:rPr>
          <w:color w:val="000000"/>
          <w:szCs w:val="22"/>
          <w:lang w:eastAsia="cs-CZ"/>
        </w:rPr>
        <w:t xml:space="preserve">oxycyclinum) </w:t>
      </w:r>
    </w:p>
    <w:p w:rsidR="00715396" w:rsidRDefault="00715396" w:rsidP="006C3F0A">
      <w:pPr>
        <w:autoSpaceDE w:val="0"/>
        <w:autoSpaceDN w:val="0"/>
        <w:adjustRightInd w:val="0"/>
        <w:ind w:left="0" w:firstLine="0"/>
        <w:rPr>
          <w:b/>
          <w:bCs/>
          <w:i/>
          <w:iCs/>
          <w:color w:val="000000"/>
          <w:szCs w:val="22"/>
          <w:lang w:eastAsia="cs-CZ"/>
        </w:rPr>
      </w:pPr>
    </w:p>
    <w:p w:rsidR="00715396" w:rsidRDefault="00606E5D" w:rsidP="006C3F0A">
      <w:r>
        <w:t>N</w:t>
      </w:r>
      <w:r w:rsidR="00715396">
        <w:t>ažloutlý prášek.</w:t>
      </w:r>
      <w:r w:rsidR="005E0B1E">
        <w:t xml:space="preserve"> </w:t>
      </w:r>
      <w:r>
        <w:t>P</w:t>
      </w:r>
      <w:r w:rsidR="00715396">
        <w:t>o rozpuštění ve vodě</w:t>
      </w:r>
      <w:r>
        <w:t xml:space="preserve"> čirý roztok.</w:t>
      </w:r>
    </w:p>
    <w:p w:rsidR="00715396" w:rsidRDefault="00715396" w:rsidP="006C3F0A"/>
    <w:p w:rsidR="00715396" w:rsidRPr="00F75554" w:rsidRDefault="00715396" w:rsidP="006C3F0A"/>
    <w:p w:rsidR="00715396" w:rsidRPr="00F75554" w:rsidRDefault="00715396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715396" w:rsidRPr="00F75554" w:rsidRDefault="00715396">
      <w:pPr>
        <w:rPr>
          <w:b/>
        </w:rPr>
      </w:pPr>
    </w:p>
    <w:p w:rsidR="00FA3D46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Léčba infekcí dýchacího a </w:t>
      </w:r>
      <w:r>
        <w:rPr>
          <w:color w:val="000000"/>
          <w:szCs w:val="22"/>
          <w:lang w:eastAsia="cs-CZ"/>
        </w:rPr>
        <w:t xml:space="preserve">trávicího </w:t>
      </w:r>
      <w:r w:rsidRPr="004654AC">
        <w:rPr>
          <w:color w:val="000000"/>
          <w:szCs w:val="22"/>
          <w:lang w:eastAsia="cs-CZ"/>
        </w:rPr>
        <w:t xml:space="preserve">traktu </w:t>
      </w:r>
      <w:r>
        <w:rPr>
          <w:color w:val="000000"/>
          <w:szCs w:val="22"/>
          <w:lang w:eastAsia="cs-CZ"/>
        </w:rPr>
        <w:t xml:space="preserve">vyvolaných </w:t>
      </w:r>
      <w:r w:rsidRPr="004654AC">
        <w:rPr>
          <w:color w:val="000000"/>
          <w:szCs w:val="22"/>
          <w:lang w:eastAsia="cs-CZ"/>
        </w:rPr>
        <w:t>mikroorganismy citlivými na doxycyklin</w:t>
      </w:r>
      <w:r w:rsidR="005C0A18">
        <w:rPr>
          <w:color w:val="000000"/>
          <w:szCs w:val="22"/>
          <w:lang w:eastAsia="cs-CZ"/>
        </w:rPr>
        <w:t>:</w:t>
      </w:r>
      <w:r w:rsidRPr="004654AC">
        <w:rPr>
          <w:color w:val="000000"/>
          <w:szCs w:val="22"/>
          <w:lang w:eastAsia="cs-CZ"/>
        </w:rPr>
        <w:t xml:space="preserve"> </w:t>
      </w:r>
    </w:p>
    <w:p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:rsidR="00FA3D46" w:rsidRPr="004654AC" w:rsidRDefault="00FA5ACE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A07DE5">
        <w:rPr>
          <w:iCs/>
          <w:color w:val="000000"/>
          <w:szCs w:val="22"/>
          <w:lang w:eastAsia="cs-CZ"/>
        </w:rPr>
        <w:t>Skot</w:t>
      </w:r>
      <w:r w:rsidR="00FA3D46" w:rsidRPr="00A07DE5">
        <w:rPr>
          <w:iCs/>
          <w:color w:val="000000"/>
          <w:szCs w:val="22"/>
          <w:lang w:eastAsia="cs-CZ"/>
        </w:rPr>
        <w:t xml:space="preserve"> </w:t>
      </w:r>
      <w:r w:rsidR="00FA3D46">
        <w:rPr>
          <w:i/>
          <w:iCs/>
          <w:color w:val="000000"/>
          <w:szCs w:val="22"/>
          <w:lang w:eastAsia="cs-CZ"/>
        </w:rPr>
        <w:t>(n</w:t>
      </w:r>
      <w:r w:rsidR="00FA3D46" w:rsidRPr="004654AC">
        <w:rPr>
          <w:i/>
          <w:iCs/>
          <w:color w:val="000000"/>
          <w:szCs w:val="22"/>
          <w:lang w:eastAsia="cs-CZ"/>
        </w:rPr>
        <w:t>eruminující telata</w:t>
      </w:r>
      <w:r w:rsidR="00FA3D46">
        <w:rPr>
          <w:i/>
          <w:iCs/>
          <w:color w:val="000000"/>
          <w:szCs w:val="22"/>
          <w:lang w:eastAsia="cs-CZ"/>
        </w:rPr>
        <w:t>)</w:t>
      </w:r>
      <w:r w:rsidR="00FA3D46" w:rsidRPr="004654AC">
        <w:rPr>
          <w:i/>
          <w:iCs/>
          <w:color w:val="000000"/>
          <w:szCs w:val="22"/>
          <w:lang w:eastAsia="cs-CZ"/>
        </w:rPr>
        <w:t xml:space="preserve">: </w:t>
      </w:r>
    </w:p>
    <w:p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Bronchopneumonie a pleuropneumonie </w:t>
      </w:r>
      <w:r>
        <w:rPr>
          <w:color w:val="000000"/>
          <w:szCs w:val="22"/>
          <w:lang w:eastAsia="cs-CZ"/>
        </w:rPr>
        <w:t xml:space="preserve">vyvolané </w:t>
      </w:r>
      <w:r w:rsidRPr="004654AC">
        <w:rPr>
          <w:i/>
          <w:iCs/>
          <w:color w:val="000000"/>
          <w:szCs w:val="22"/>
          <w:lang w:eastAsia="cs-CZ"/>
        </w:rPr>
        <w:t xml:space="preserve">Pasteurella </w:t>
      </w:r>
      <w:r w:rsidRPr="004654AC">
        <w:rPr>
          <w:color w:val="000000"/>
          <w:szCs w:val="22"/>
          <w:lang w:eastAsia="cs-CZ"/>
        </w:rPr>
        <w:t>spp.</w:t>
      </w:r>
      <w:r w:rsidRPr="004654AC">
        <w:rPr>
          <w:i/>
          <w:iCs/>
          <w:color w:val="000000"/>
          <w:szCs w:val="22"/>
          <w:lang w:eastAsia="cs-CZ"/>
        </w:rPr>
        <w:t xml:space="preserve">, Streptococcus </w:t>
      </w:r>
      <w:r w:rsidRPr="004654AC">
        <w:rPr>
          <w:color w:val="000000"/>
          <w:szCs w:val="22"/>
          <w:lang w:eastAsia="cs-CZ"/>
        </w:rPr>
        <w:t>spp.</w:t>
      </w:r>
      <w:r w:rsidRPr="004654AC">
        <w:rPr>
          <w:i/>
          <w:iCs/>
          <w:color w:val="000000"/>
          <w:szCs w:val="22"/>
          <w:lang w:eastAsia="cs-CZ"/>
        </w:rPr>
        <w:t xml:space="preserve">, </w:t>
      </w:r>
      <w:r w:rsidRPr="00325956">
        <w:rPr>
          <w:i/>
          <w:iCs/>
        </w:rPr>
        <w:t xml:space="preserve">Trueperella </w:t>
      </w:r>
      <w:r w:rsidRPr="004654AC">
        <w:rPr>
          <w:i/>
          <w:iCs/>
          <w:color w:val="000000"/>
          <w:szCs w:val="22"/>
          <w:lang w:eastAsia="cs-CZ"/>
        </w:rPr>
        <w:t xml:space="preserve">pyogenes, Histophilus somni </w:t>
      </w:r>
      <w:r w:rsidRPr="004654AC">
        <w:rPr>
          <w:color w:val="000000"/>
          <w:szCs w:val="22"/>
          <w:lang w:eastAsia="cs-CZ"/>
        </w:rPr>
        <w:t xml:space="preserve">a </w:t>
      </w:r>
      <w:r w:rsidRPr="004654AC">
        <w:rPr>
          <w:i/>
          <w:iCs/>
          <w:color w:val="000000"/>
          <w:szCs w:val="22"/>
          <w:lang w:eastAsia="cs-CZ"/>
        </w:rPr>
        <w:t xml:space="preserve">Mycoplasma </w:t>
      </w:r>
      <w:r w:rsidRPr="00A07DE5">
        <w:rPr>
          <w:iCs/>
          <w:color w:val="000000"/>
          <w:szCs w:val="22"/>
          <w:lang w:eastAsia="cs-CZ"/>
        </w:rPr>
        <w:t>spp</w:t>
      </w:r>
      <w:r w:rsidRPr="005C0A18">
        <w:rPr>
          <w:color w:val="000000"/>
          <w:szCs w:val="22"/>
          <w:lang w:eastAsia="cs-CZ"/>
        </w:rPr>
        <w:t>.</w:t>
      </w:r>
      <w:r w:rsidRPr="004654AC">
        <w:rPr>
          <w:color w:val="000000"/>
          <w:szCs w:val="22"/>
          <w:lang w:eastAsia="cs-CZ"/>
        </w:rPr>
        <w:t xml:space="preserve"> </w:t>
      </w:r>
    </w:p>
    <w:p w:rsidR="00FA3D46" w:rsidRDefault="00FA3D46" w:rsidP="00FA3D46">
      <w:pPr>
        <w:autoSpaceDE w:val="0"/>
        <w:autoSpaceDN w:val="0"/>
        <w:adjustRightInd w:val="0"/>
        <w:ind w:left="0" w:firstLine="0"/>
        <w:jc w:val="both"/>
        <w:rPr>
          <w:i/>
          <w:iCs/>
          <w:color w:val="000000"/>
          <w:szCs w:val="22"/>
          <w:lang w:eastAsia="cs-CZ"/>
        </w:rPr>
      </w:pPr>
    </w:p>
    <w:p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i/>
          <w:iCs/>
          <w:color w:val="000000"/>
          <w:szCs w:val="22"/>
          <w:lang w:eastAsia="cs-CZ"/>
        </w:rPr>
        <w:t xml:space="preserve">Prasata: </w:t>
      </w:r>
    </w:p>
    <w:p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Atrofická rinitida </w:t>
      </w:r>
      <w:r>
        <w:rPr>
          <w:color w:val="000000"/>
          <w:szCs w:val="22"/>
          <w:lang w:eastAsia="cs-CZ"/>
        </w:rPr>
        <w:t xml:space="preserve">vyvolaná </w:t>
      </w:r>
      <w:r w:rsidRPr="004654AC">
        <w:rPr>
          <w:i/>
          <w:iCs/>
          <w:color w:val="000000"/>
          <w:szCs w:val="22"/>
          <w:lang w:eastAsia="cs-CZ"/>
        </w:rPr>
        <w:t xml:space="preserve">Pasteurella multocida </w:t>
      </w:r>
      <w:r w:rsidRPr="004654AC">
        <w:rPr>
          <w:color w:val="000000"/>
          <w:szCs w:val="22"/>
          <w:lang w:eastAsia="cs-CZ"/>
        </w:rPr>
        <w:t xml:space="preserve">a </w:t>
      </w:r>
      <w:r w:rsidRPr="004654AC">
        <w:rPr>
          <w:i/>
          <w:iCs/>
          <w:color w:val="000000"/>
          <w:szCs w:val="22"/>
          <w:lang w:eastAsia="cs-CZ"/>
        </w:rPr>
        <w:t>Bordetella bronchiseptica</w:t>
      </w:r>
      <w:r w:rsidRPr="004654AC">
        <w:rPr>
          <w:color w:val="000000"/>
          <w:szCs w:val="22"/>
          <w:lang w:eastAsia="cs-CZ"/>
        </w:rPr>
        <w:t xml:space="preserve">; </w:t>
      </w:r>
    </w:p>
    <w:p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Bronchopneumonie </w:t>
      </w:r>
      <w:r>
        <w:rPr>
          <w:color w:val="000000"/>
          <w:szCs w:val="22"/>
          <w:lang w:eastAsia="cs-CZ"/>
        </w:rPr>
        <w:t>vyvolaná</w:t>
      </w:r>
      <w:r w:rsidRPr="004654AC">
        <w:rPr>
          <w:color w:val="000000"/>
          <w:szCs w:val="22"/>
          <w:lang w:eastAsia="cs-CZ"/>
        </w:rPr>
        <w:t xml:space="preserve"> </w:t>
      </w:r>
      <w:r w:rsidRPr="004654AC">
        <w:rPr>
          <w:i/>
          <w:iCs/>
          <w:color w:val="000000"/>
          <w:szCs w:val="22"/>
          <w:lang w:eastAsia="cs-CZ"/>
        </w:rPr>
        <w:t>Pasteurella multocida</w:t>
      </w:r>
      <w:r w:rsidRPr="004654AC">
        <w:rPr>
          <w:color w:val="000000"/>
          <w:szCs w:val="22"/>
          <w:lang w:eastAsia="cs-CZ"/>
        </w:rPr>
        <w:t xml:space="preserve">, </w:t>
      </w:r>
      <w:r w:rsidRPr="004654AC">
        <w:rPr>
          <w:i/>
          <w:iCs/>
          <w:color w:val="000000"/>
          <w:szCs w:val="22"/>
          <w:lang w:eastAsia="cs-CZ"/>
        </w:rPr>
        <w:t xml:space="preserve">Streptococcus suis </w:t>
      </w:r>
      <w:r w:rsidRPr="004654AC">
        <w:rPr>
          <w:color w:val="000000"/>
          <w:szCs w:val="22"/>
          <w:lang w:eastAsia="cs-CZ"/>
        </w:rPr>
        <w:t xml:space="preserve">a </w:t>
      </w:r>
      <w:r w:rsidRPr="004654AC">
        <w:rPr>
          <w:i/>
          <w:iCs/>
          <w:color w:val="000000"/>
          <w:szCs w:val="22"/>
          <w:lang w:eastAsia="cs-CZ"/>
        </w:rPr>
        <w:t>Mycoplasma hyorhinis</w:t>
      </w:r>
      <w:r w:rsidRPr="004654AC">
        <w:rPr>
          <w:color w:val="000000"/>
          <w:szCs w:val="22"/>
          <w:lang w:eastAsia="cs-CZ"/>
        </w:rPr>
        <w:t xml:space="preserve">; </w:t>
      </w:r>
    </w:p>
    <w:p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Pleuropneumonie </w:t>
      </w:r>
      <w:r>
        <w:rPr>
          <w:color w:val="000000"/>
          <w:szCs w:val="22"/>
          <w:lang w:eastAsia="cs-CZ"/>
        </w:rPr>
        <w:t>vyvolaná</w:t>
      </w:r>
      <w:r w:rsidRPr="004654AC">
        <w:rPr>
          <w:color w:val="000000"/>
          <w:szCs w:val="22"/>
          <w:lang w:eastAsia="cs-CZ"/>
        </w:rPr>
        <w:t xml:space="preserve"> </w:t>
      </w:r>
      <w:r w:rsidRPr="004654AC">
        <w:rPr>
          <w:i/>
          <w:iCs/>
          <w:color w:val="000000"/>
          <w:szCs w:val="22"/>
          <w:lang w:eastAsia="cs-CZ"/>
        </w:rPr>
        <w:t>Actinobacillus pleuropneumoniae</w:t>
      </w:r>
      <w:r w:rsidRPr="004654AC">
        <w:rPr>
          <w:color w:val="000000"/>
          <w:szCs w:val="22"/>
          <w:lang w:eastAsia="cs-CZ"/>
        </w:rPr>
        <w:t xml:space="preserve">. </w:t>
      </w:r>
    </w:p>
    <w:p w:rsidR="00FA3D46" w:rsidRDefault="00FA3D46" w:rsidP="00FA3D46">
      <w:pPr>
        <w:autoSpaceDE w:val="0"/>
        <w:autoSpaceDN w:val="0"/>
        <w:adjustRightInd w:val="0"/>
        <w:ind w:left="0" w:firstLine="0"/>
        <w:jc w:val="both"/>
        <w:rPr>
          <w:i/>
          <w:iCs/>
          <w:color w:val="000000"/>
          <w:szCs w:val="22"/>
          <w:lang w:eastAsia="cs-CZ"/>
        </w:rPr>
      </w:pPr>
    </w:p>
    <w:p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>
        <w:rPr>
          <w:i/>
          <w:iCs/>
          <w:color w:val="000000"/>
          <w:szCs w:val="22"/>
          <w:lang w:eastAsia="cs-CZ"/>
        </w:rPr>
        <w:t>Kur domácí (</w:t>
      </w:r>
      <w:r w:rsidRPr="00300674">
        <w:rPr>
          <w:i/>
          <w:iCs/>
          <w:color w:val="000000"/>
          <w:szCs w:val="22"/>
          <w:lang w:eastAsia="cs-CZ"/>
        </w:rPr>
        <w:t xml:space="preserve">brojleři, </w:t>
      </w:r>
      <w:r>
        <w:rPr>
          <w:i/>
          <w:iCs/>
          <w:color w:val="000000"/>
          <w:szCs w:val="22"/>
          <w:lang w:eastAsia="cs-CZ"/>
        </w:rPr>
        <w:t xml:space="preserve">chovní </w:t>
      </w:r>
      <w:r w:rsidR="00FA5ACE">
        <w:rPr>
          <w:i/>
          <w:iCs/>
          <w:color w:val="000000"/>
          <w:szCs w:val="22"/>
          <w:lang w:eastAsia="cs-CZ"/>
        </w:rPr>
        <w:t>jedinci</w:t>
      </w:r>
      <w:r w:rsidRPr="00300674">
        <w:rPr>
          <w:i/>
          <w:iCs/>
          <w:color w:val="000000"/>
          <w:szCs w:val="22"/>
          <w:lang w:eastAsia="cs-CZ"/>
        </w:rPr>
        <w:t>, kuřice)</w:t>
      </w:r>
      <w:r w:rsidRPr="004654AC">
        <w:rPr>
          <w:i/>
          <w:iCs/>
          <w:color w:val="000000"/>
          <w:szCs w:val="22"/>
          <w:lang w:eastAsia="cs-CZ"/>
        </w:rPr>
        <w:t xml:space="preserve">: </w:t>
      </w:r>
    </w:p>
    <w:p w:rsidR="00FA3D46" w:rsidRPr="004654AC" w:rsidRDefault="00FA3D46" w:rsidP="00FA3D46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 xml:space="preserve">- Infekce dýchacího </w:t>
      </w:r>
      <w:r w:rsidR="00FA5ACE">
        <w:rPr>
          <w:color w:val="000000"/>
          <w:szCs w:val="22"/>
          <w:lang w:eastAsia="cs-CZ"/>
        </w:rPr>
        <w:t>traktu</w:t>
      </w:r>
      <w:r w:rsidRPr="004654AC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 xml:space="preserve">vyvolané </w:t>
      </w:r>
      <w:r w:rsidRPr="004654AC">
        <w:rPr>
          <w:i/>
          <w:iCs/>
          <w:color w:val="000000"/>
          <w:szCs w:val="22"/>
          <w:lang w:eastAsia="cs-CZ"/>
        </w:rPr>
        <w:t xml:space="preserve">Mycoplasma </w:t>
      </w:r>
      <w:r w:rsidRPr="004654AC">
        <w:rPr>
          <w:color w:val="000000"/>
          <w:szCs w:val="22"/>
          <w:lang w:eastAsia="cs-CZ"/>
        </w:rPr>
        <w:t>spp</w:t>
      </w:r>
      <w:r w:rsidRPr="004654AC">
        <w:rPr>
          <w:i/>
          <w:iCs/>
          <w:color w:val="000000"/>
          <w:szCs w:val="22"/>
          <w:lang w:eastAsia="cs-CZ"/>
        </w:rPr>
        <w:t xml:space="preserve">., Escherichia coli, Haemophilus paragallinarum </w:t>
      </w:r>
      <w:r w:rsidRPr="004654AC">
        <w:rPr>
          <w:color w:val="000000"/>
          <w:szCs w:val="22"/>
          <w:lang w:eastAsia="cs-CZ"/>
        </w:rPr>
        <w:t xml:space="preserve">a </w:t>
      </w:r>
      <w:r w:rsidRPr="004654AC">
        <w:rPr>
          <w:i/>
          <w:iCs/>
          <w:color w:val="000000"/>
          <w:szCs w:val="22"/>
          <w:lang w:eastAsia="cs-CZ"/>
        </w:rPr>
        <w:t>Bordetella avium</w:t>
      </w:r>
      <w:r w:rsidRPr="004654AC">
        <w:rPr>
          <w:color w:val="000000"/>
          <w:szCs w:val="22"/>
          <w:lang w:eastAsia="cs-CZ"/>
        </w:rPr>
        <w:t xml:space="preserve">. </w:t>
      </w:r>
    </w:p>
    <w:p w:rsidR="00FA3D46" w:rsidRPr="00F75554" w:rsidRDefault="00FA3D46" w:rsidP="00FA3D46">
      <w:pPr>
        <w:jc w:val="both"/>
      </w:pPr>
      <w:r w:rsidRPr="004654AC">
        <w:rPr>
          <w:color w:val="000000"/>
          <w:szCs w:val="22"/>
          <w:lang w:eastAsia="cs-CZ"/>
        </w:rPr>
        <w:t xml:space="preserve">- Enteritida </w:t>
      </w:r>
      <w:r>
        <w:rPr>
          <w:color w:val="000000"/>
          <w:szCs w:val="22"/>
          <w:lang w:eastAsia="cs-CZ"/>
        </w:rPr>
        <w:t xml:space="preserve">vyvolaná </w:t>
      </w:r>
      <w:r w:rsidRPr="004654AC">
        <w:rPr>
          <w:i/>
          <w:iCs/>
          <w:color w:val="000000"/>
          <w:szCs w:val="22"/>
          <w:lang w:eastAsia="cs-CZ"/>
        </w:rPr>
        <w:t xml:space="preserve">Clostridium perfringens </w:t>
      </w:r>
      <w:r w:rsidRPr="004654AC">
        <w:rPr>
          <w:color w:val="000000"/>
          <w:szCs w:val="22"/>
          <w:lang w:eastAsia="cs-CZ"/>
        </w:rPr>
        <w:t xml:space="preserve">a </w:t>
      </w:r>
      <w:r w:rsidRPr="004654AC">
        <w:rPr>
          <w:i/>
          <w:iCs/>
          <w:color w:val="000000"/>
          <w:szCs w:val="22"/>
          <w:lang w:eastAsia="cs-CZ"/>
        </w:rPr>
        <w:t>Clostridium colinum</w:t>
      </w:r>
      <w:r>
        <w:rPr>
          <w:i/>
          <w:iCs/>
          <w:color w:val="000000"/>
          <w:szCs w:val="22"/>
          <w:lang w:eastAsia="cs-CZ"/>
        </w:rPr>
        <w:t>.</w:t>
      </w:r>
      <w:r w:rsidRPr="004654AC">
        <w:rPr>
          <w:i/>
          <w:iCs/>
          <w:color w:val="000000"/>
          <w:szCs w:val="22"/>
          <w:lang w:eastAsia="cs-CZ"/>
        </w:rPr>
        <w:t xml:space="preserve"> </w:t>
      </w:r>
    </w:p>
    <w:p w:rsidR="00715396" w:rsidRPr="00F75554" w:rsidRDefault="00715396" w:rsidP="006C3F0A">
      <w:pPr>
        <w:rPr>
          <w:b/>
        </w:rPr>
      </w:pPr>
    </w:p>
    <w:p w:rsidR="00715396" w:rsidRPr="00F75554" w:rsidRDefault="00715396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715396" w:rsidRPr="00F75554" w:rsidRDefault="00715396"/>
    <w:p w:rsidR="00715396" w:rsidRPr="006C3F0A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C3F0A">
        <w:rPr>
          <w:color w:val="000000"/>
          <w:szCs w:val="22"/>
          <w:lang w:eastAsia="cs-CZ"/>
        </w:rPr>
        <w:t xml:space="preserve">Nepoužívat v případě přecitlivělosti na tetracykliny nebo na některou z pomocných látek. </w:t>
      </w:r>
    </w:p>
    <w:p w:rsidR="00715396" w:rsidRDefault="00715396" w:rsidP="006C3F0A">
      <w:pPr>
        <w:rPr>
          <w:color w:val="000000"/>
          <w:szCs w:val="22"/>
          <w:lang w:eastAsia="cs-CZ"/>
        </w:rPr>
      </w:pPr>
      <w:r w:rsidRPr="006C3F0A">
        <w:rPr>
          <w:color w:val="000000"/>
          <w:szCs w:val="22"/>
          <w:lang w:eastAsia="cs-CZ"/>
        </w:rPr>
        <w:t>Nepodávat zvířatům se závažným poškozením jater nebo ledvin</w:t>
      </w:r>
      <w:r>
        <w:rPr>
          <w:color w:val="000000"/>
          <w:szCs w:val="22"/>
          <w:lang w:eastAsia="cs-CZ"/>
        </w:rPr>
        <w:t>.</w:t>
      </w:r>
      <w:r w:rsidRPr="006C3F0A">
        <w:rPr>
          <w:color w:val="000000"/>
          <w:szCs w:val="22"/>
          <w:lang w:eastAsia="cs-CZ"/>
        </w:rPr>
        <w:t xml:space="preserve"> </w:t>
      </w:r>
    </w:p>
    <w:p w:rsidR="00715396" w:rsidRDefault="00715396" w:rsidP="006C3F0A">
      <w:pPr>
        <w:ind w:left="0" w:firstLine="0"/>
        <w:rPr>
          <w:color w:val="000000"/>
          <w:szCs w:val="22"/>
          <w:lang w:eastAsia="cs-CZ"/>
        </w:rPr>
      </w:pPr>
    </w:p>
    <w:p w:rsidR="00715396" w:rsidRPr="00F75554" w:rsidRDefault="00715396" w:rsidP="006C3F0A"/>
    <w:p w:rsidR="00715396" w:rsidRPr="00F75554" w:rsidRDefault="00715396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715396" w:rsidRPr="00F75554" w:rsidRDefault="00715396" w:rsidP="00C709BE">
      <w:pPr>
        <w:jc w:val="both"/>
      </w:pPr>
    </w:p>
    <w:p w:rsidR="00702000" w:rsidRPr="00F75554" w:rsidRDefault="00702000" w:rsidP="00702000">
      <w:pPr>
        <w:ind w:left="0" w:firstLine="0"/>
        <w:jc w:val="both"/>
        <w:rPr>
          <w:szCs w:val="22"/>
        </w:rPr>
      </w:pPr>
      <w:r>
        <w:rPr>
          <w:szCs w:val="22"/>
        </w:rPr>
        <w:t>Jako u všech tetracyklinů se mohou v ojedinělých případech vyskytnout alergické reakce a fotosen</w:t>
      </w:r>
      <w:r w:rsidR="005C0A18">
        <w:rPr>
          <w:szCs w:val="22"/>
        </w:rPr>
        <w:t>z</w:t>
      </w:r>
      <w:r>
        <w:rPr>
          <w:szCs w:val="22"/>
        </w:rPr>
        <w:t>itivní reakce. V případě podezření z výskytu nežádoucího účinku musí být léčba přerušena.</w:t>
      </w:r>
    </w:p>
    <w:p w:rsidR="00702000" w:rsidRPr="00F75554" w:rsidRDefault="00702000" w:rsidP="00702000">
      <w:pPr>
        <w:jc w:val="both"/>
        <w:rPr>
          <w:b/>
        </w:rPr>
      </w:pPr>
    </w:p>
    <w:p w:rsidR="00715396" w:rsidRPr="00F75554" w:rsidRDefault="00715396" w:rsidP="00C709BE">
      <w:pPr>
        <w:ind w:left="0" w:firstLine="0"/>
        <w:jc w:val="both"/>
      </w:pPr>
      <w:r>
        <w:rPr>
          <w:szCs w:val="22"/>
        </w:rPr>
        <w:t>Jestliže zaznamenáte jakékoliv závažné nežádoucí účinky či jiné reakce, které nejsou uvedeny v této příbalové informaci, oznamte to prosím svému veteriná</w:t>
      </w:r>
      <w:r w:rsidR="005C0A18">
        <w:rPr>
          <w:szCs w:val="22"/>
        </w:rPr>
        <w:t>rnímu lékaři</w:t>
      </w:r>
      <w:r>
        <w:rPr>
          <w:szCs w:val="22"/>
        </w:rPr>
        <w:t xml:space="preserve">. </w:t>
      </w:r>
    </w:p>
    <w:p w:rsidR="00715396" w:rsidRPr="00F75554" w:rsidRDefault="00715396"/>
    <w:p w:rsidR="00715396" w:rsidRPr="00F75554" w:rsidRDefault="00715396"/>
    <w:p w:rsidR="00715396" w:rsidRPr="00F75554" w:rsidRDefault="00715396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715396" w:rsidRPr="00F75554" w:rsidRDefault="00715396"/>
    <w:p w:rsidR="00715396" w:rsidRDefault="00702000">
      <w:pPr>
        <w:rPr>
          <w:szCs w:val="22"/>
        </w:rPr>
      </w:pPr>
      <w:r>
        <w:rPr>
          <w:szCs w:val="22"/>
        </w:rPr>
        <w:t xml:space="preserve">Skot </w:t>
      </w:r>
      <w:r w:rsidR="00715396">
        <w:rPr>
          <w:szCs w:val="22"/>
        </w:rPr>
        <w:t xml:space="preserve">(neruminující telata), prasata, kur domácí (brojleři, </w:t>
      </w:r>
      <w:r w:rsidR="00715396" w:rsidRPr="00300674">
        <w:rPr>
          <w:szCs w:val="22"/>
        </w:rPr>
        <w:t xml:space="preserve"> chov</w:t>
      </w:r>
      <w:r>
        <w:rPr>
          <w:szCs w:val="22"/>
        </w:rPr>
        <w:t xml:space="preserve">ní </w:t>
      </w:r>
      <w:r w:rsidR="00FA5ACE">
        <w:rPr>
          <w:szCs w:val="22"/>
        </w:rPr>
        <w:t>jedinci</w:t>
      </w:r>
      <w:r w:rsidR="00715396" w:rsidRPr="00300674">
        <w:rPr>
          <w:szCs w:val="22"/>
        </w:rPr>
        <w:t xml:space="preserve">, </w:t>
      </w:r>
      <w:r w:rsidR="00715396">
        <w:rPr>
          <w:szCs w:val="22"/>
        </w:rPr>
        <w:t xml:space="preserve"> </w:t>
      </w:r>
      <w:r w:rsidR="00715396" w:rsidRPr="00300674">
        <w:rPr>
          <w:szCs w:val="22"/>
        </w:rPr>
        <w:t>kuřice)</w:t>
      </w:r>
    </w:p>
    <w:p w:rsidR="00715396" w:rsidRDefault="00715396">
      <w:pPr>
        <w:rPr>
          <w:szCs w:val="22"/>
        </w:rPr>
      </w:pPr>
    </w:p>
    <w:p w:rsidR="00715396" w:rsidRPr="00F75554" w:rsidRDefault="00715396">
      <w:pPr>
        <w:rPr>
          <w:b/>
        </w:rPr>
      </w:pPr>
    </w:p>
    <w:p w:rsidR="00715396" w:rsidRPr="00F75554" w:rsidRDefault="00715396">
      <w:r w:rsidRPr="00F75554">
        <w:rPr>
          <w:b/>
        </w:rPr>
        <w:t>8.</w:t>
      </w:r>
      <w:r w:rsidRPr="00F75554">
        <w:rPr>
          <w:b/>
        </w:rPr>
        <w:tab/>
        <w:t>DÁVKOVÁNÍ PRO KAŽDÝ DRUH, CESTA(Y) A ZPŮSOB PODÁNÍ</w:t>
      </w:r>
    </w:p>
    <w:p w:rsidR="00715396" w:rsidRPr="00F75554" w:rsidRDefault="00715396"/>
    <w:p w:rsidR="00715396" w:rsidRPr="00F81D2A" w:rsidRDefault="00702000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>
        <w:rPr>
          <w:i/>
          <w:color w:val="000000"/>
          <w:szCs w:val="22"/>
          <w:lang w:eastAsia="cs-CZ"/>
        </w:rPr>
        <w:t xml:space="preserve">Skot </w:t>
      </w:r>
      <w:r w:rsidR="00715396" w:rsidRPr="00892C32">
        <w:rPr>
          <w:i/>
          <w:color w:val="000000"/>
          <w:szCs w:val="22"/>
          <w:lang w:eastAsia="cs-CZ"/>
        </w:rPr>
        <w:t xml:space="preserve"> (</w:t>
      </w:r>
      <w:r w:rsidR="00715396" w:rsidRPr="00F81D2A">
        <w:rPr>
          <w:i/>
          <w:color w:val="000000"/>
          <w:szCs w:val="22"/>
          <w:lang w:eastAsia="cs-CZ"/>
        </w:rPr>
        <w:t>n</w:t>
      </w:r>
      <w:r w:rsidR="00715396" w:rsidRPr="00335046">
        <w:rPr>
          <w:i/>
          <w:color w:val="000000"/>
          <w:szCs w:val="22"/>
          <w:lang w:eastAsia="cs-CZ"/>
        </w:rPr>
        <w:t>eruminující telata</w:t>
      </w:r>
      <w:r w:rsidR="00715396" w:rsidRPr="00F81D2A">
        <w:rPr>
          <w:i/>
          <w:color w:val="000000"/>
          <w:szCs w:val="22"/>
          <w:lang w:eastAsia="cs-CZ"/>
        </w:rPr>
        <w:t>)</w:t>
      </w:r>
      <w:r w:rsidR="00715396" w:rsidRPr="00335046">
        <w:rPr>
          <w:color w:val="000000"/>
          <w:szCs w:val="22"/>
          <w:lang w:eastAsia="cs-CZ"/>
        </w:rPr>
        <w:t xml:space="preserve">: </w:t>
      </w:r>
      <w:r w:rsidR="00715396" w:rsidRPr="00F81D2A">
        <w:rPr>
          <w:color w:val="000000"/>
          <w:szCs w:val="22"/>
          <w:lang w:eastAsia="cs-CZ"/>
        </w:rPr>
        <w:t>pro použití v mléčné náhražce</w:t>
      </w:r>
      <w:r>
        <w:rPr>
          <w:color w:val="000000"/>
          <w:szCs w:val="22"/>
          <w:lang w:eastAsia="cs-CZ"/>
        </w:rPr>
        <w:t xml:space="preserve"> </w:t>
      </w:r>
    </w:p>
    <w:p w:rsidR="00715396" w:rsidRPr="00335046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F81D2A">
        <w:rPr>
          <w:color w:val="000000"/>
          <w:szCs w:val="22"/>
          <w:lang w:eastAsia="cs-CZ"/>
        </w:rPr>
        <w:t>1</w:t>
      </w:r>
      <w:r w:rsidRPr="00335046">
        <w:rPr>
          <w:color w:val="000000"/>
          <w:szCs w:val="22"/>
          <w:lang w:eastAsia="cs-CZ"/>
        </w:rPr>
        <w:t xml:space="preserve">0 mg doxycyklin-hyklátu na kg </w:t>
      </w:r>
      <w:r w:rsidR="005C0A18">
        <w:rPr>
          <w:color w:val="000000"/>
          <w:szCs w:val="22"/>
          <w:lang w:eastAsia="cs-CZ"/>
        </w:rPr>
        <w:t>ž.</w:t>
      </w:r>
      <w:r w:rsidRPr="00335046">
        <w:rPr>
          <w:color w:val="000000"/>
          <w:szCs w:val="22"/>
          <w:lang w:eastAsia="cs-CZ"/>
        </w:rPr>
        <w:t xml:space="preserve"> hm</w:t>
      </w:r>
      <w:r w:rsidR="005C0A18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na den, což odpovídá 20 mg přípravku na kg ž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hm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, po dobu 3-5 po sobě následujících dnů, rozděleně ve dvou dávkách. </w:t>
      </w:r>
    </w:p>
    <w:p w:rsidR="00715396" w:rsidRPr="00F81D2A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</w:p>
    <w:p w:rsidR="00715396" w:rsidRPr="00F81D2A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335046">
        <w:rPr>
          <w:i/>
          <w:color w:val="000000"/>
          <w:szCs w:val="22"/>
          <w:lang w:eastAsia="cs-CZ"/>
        </w:rPr>
        <w:t>Prasata</w:t>
      </w:r>
      <w:r w:rsidRPr="00335046">
        <w:rPr>
          <w:color w:val="000000"/>
          <w:szCs w:val="22"/>
          <w:lang w:eastAsia="cs-CZ"/>
        </w:rPr>
        <w:t xml:space="preserve">: </w:t>
      </w:r>
      <w:r w:rsidRPr="00F81D2A">
        <w:rPr>
          <w:color w:val="000000"/>
          <w:szCs w:val="22"/>
          <w:lang w:eastAsia="cs-CZ"/>
        </w:rPr>
        <w:tab/>
        <w:t>pro použití v</w:t>
      </w:r>
      <w:r w:rsidR="00702000">
        <w:rPr>
          <w:color w:val="000000"/>
          <w:szCs w:val="22"/>
          <w:lang w:eastAsia="cs-CZ"/>
        </w:rPr>
        <w:t xml:space="preserve"> pitné </w:t>
      </w:r>
      <w:r w:rsidRPr="00F81D2A">
        <w:rPr>
          <w:color w:val="000000"/>
          <w:szCs w:val="22"/>
          <w:lang w:eastAsia="cs-CZ"/>
        </w:rPr>
        <w:t xml:space="preserve"> vodě</w:t>
      </w:r>
    </w:p>
    <w:p w:rsidR="00715396" w:rsidRPr="00335046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335046">
        <w:rPr>
          <w:color w:val="000000"/>
          <w:szCs w:val="22"/>
          <w:lang w:eastAsia="cs-CZ"/>
        </w:rPr>
        <w:t>10 mg doxycyklin-hyklátu na kg ž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hm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na den, což odpovídá 20 mg přípravku na</w:t>
      </w:r>
      <w:r w:rsidR="005C0A18">
        <w:rPr>
          <w:color w:val="000000"/>
          <w:szCs w:val="22"/>
          <w:lang w:eastAsia="cs-CZ"/>
        </w:rPr>
        <w:t xml:space="preserve"> </w:t>
      </w:r>
      <w:r w:rsidRPr="00335046">
        <w:rPr>
          <w:color w:val="000000"/>
          <w:szCs w:val="22"/>
          <w:lang w:eastAsia="cs-CZ"/>
        </w:rPr>
        <w:t>kg ž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hm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, po dobu 3-5 po sobě následujících dnů. </w:t>
      </w:r>
    </w:p>
    <w:p w:rsidR="00715396" w:rsidRPr="00F81D2A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</w:p>
    <w:p w:rsidR="00715396" w:rsidRPr="00F81D2A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335046">
        <w:rPr>
          <w:i/>
          <w:color w:val="000000"/>
          <w:szCs w:val="22"/>
          <w:lang w:eastAsia="cs-CZ"/>
        </w:rPr>
        <w:t>Kur domácí</w:t>
      </w:r>
      <w:r w:rsidRPr="00F81D2A">
        <w:rPr>
          <w:i/>
          <w:color w:val="000000"/>
          <w:szCs w:val="22"/>
          <w:lang w:eastAsia="cs-CZ"/>
        </w:rPr>
        <w:t xml:space="preserve"> (brojleři, </w:t>
      </w:r>
      <w:r w:rsidR="00702000">
        <w:rPr>
          <w:i/>
          <w:color w:val="000000"/>
          <w:szCs w:val="22"/>
          <w:lang w:eastAsia="cs-CZ"/>
        </w:rPr>
        <w:t xml:space="preserve">chovní </w:t>
      </w:r>
      <w:r w:rsidR="00FA5ACE">
        <w:rPr>
          <w:i/>
          <w:color w:val="000000"/>
          <w:szCs w:val="22"/>
          <w:lang w:eastAsia="cs-CZ"/>
        </w:rPr>
        <w:t>jedinci</w:t>
      </w:r>
      <w:r w:rsidRPr="00F81D2A">
        <w:rPr>
          <w:i/>
          <w:color w:val="000000"/>
          <w:szCs w:val="22"/>
          <w:lang w:eastAsia="cs-CZ"/>
        </w:rPr>
        <w:t>, kuřice)</w:t>
      </w:r>
      <w:r w:rsidRPr="00335046">
        <w:rPr>
          <w:color w:val="000000"/>
          <w:szCs w:val="22"/>
          <w:lang w:eastAsia="cs-CZ"/>
        </w:rPr>
        <w:t xml:space="preserve">: </w:t>
      </w:r>
      <w:r w:rsidRPr="00F81D2A">
        <w:rPr>
          <w:color w:val="000000"/>
          <w:szCs w:val="22"/>
          <w:lang w:eastAsia="cs-CZ"/>
        </w:rPr>
        <w:t>pro použití v</w:t>
      </w:r>
      <w:r w:rsidR="00702000">
        <w:rPr>
          <w:color w:val="000000"/>
          <w:szCs w:val="22"/>
          <w:lang w:eastAsia="cs-CZ"/>
        </w:rPr>
        <w:t xml:space="preserve"> pitné </w:t>
      </w:r>
      <w:r w:rsidRPr="00F81D2A">
        <w:rPr>
          <w:color w:val="000000"/>
          <w:szCs w:val="22"/>
          <w:lang w:eastAsia="cs-CZ"/>
        </w:rPr>
        <w:t xml:space="preserve"> vodě</w:t>
      </w:r>
    </w:p>
    <w:p w:rsidR="00715396" w:rsidRPr="00335046" w:rsidRDefault="00715396" w:rsidP="006C3F0A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335046">
        <w:rPr>
          <w:color w:val="000000"/>
          <w:szCs w:val="22"/>
          <w:lang w:eastAsia="cs-CZ"/>
        </w:rPr>
        <w:t>25 mg doxycyklin-hyklátu na kg ž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hm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na den, což odpovídá 50 mg přípravku na </w:t>
      </w:r>
      <w:r w:rsidRPr="00F81D2A">
        <w:rPr>
          <w:color w:val="000000"/>
          <w:szCs w:val="22"/>
          <w:lang w:eastAsia="cs-CZ"/>
        </w:rPr>
        <w:tab/>
      </w:r>
      <w:r w:rsidRPr="00335046">
        <w:rPr>
          <w:color w:val="000000"/>
          <w:szCs w:val="22"/>
          <w:lang w:eastAsia="cs-CZ"/>
        </w:rPr>
        <w:t>kg ž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 hm</w:t>
      </w:r>
      <w:r w:rsidR="00702000">
        <w:rPr>
          <w:color w:val="000000"/>
          <w:szCs w:val="22"/>
          <w:lang w:eastAsia="cs-CZ"/>
        </w:rPr>
        <w:t>.</w:t>
      </w:r>
      <w:r w:rsidRPr="00335046">
        <w:rPr>
          <w:color w:val="000000"/>
          <w:szCs w:val="22"/>
          <w:lang w:eastAsia="cs-CZ"/>
        </w:rPr>
        <w:t xml:space="preserve">, po dobu 3-5 po sobě následujících dnů. </w:t>
      </w:r>
    </w:p>
    <w:p w:rsidR="00715396" w:rsidRDefault="00715396">
      <w:pPr>
        <w:rPr>
          <w:bCs/>
          <w:color w:val="000000"/>
          <w:szCs w:val="22"/>
          <w:lang w:eastAsia="cs-CZ"/>
        </w:rPr>
      </w:pPr>
    </w:p>
    <w:p w:rsidR="00715396" w:rsidRDefault="00715396">
      <w:r w:rsidRPr="00335046">
        <w:rPr>
          <w:bCs/>
          <w:color w:val="000000"/>
          <w:szCs w:val="22"/>
          <w:lang w:eastAsia="cs-CZ"/>
        </w:rPr>
        <w:t xml:space="preserve">Podávat perorálně v mléčné náhražce </w:t>
      </w:r>
      <w:r w:rsidR="005C0A18">
        <w:rPr>
          <w:bCs/>
          <w:color w:val="000000"/>
          <w:szCs w:val="22"/>
          <w:lang w:eastAsia="cs-CZ"/>
        </w:rPr>
        <w:t>a/</w:t>
      </w:r>
      <w:r w:rsidRPr="00335046">
        <w:rPr>
          <w:bCs/>
          <w:color w:val="000000"/>
          <w:szCs w:val="22"/>
          <w:lang w:eastAsia="cs-CZ"/>
        </w:rPr>
        <w:t>nebo v</w:t>
      </w:r>
      <w:r w:rsidR="00702000">
        <w:rPr>
          <w:bCs/>
          <w:color w:val="000000"/>
          <w:szCs w:val="22"/>
          <w:lang w:eastAsia="cs-CZ"/>
        </w:rPr>
        <w:t xml:space="preserve"> pitné </w:t>
      </w:r>
      <w:r w:rsidRPr="00335046">
        <w:rPr>
          <w:bCs/>
          <w:color w:val="000000"/>
          <w:szCs w:val="22"/>
          <w:lang w:eastAsia="cs-CZ"/>
        </w:rPr>
        <w:t xml:space="preserve"> vodě.</w:t>
      </w:r>
    </w:p>
    <w:p w:rsidR="00715396" w:rsidRPr="00401AB8" w:rsidRDefault="00715396"/>
    <w:p w:rsidR="00715396" w:rsidRPr="00F75554" w:rsidRDefault="00715396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715396" w:rsidRPr="00F75554" w:rsidRDefault="00715396"/>
    <w:p w:rsidR="00702000" w:rsidRPr="00F81D2A" w:rsidRDefault="005034B3" w:rsidP="00702000">
      <w:pPr>
        <w:ind w:left="0" w:firstLine="0"/>
        <w:jc w:val="both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Při podání v pitné</w:t>
      </w:r>
      <w:r w:rsidR="00702000" w:rsidRPr="00F81D2A">
        <w:rPr>
          <w:color w:val="000000"/>
          <w:szCs w:val="22"/>
          <w:lang w:eastAsia="cs-CZ"/>
        </w:rPr>
        <w:t xml:space="preserve"> vodě je třeba přesn</w:t>
      </w:r>
      <w:r w:rsidR="00702000">
        <w:rPr>
          <w:color w:val="000000"/>
          <w:szCs w:val="22"/>
          <w:lang w:eastAsia="cs-CZ"/>
        </w:rPr>
        <w:t xml:space="preserve">é </w:t>
      </w:r>
      <w:r w:rsidR="00702000" w:rsidRPr="00F81D2A">
        <w:rPr>
          <w:color w:val="000000"/>
          <w:szCs w:val="22"/>
          <w:lang w:eastAsia="cs-CZ"/>
        </w:rPr>
        <w:t xml:space="preserve">denní </w:t>
      </w:r>
      <w:r w:rsidR="00702000">
        <w:rPr>
          <w:color w:val="000000"/>
          <w:szCs w:val="22"/>
          <w:lang w:eastAsia="cs-CZ"/>
        </w:rPr>
        <w:t xml:space="preserve">množství </w:t>
      </w:r>
      <w:r w:rsidR="00702000" w:rsidRPr="00F81D2A">
        <w:rPr>
          <w:color w:val="000000"/>
          <w:szCs w:val="22"/>
          <w:lang w:eastAsia="cs-CZ"/>
        </w:rPr>
        <w:t xml:space="preserve">přípravku vypočítat </w:t>
      </w:r>
      <w:r w:rsidR="00702000">
        <w:rPr>
          <w:color w:val="000000"/>
          <w:szCs w:val="22"/>
          <w:lang w:eastAsia="cs-CZ"/>
        </w:rPr>
        <w:t xml:space="preserve">s ohledem na </w:t>
      </w:r>
      <w:r w:rsidR="00702000" w:rsidRPr="00F81D2A">
        <w:rPr>
          <w:color w:val="000000"/>
          <w:szCs w:val="22"/>
          <w:lang w:eastAsia="cs-CZ"/>
        </w:rPr>
        <w:t xml:space="preserve"> doporučen</w:t>
      </w:r>
      <w:r w:rsidR="00702000">
        <w:rPr>
          <w:color w:val="000000"/>
          <w:szCs w:val="22"/>
          <w:lang w:eastAsia="cs-CZ"/>
        </w:rPr>
        <w:t>ou</w:t>
      </w:r>
      <w:r w:rsidR="00702000" w:rsidRPr="00F81D2A">
        <w:rPr>
          <w:color w:val="000000"/>
          <w:szCs w:val="22"/>
          <w:lang w:eastAsia="cs-CZ"/>
        </w:rPr>
        <w:t xml:space="preserve"> dávk</w:t>
      </w:r>
      <w:r w:rsidR="00702000">
        <w:rPr>
          <w:color w:val="000000"/>
          <w:szCs w:val="22"/>
          <w:lang w:eastAsia="cs-CZ"/>
        </w:rPr>
        <w:t>u</w:t>
      </w:r>
      <w:r w:rsidR="00702000" w:rsidRPr="00F81D2A">
        <w:rPr>
          <w:color w:val="000000"/>
          <w:szCs w:val="22"/>
          <w:lang w:eastAsia="cs-CZ"/>
        </w:rPr>
        <w:t>, poč</w:t>
      </w:r>
      <w:r w:rsidR="00702000">
        <w:rPr>
          <w:color w:val="000000"/>
          <w:szCs w:val="22"/>
          <w:lang w:eastAsia="cs-CZ"/>
        </w:rPr>
        <w:t>e</w:t>
      </w:r>
      <w:r w:rsidR="00702000" w:rsidRPr="00F81D2A">
        <w:rPr>
          <w:color w:val="000000"/>
          <w:szCs w:val="22"/>
          <w:lang w:eastAsia="cs-CZ"/>
        </w:rPr>
        <w:t>t a hmotnost léčených zvířat, a to podle následujícího vzorce:</w:t>
      </w:r>
    </w:p>
    <w:p w:rsidR="00715396" w:rsidRPr="00F81D2A" w:rsidRDefault="00715396" w:rsidP="006C3F0A">
      <w:pPr>
        <w:ind w:left="0" w:firstLine="0"/>
        <w:rPr>
          <w:color w:val="000000"/>
          <w:szCs w:val="22"/>
          <w:lang w:eastAsia="cs-CZ"/>
        </w:rPr>
      </w:pPr>
    </w:p>
    <w:tbl>
      <w:tblPr>
        <w:tblW w:w="0" w:type="auto"/>
        <w:tblInd w:w="1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258"/>
        <w:gridCol w:w="326"/>
        <w:gridCol w:w="2649"/>
        <w:gridCol w:w="2646"/>
      </w:tblGrid>
      <w:tr w:rsidR="00715396" w:rsidRPr="00F81D2A" w:rsidTr="006C3F0A">
        <w:trPr>
          <w:trHeight w:val="79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D2A">
              <w:rPr>
                <w:color w:val="000000"/>
              </w:rPr>
              <w:t>mg přípravku / kg ž</w:t>
            </w:r>
            <w:r w:rsidR="00702000">
              <w:rPr>
                <w:color w:val="000000"/>
              </w:rPr>
              <w:t>.</w:t>
            </w:r>
            <w:r w:rsidRPr="00F81D2A">
              <w:rPr>
                <w:color w:val="000000"/>
              </w:rPr>
              <w:t xml:space="preserve"> hm</w:t>
            </w:r>
            <w:r w:rsidR="00702000">
              <w:rPr>
                <w:color w:val="000000"/>
              </w:rPr>
              <w:t>.</w:t>
            </w:r>
            <w:r w:rsidRPr="00F81D2A">
              <w:rPr>
                <w:color w:val="000000"/>
              </w:rPr>
              <w:t xml:space="preserve"> / den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D2A">
              <w:rPr>
                <w:color w:val="000000"/>
              </w:rPr>
              <w:t xml:space="preserve">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D2A">
              <w:rPr>
                <w:color w:val="000000"/>
              </w:rPr>
              <w:t>Průměrná ž</w:t>
            </w:r>
            <w:r w:rsidR="005034B3">
              <w:rPr>
                <w:color w:val="000000"/>
              </w:rPr>
              <w:t>.</w:t>
            </w:r>
            <w:r w:rsidRPr="00F81D2A">
              <w:rPr>
                <w:color w:val="000000"/>
              </w:rPr>
              <w:t xml:space="preserve"> hm</w:t>
            </w:r>
            <w:r w:rsidR="005034B3">
              <w:rPr>
                <w:color w:val="000000"/>
              </w:rPr>
              <w:t>.</w:t>
            </w:r>
            <w:r w:rsidRPr="00F81D2A">
              <w:rPr>
                <w:color w:val="000000"/>
              </w:rPr>
              <w:t xml:space="preserve"> (kg) léčených zvířat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5396" w:rsidRPr="00F81D2A" w:rsidRDefault="00715396" w:rsidP="006C3F0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1D2A">
              <w:rPr>
                <w:color w:val="000000"/>
              </w:rPr>
              <w:t xml:space="preserve">= .... mg přípravku na litr </w:t>
            </w:r>
            <w:r w:rsidR="005034B3">
              <w:rPr>
                <w:color w:val="000000"/>
              </w:rPr>
              <w:t xml:space="preserve">pitné </w:t>
            </w:r>
            <w:r w:rsidRPr="00F81D2A">
              <w:rPr>
                <w:color w:val="000000"/>
              </w:rPr>
              <w:t xml:space="preserve"> vody </w:t>
            </w:r>
          </w:p>
        </w:tc>
      </w:tr>
      <w:tr w:rsidR="00715396" w:rsidRPr="0070209F" w:rsidTr="006C3F0A">
        <w:trPr>
          <w:trHeight w:val="289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396" w:rsidRPr="0070209F" w:rsidRDefault="00715396" w:rsidP="006C3F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1D2A">
              <w:rPr>
                <w:color w:val="000000"/>
              </w:rPr>
              <w:t>Průměrná denní spotřeba vody (l) na zvíře</w:t>
            </w:r>
            <w:r w:rsidRPr="0070209F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15396" w:rsidRPr="0070209F" w:rsidRDefault="00715396" w:rsidP="006C3F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15396" w:rsidRDefault="00715396" w:rsidP="006C3F0A">
      <w:pPr>
        <w:ind w:left="0" w:firstLine="0"/>
        <w:rPr>
          <w:color w:val="000000"/>
          <w:szCs w:val="22"/>
          <w:lang w:eastAsia="cs-CZ"/>
        </w:rPr>
      </w:pPr>
    </w:p>
    <w:p w:rsidR="00715396" w:rsidRDefault="00715396" w:rsidP="006C3F0A">
      <w:pPr>
        <w:ind w:left="0" w:firstLine="0"/>
        <w:rPr>
          <w:color w:val="000000"/>
          <w:szCs w:val="22"/>
          <w:lang w:eastAsia="cs-CZ"/>
        </w:rPr>
      </w:pPr>
    </w:p>
    <w:p w:rsidR="00715396" w:rsidRDefault="00715396" w:rsidP="00C709B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892C32">
        <w:rPr>
          <w:color w:val="000000"/>
          <w:szCs w:val="22"/>
          <w:lang w:eastAsia="cs-CZ"/>
        </w:rPr>
        <w:t xml:space="preserve">Aby bylo zajištěno správné dávkování přípravku, je třeba stanovit živou hmotnost </w:t>
      </w:r>
      <w:r w:rsidR="00702000">
        <w:rPr>
          <w:color w:val="000000"/>
          <w:szCs w:val="22"/>
          <w:lang w:eastAsia="cs-CZ"/>
        </w:rPr>
        <w:t xml:space="preserve">léčených zvířat </w:t>
      </w:r>
      <w:r w:rsidRPr="00892C32">
        <w:rPr>
          <w:color w:val="000000"/>
          <w:szCs w:val="22"/>
          <w:lang w:eastAsia="cs-CZ"/>
        </w:rPr>
        <w:t xml:space="preserve">co nejpřesněji. </w:t>
      </w:r>
    </w:p>
    <w:p w:rsidR="00715396" w:rsidRPr="00892C32" w:rsidRDefault="00715396" w:rsidP="00C709B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:rsidR="00702000" w:rsidRPr="00892C32" w:rsidRDefault="00702000" w:rsidP="00702000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 w:rsidRPr="00892C32">
        <w:rPr>
          <w:color w:val="000000"/>
          <w:szCs w:val="22"/>
          <w:lang w:eastAsia="cs-CZ"/>
        </w:rPr>
        <w:t xml:space="preserve">Příjem medikované vody závisí na klinickém stavu zvířat. </w:t>
      </w:r>
      <w:r>
        <w:rPr>
          <w:color w:val="000000"/>
          <w:szCs w:val="22"/>
          <w:lang w:eastAsia="cs-CZ"/>
        </w:rPr>
        <w:t xml:space="preserve">K zajištění správného dávkování </w:t>
      </w:r>
      <w:r w:rsidRPr="00892C32">
        <w:rPr>
          <w:color w:val="000000"/>
          <w:szCs w:val="22"/>
          <w:lang w:eastAsia="cs-CZ"/>
        </w:rPr>
        <w:t xml:space="preserve">může být nutné upravit </w:t>
      </w:r>
      <w:r w:rsidR="005034B3">
        <w:rPr>
          <w:color w:val="000000"/>
          <w:szCs w:val="22"/>
          <w:lang w:eastAsia="cs-CZ"/>
        </w:rPr>
        <w:t>koncentraci přípravku v pitné</w:t>
      </w:r>
      <w:r w:rsidRPr="00892C32">
        <w:rPr>
          <w:color w:val="000000"/>
          <w:szCs w:val="22"/>
          <w:lang w:eastAsia="cs-CZ"/>
        </w:rPr>
        <w:t xml:space="preserve"> vodě. </w:t>
      </w:r>
    </w:p>
    <w:p w:rsidR="00702000" w:rsidRPr="00325956" w:rsidRDefault="00702000" w:rsidP="00702000">
      <w:pPr>
        <w:autoSpaceDE w:val="0"/>
        <w:autoSpaceDN w:val="0"/>
        <w:adjustRightInd w:val="0"/>
        <w:ind w:left="0" w:firstLine="0"/>
        <w:jc w:val="both"/>
      </w:pPr>
      <w:r>
        <w:rPr>
          <w:color w:val="000000"/>
          <w:szCs w:val="22"/>
          <w:lang w:eastAsia="cs-CZ"/>
        </w:rPr>
        <w:t>V případech, kdy se nepoužije celé balení přípravku</w:t>
      </w:r>
      <w:r w:rsidR="00B55852">
        <w:rPr>
          <w:color w:val="000000"/>
          <w:szCs w:val="22"/>
          <w:lang w:eastAsia="cs-CZ"/>
        </w:rPr>
        <w:t>,</w:t>
      </w:r>
      <w:r>
        <w:rPr>
          <w:color w:val="000000"/>
          <w:szCs w:val="22"/>
          <w:lang w:eastAsia="cs-CZ"/>
        </w:rPr>
        <w:t xml:space="preserve"> musí být potřebné množství přípravku odváženo za použití </w:t>
      </w:r>
      <w:r w:rsidRPr="00892C32">
        <w:rPr>
          <w:color w:val="000000"/>
          <w:szCs w:val="22"/>
          <w:lang w:eastAsia="cs-CZ"/>
        </w:rPr>
        <w:t>váh</w:t>
      </w:r>
      <w:r>
        <w:rPr>
          <w:color w:val="000000"/>
          <w:szCs w:val="22"/>
          <w:lang w:eastAsia="cs-CZ"/>
        </w:rPr>
        <w:t>y s vhodně dělenou stupnicí. Množství přípravku, které pokryje jednodenní potřebu</w:t>
      </w:r>
      <w:r w:rsidR="00B55852">
        <w:rPr>
          <w:color w:val="000000"/>
          <w:szCs w:val="22"/>
          <w:lang w:eastAsia="cs-CZ"/>
        </w:rPr>
        <w:t>,</w:t>
      </w:r>
      <w:r>
        <w:rPr>
          <w:color w:val="000000"/>
          <w:szCs w:val="22"/>
          <w:lang w:eastAsia="cs-CZ"/>
        </w:rPr>
        <w:t xml:space="preserve"> se přidává do </w:t>
      </w:r>
      <w:r w:rsidRPr="00892C32">
        <w:rPr>
          <w:color w:val="000000"/>
          <w:szCs w:val="22"/>
          <w:lang w:eastAsia="cs-CZ"/>
        </w:rPr>
        <w:t>napájecí vod</w:t>
      </w:r>
      <w:r>
        <w:rPr>
          <w:color w:val="000000"/>
          <w:szCs w:val="22"/>
          <w:lang w:eastAsia="cs-CZ"/>
        </w:rPr>
        <w:t>y</w:t>
      </w:r>
      <w:r w:rsidRPr="00892C32">
        <w:rPr>
          <w:color w:val="000000"/>
          <w:szCs w:val="22"/>
          <w:lang w:eastAsia="cs-CZ"/>
        </w:rPr>
        <w:t xml:space="preserve"> tak, aby byla </w:t>
      </w:r>
      <w:r>
        <w:rPr>
          <w:color w:val="000000"/>
          <w:szCs w:val="22"/>
          <w:lang w:eastAsia="cs-CZ"/>
        </w:rPr>
        <w:t xml:space="preserve">veškerá medikovaná voda spotřebována v průběhu 24 hodin. </w:t>
      </w:r>
      <w:r w:rsidRPr="00892C32">
        <w:rPr>
          <w:color w:val="000000"/>
          <w:szCs w:val="22"/>
          <w:lang w:eastAsia="cs-CZ"/>
        </w:rPr>
        <w:t>Medikovanou napájecí vodu je třeba připravovat každých 24 hodin</w:t>
      </w:r>
      <w:r>
        <w:rPr>
          <w:color w:val="000000"/>
          <w:szCs w:val="22"/>
          <w:lang w:eastAsia="cs-CZ"/>
        </w:rPr>
        <w:t xml:space="preserve"> čerstvou</w:t>
      </w:r>
      <w:r w:rsidRPr="00892C32">
        <w:rPr>
          <w:color w:val="000000"/>
          <w:szCs w:val="22"/>
          <w:lang w:eastAsia="cs-CZ"/>
        </w:rPr>
        <w:t xml:space="preserve">. Doporučuje se připravit koncentrovaný </w:t>
      </w:r>
      <w:r>
        <w:rPr>
          <w:color w:val="000000"/>
          <w:szCs w:val="22"/>
          <w:lang w:eastAsia="cs-CZ"/>
        </w:rPr>
        <w:t xml:space="preserve">zásobní </w:t>
      </w:r>
      <w:r w:rsidRPr="00892C32">
        <w:rPr>
          <w:color w:val="000000"/>
          <w:szCs w:val="22"/>
          <w:lang w:eastAsia="cs-CZ"/>
        </w:rPr>
        <w:t xml:space="preserve">roztok - přibližně 100 g přípravku na litr napájecí vody - a v případě potřeby tento roztok dále zředit na terapeutickou koncentraci. Alternativně lze </w:t>
      </w:r>
      <w:r>
        <w:rPr>
          <w:color w:val="000000"/>
          <w:szCs w:val="22"/>
          <w:lang w:eastAsia="cs-CZ"/>
        </w:rPr>
        <w:t xml:space="preserve">zásobní </w:t>
      </w:r>
      <w:r w:rsidRPr="00892C32">
        <w:rPr>
          <w:color w:val="000000"/>
          <w:szCs w:val="22"/>
          <w:lang w:eastAsia="cs-CZ"/>
        </w:rPr>
        <w:t xml:space="preserve">roztok použít v </w:t>
      </w:r>
      <w:r w:rsidRPr="00892C32">
        <w:rPr>
          <w:color w:val="000000"/>
          <w:szCs w:val="22"/>
          <w:lang w:eastAsia="cs-CZ"/>
        </w:rPr>
        <w:lastRenderedPageBreak/>
        <w:t xml:space="preserve">medikátoru napájecí vody. </w:t>
      </w:r>
      <w:r>
        <w:t>Voda by měla být míchána</w:t>
      </w:r>
      <w:r w:rsidR="00B55852">
        <w:t>,</w:t>
      </w:r>
      <w:r>
        <w:t xml:space="preserve"> dokud nedojde k úplnému rozpuštění přípravku.</w:t>
      </w:r>
    </w:p>
    <w:p w:rsidR="00702000" w:rsidRDefault="00702000" w:rsidP="00702000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  <w:r>
        <w:t>Mléčná náhražka</w:t>
      </w:r>
      <w:r w:rsidRPr="00325956">
        <w:t xml:space="preserve">: </w:t>
      </w:r>
      <w:r>
        <w:t>veterinární léčivý přípravek musí být před přidáním sušeného mléka nejprve rozpuštěn ve vodě.</w:t>
      </w:r>
      <w:r w:rsidRPr="00325956">
        <w:t xml:space="preserve"> </w:t>
      </w:r>
      <w:r w:rsidRPr="00892C32">
        <w:rPr>
          <w:color w:val="000000"/>
          <w:szCs w:val="22"/>
          <w:lang w:eastAsia="cs-CZ"/>
        </w:rPr>
        <w:t>Medikovanou mléčnou náhražku je třeba spotřebovat okamžitě</w:t>
      </w:r>
      <w:r>
        <w:rPr>
          <w:color w:val="000000"/>
          <w:szCs w:val="22"/>
          <w:lang w:eastAsia="cs-CZ"/>
        </w:rPr>
        <w:t xml:space="preserve"> a po uplynutí nejdéle 4 hodin je nutné ji připravit čerstvou.</w:t>
      </w:r>
      <w:r w:rsidRPr="00892C32">
        <w:rPr>
          <w:color w:val="000000"/>
          <w:szCs w:val="22"/>
          <w:lang w:eastAsia="cs-CZ"/>
        </w:rPr>
        <w:t xml:space="preserve"> </w:t>
      </w:r>
    </w:p>
    <w:p w:rsidR="00702000" w:rsidRDefault="00702000" w:rsidP="00702000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:rsidR="00715396" w:rsidRPr="00F75554" w:rsidRDefault="00715396"/>
    <w:p w:rsidR="00715396" w:rsidRPr="00F75554" w:rsidRDefault="00715396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715396" w:rsidRPr="00F75554" w:rsidRDefault="00715396">
      <w:pPr>
        <w:rPr>
          <w:iCs/>
        </w:rPr>
      </w:pPr>
    </w:p>
    <w:p w:rsidR="00715396" w:rsidRPr="00D26EDA" w:rsidRDefault="00715396" w:rsidP="00DB67A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D26EDA">
        <w:rPr>
          <w:color w:val="000000"/>
          <w:szCs w:val="22"/>
          <w:lang w:eastAsia="cs-CZ"/>
        </w:rPr>
        <w:t>Maso</w:t>
      </w:r>
      <w:r>
        <w:rPr>
          <w:color w:val="000000"/>
          <w:szCs w:val="22"/>
          <w:lang w:eastAsia="cs-CZ"/>
        </w:rPr>
        <w:t xml:space="preserve"> </w:t>
      </w:r>
      <w:r w:rsidRPr="00D26EDA">
        <w:rPr>
          <w:color w:val="000000"/>
          <w:szCs w:val="22"/>
          <w:lang w:eastAsia="cs-CZ"/>
        </w:rPr>
        <w:t xml:space="preserve">: </w:t>
      </w:r>
    </w:p>
    <w:p w:rsidR="00715396" w:rsidRPr="00D26EDA" w:rsidRDefault="00715396" w:rsidP="00DB67A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>
        <w:rPr>
          <w:color w:val="000000"/>
          <w:szCs w:val="22"/>
          <w:lang w:eastAsia="cs-CZ"/>
        </w:rPr>
        <w:t>T</w:t>
      </w:r>
      <w:r w:rsidRPr="00D26EDA">
        <w:rPr>
          <w:color w:val="000000"/>
          <w:szCs w:val="22"/>
          <w:lang w:eastAsia="cs-CZ"/>
        </w:rPr>
        <w:t xml:space="preserve">elata: 7 dnů </w:t>
      </w:r>
    </w:p>
    <w:p w:rsidR="00715396" w:rsidRPr="00D26EDA" w:rsidRDefault="00715396" w:rsidP="00DB67A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D26EDA">
        <w:rPr>
          <w:color w:val="000000"/>
          <w:szCs w:val="22"/>
          <w:lang w:eastAsia="cs-CZ"/>
        </w:rPr>
        <w:t xml:space="preserve">Prasata: 8 dnů </w:t>
      </w:r>
    </w:p>
    <w:p w:rsidR="00715396" w:rsidRPr="00D26EDA" w:rsidRDefault="00715396" w:rsidP="00DB67AD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D26EDA">
        <w:rPr>
          <w:color w:val="000000"/>
          <w:szCs w:val="22"/>
          <w:lang w:eastAsia="cs-CZ"/>
        </w:rPr>
        <w:t xml:space="preserve">Kur domácí: 5 dnů </w:t>
      </w:r>
    </w:p>
    <w:p w:rsidR="00715396" w:rsidRDefault="00627AFD" w:rsidP="00DB67AD">
      <w:r>
        <w:t>Nepoužívat</w:t>
      </w:r>
      <w:r w:rsidR="00715396" w:rsidRPr="00D26EDA">
        <w:t xml:space="preserve"> u nosnic, jejichž vejce jsou určena pro lidskou spotřebu</w:t>
      </w:r>
      <w:r w:rsidR="00715396">
        <w:t>.</w:t>
      </w:r>
    </w:p>
    <w:p w:rsidR="00715396" w:rsidRPr="00F75554" w:rsidRDefault="00715396" w:rsidP="00DB67AD"/>
    <w:p w:rsidR="00715396" w:rsidRPr="00F75554" w:rsidRDefault="00715396">
      <w:pPr>
        <w:rPr>
          <w:iCs/>
        </w:rPr>
      </w:pPr>
    </w:p>
    <w:p w:rsidR="00715396" w:rsidRPr="00F75554" w:rsidRDefault="00715396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715396" w:rsidRPr="00F75554" w:rsidRDefault="00715396"/>
    <w:p w:rsidR="00715396" w:rsidRPr="00F75554" w:rsidRDefault="00715396">
      <w:r w:rsidRPr="00F75554">
        <w:t>Uchovávat mimo dosah dětí.</w:t>
      </w:r>
    </w:p>
    <w:p w:rsidR="00715396" w:rsidRDefault="00715396"/>
    <w:p w:rsidR="00715396" w:rsidRDefault="00715396" w:rsidP="00C709BE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Nepoužívejte </w:t>
      </w:r>
      <w:r w:rsidRPr="00F75554">
        <w:t>tento veterinární léčivý přípravek po uplynutí doby použitelnost</w:t>
      </w:r>
      <w:r w:rsidR="00606E5D">
        <w:t>i</w:t>
      </w:r>
      <w:r w:rsidRPr="00F75554">
        <w:t xml:space="preserve"> </w:t>
      </w:r>
      <w:r>
        <w:rPr>
          <w:szCs w:val="22"/>
        </w:rPr>
        <w:t xml:space="preserve">uvedené na </w:t>
      </w:r>
      <w:r w:rsidR="001E5610">
        <w:rPr>
          <w:szCs w:val="22"/>
        </w:rPr>
        <w:t xml:space="preserve">etiketě </w:t>
      </w:r>
      <w:r w:rsidR="00606E5D">
        <w:rPr>
          <w:szCs w:val="22"/>
        </w:rPr>
        <w:t xml:space="preserve">po </w:t>
      </w:r>
      <w:r>
        <w:rPr>
          <w:szCs w:val="22"/>
        </w:rPr>
        <w:t xml:space="preserve">EXP. </w:t>
      </w:r>
      <w:r w:rsidRPr="00F75554">
        <w:t>Doba použitelnosti končí posledním dnem v uvedeném měsíci</w:t>
      </w:r>
      <w:r>
        <w:rPr>
          <w:szCs w:val="22"/>
        </w:rPr>
        <w:t>.</w:t>
      </w:r>
    </w:p>
    <w:p w:rsidR="00715396" w:rsidRPr="00646C45" w:rsidRDefault="00715396" w:rsidP="00453076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46C45">
        <w:rPr>
          <w:color w:val="000000"/>
          <w:szCs w:val="22"/>
          <w:lang w:eastAsia="cs-CZ"/>
        </w:rPr>
        <w:t xml:space="preserve">Doba použitelnosti po prvním otevření vnitřního obalu: 3 měsíce. </w:t>
      </w:r>
    </w:p>
    <w:p w:rsidR="00715396" w:rsidRPr="00646C45" w:rsidRDefault="00715396" w:rsidP="00453076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46C45">
        <w:rPr>
          <w:color w:val="000000"/>
          <w:szCs w:val="22"/>
          <w:lang w:eastAsia="cs-CZ"/>
        </w:rPr>
        <w:t xml:space="preserve">Doba použitelnosti po </w:t>
      </w:r>
      <w:r w:rsidRPr="00F75554">
        <w:t>rekonstituci</w:t>
      </w:r>
      <w:r w:rsidRPr="00646C45">
        <w:rPr>
          <w:color w:val="000000"/>
          <w:szCs w:val="22"/>
          <w:lang w:eastAsia="cs-CZ"/>
        </w:rPr>
        <w:t xml:space="preserve"> v </w:t>
      </w:r>
      <w:r w:rsidR="001E5610">
        <w:rPr>
          <w:color w:val="000000"/>
          <w:szCs w:val="22"/>
          <w:lang w:eastAsia="cs-CZ"/>
        </w:rPr>
        <w:t>pitné</w:t>
      </w:r>
      <w:r w:rsidR="001E5610" w:rsidRPr="00646C45">
        <w:rPr>
          <w:color w:val="000000"/>
          <w:szCs w:val="22"/>
          <w:lang w:eastAsia="cs-CZ"/>
        </w:rPr>
        <w:t xml:space="preserve"> </w:t>
      </w:r>
      <w:r w:rsidRPr="00646C45">
        <w:rPr>
          <w:color w:val="000000"/>
          <w:szCs w:val="22"/>
          <w:lang w:eastAsia="cs-CZ"/>
        </w:rPr>
        <w:t xml:space="preserve">vodě: 24 hodin. </w:t>
      </w:r>
    </w:p>
    <w:p w:rsidR="00715396" w:rsidRPr="00F75554" w:rsidRDefault="00715396" w:rsidP="00453076">
      <w:r w:rsidRPr="00646C45">
        <w:rPr>
          <w:color w:val="000000"/>
          <w:szCs w:val="22"/>
          <w:lang w:eastAsia="cs-CZ"/>
        </w:rPr>
        <w:t xml:space="preserve">Doba použitelnosti po </w:t>
      </w:r>
      <w:r w:rsidRPr="00F75554">
        <w:t>rekonstituci</w:t>
      </w:r>
      <w:r w:rsidRPr="00646C45">
        <w:rPr>
          <w:color w:val="000000"/>
          <w:szCs w:val="22"/>
          <w:lang w:eastAsia="cs-CZ"/>
        </w:rPr>
        <w:t xml:space="preserve"> v</w:t>
      </w:r>
      <w:r w:rsidR="001E5610">
        <w:rPr>
          <w:color w:val="000000"/>
          <w:szCs w:val="22"/>
          <w:lang w:eastAsia="cs-CZ"/>
        </w:rPr>
        <w:t xml:space="preserve"> mléčné </w:t>
      </w:r>
      <w:r w:rsidRPr="00646C45">
        <w:rPr>
          <w:color w:val="000000"/>
          <w:szCs w:val="22"/>
          <w:lang w:eastAsia="cs-CZ"/>
        </w:rPr>
        <w:t xml:space="preserve">náhražce: </w:t>
      </w:r>
      <w:r>
        <w:rPr>
          <w:color w:val="000000"/>
          <w:szCs w:val="22"/>
          <w:lang w:eastAsia="cs-CZ"/>
        </w:rPr>
        <w:t>4 hodiny</w:t>
      </w:r>
    </w:p>
    <w:p w:rsidR="00715396" w:rsidRPr="00F75554" w:rsidRDefault="00715396">
      <w:pPr>
        <w:ind w:left="0" w:right="-318" w:firstLine="0"/>
      </w:pPr>
    </w:p>
    <w:p w:rsidR="00715396" w:rsidRPr="00F75554" w:rsidRDefault="00715396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715396" w:rsidRPr="00F75554" w:rsidRDefault="00715396"/>
    <w:p w:rsidR="00715396" w:rsidRDefault="00715396" w:rsidP="00453076">
      <w:pPr>
        <w:autoSpaceDE w:val="0"/>
        <w:autoSpaceDN w:val="0"/>
        <w:adjustRightInd w:val="0"/>
        <w:ind w:left="0" w:firstLine="0"/>
        <w:rPr>
          <w:b/>
          <w:bCs/>
          <w:color w:val="000000"/>
          <w:szCs w:val="22"/>
          <w:lang w:eastAsia="cs-CZ"/>
        </w:rPr>
      </w:pPr>
      <w:r w:rsidRPr="004654AC">
        <w:rPr>
          <w:b/>
          <w:bCs/>
          <w:color w:val="000000"/>
          <w:szCs w:val="22"/>
          <w:lang w:eastAsia="cs-CZ"/>
        </w:rPr>
        <w:t xml:space="preserve">Zvláštní opatření při použití u zvířat </w:t>
      </w:r>
    </w:p>
    <w:p w:rsidR="00715396" w:rsidRPr="004654AC" w:rsidRDefault="00715396" w:rsidP="00453076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</w:p>
    <w:p w:rsidR="00702000" w:rsidRDefault="00702000" w:rsidP="00702000">
      <w:pPr>
        <w:ind w:left="0" w:firstLine="0"/>
        <w:jc w:val="both"/>
        <w:rPr>
          <w:color w:val="000000"/>
          <w:szCs w:val="22"/>
          <w:lang w:eastAsia="cs-CZ"/>
        </w:rPr>
      </w:pPr>
      <w:r w:rsidRPr="004654AC">
        <w:rPr>
          <w:color w:val="000000"/>
          <w:szCs w:val="22"/>
          <w:lang w:eastAsia="cs-CZ"/>
        </w:rPr>
        <w:t>Vzhledem k variabilitě (časové, zeměpisné) citlivosti bakterií na doxycyklin</w:t>
      </w:r>
      <w:r>
        <w:rPr>
          <w:color w:val="000000"/>
          <w:szCs w:val="22"/>
          <w:lang w:eastAsia="cs-CZ"/>
        </w:rPr>
        <w:t xml:space="preserve"> se má přípravek použít pouze na základě </w:t>
      </w:r>
      <w:r w:rsidRPr="004654AC">
        <w:rPr>
          <w:color w:val="000000"/>
          <w:szCs w:val="22"/>
          <w:lang w:eastAsia="cs-CZ"/>
        </w:rPr>
        <w:t>odb</w:t>
      </w:r>
      <w:r>
        <w:rPr>
          <w:color w:val="000000"/>
          <w:szCs w:val="22"/>
          <w:lang w:eastAsia="cs-CZ"/>
        </w:rPr>
        <w:t xml:space="preserve">ěru </w:t>
      </w:r>
      <w:r w:rsidRPr="004654AC">
        <w:rPr>
          <w:color w:val="000000"/>
          <w:szCs w:val="22"/>
          <w:lang w:eastAsia="cs-CZ"/>
        </w:rPr>
        <w:t>vzork</w:t>
      </w:r>
      <w:r>
        <w:rPr>
          <w:color w:val="000000"/>
          <w:szCs w:val="22"/>
          <w:lang w:eastAsia="cs-CZ"/>
        </w:rPr>
        <w:t>ů na mikrobiologické vyšetření</w:t>
      </w:r>
      <w:r w:rsidRPr="004654AC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>od</w:t>
      </w:r>
      <w:r w:rsidRPr="004654AC">
        <w:rPr>
          <w:color w:val="000000"/>
          <w:szCs w:val="22"/>
          <w:lang w:eastAsia="cs-CZ"/>
        </w:rPr>
        <w:t xml:space="preserve"> </w:t>
      </w:r>
      <w:r>
        <w:rPr>
          <w:color w:val="000000"/>
          <w:szCs w:val="22"/>
          <w:lang w:eastAsia="cs-CZ"/>
        </w:rPr>
        <w:t xml:space="preserve">klinicky </w:t>
      </w:r>
      <w:r w:rsidRPr="004654AC">
        <w:rPr>
          <w:color w:val="000000"/>
          <w:szCs w:val="22"/>
          <w:lang w:eastAsia="cs-CZ"/>
        </w:rPr>
        <w:t xml:space="preserve">nemocných zvířat </w:t>
      </w:r>
      <w:r>
        <w:rPr>
          <w:color w:val="000000"/>
          <w:szCs w:val="22"/>
          <w:lang w:eastAsia="cs-CZ"/>
        </w:rPr>
        <w:t xml:space="preserve">v hospodářství </w:t>
      </w:r>
      <w:r w:rsidRPr="004654AC">
        <w:rPr>
          <w:color w:val="000000"/>
          <w:szCs w:val="22"/>
          <w:lang w:eastAsia="cs-CZ"/>
        </w:rPr>
        <w:t xml:space="preserve">a </w:t>
      </w:r>
      <w:r>
        <w:rPr>
          <w:color w:val="000000"/>
          <w:szCs w:val="22"/>
          <w:lang w:eastAsia="cs-CZ"/>
        </w:rPr>
        <w:t xml:space="preserve">stanovení </w:t>
      </w:r>
      <w:r w:rsidRPr="004654AC">
        <w:rPr>
          <w:color w:val="000000"/>
          <w:szCs w:val="22"/>
          <w:lang w:eastAsia="cs-CZ"/>
        </w:rPr>
        <w:t>citlivost</w:t>
      </w:r>
      <w:r>
        <w:rPr>
          <w:color w:val="000000"/>
          <w:szCs w:val="22"/>
          <w:lang w:eastAsia="cs-CZ"/>
        </w:rPr>
        <w:t xml:space="preserve">i. </w:t>
      </w:r>
    </w:p>
    <w:p w:rsidR="00702000" w:rsidRDefault="00702000" w:rsidP="00702000">
      <w:pPr>
        <w:ind w:left="0" w:firstLine="0"/>
        <w:jc w:val="both"/>
        <w:rPr>
          <w:color w:val="000000"/>
          <w:szCs w:val="22"/>
          <w:lang w:eastAsia="cs-CZ"/>
        </w:rPr>
      </w:pPr>
    </w:p>
    <w:p w:rsidR="00702000" w:rsidRDefault="00702000" w:rsidP="0070200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Existují důkazy o vysoké míře rezistence   </w:t>
      </w:r>
      <w:r>
        <w:rPr>
          <w:i/>
          <w:iCs/>
          <w:szCs w:val="22"/>
        </w:rPr>
        <w:t xml:space="preserve">E. coli, </w:t>
      </w:r>
      <w:r w:rsidRPr="004654AC">
        <w:rPr>
          <w:iCs/>
          <w:szCs w:val="22"/>
        </w:rPr>
        <w:t>izolovaných z kura domácího,</w:t>
      </w:r>
      <w:r>
        <w:rPr>
          <w:i/>
          <w:iCs/>
          <w:szCs w:val="22"/>
        </w:rPr>
        <w:t xml:space="preserve"> </w:t>
      </w:r>
      <w:r w:rsidRPr="00D32E2A">
        <w:rPr>
          <w:iCs/>
          <w:szCs w:val="22"/>
        </w:rPr>
        <w:t>k</w:t>
      </w:r>
      <w:r>
        <w:rPr>
          <w:i/>
          <w:iCs/>
          <w:szCs w:val="22"/>
        </w:rPr>
        <w:t xml:space="preserve"> </w:t>
      </w:r>
      <w:r>
        <w:rPr>
          <w:szCs w:val="22"/>
        </w:rPr>
        <w:t xml:space="preserve"> tetracyklinům.. Přípravek musí být proto k léčbě infekcí vyvolaných</w:t>
      </w:r>
      <w:r w:rsidR="00B55852">
        <w:rPr>
          <w:szCs w:val="22"/>
        </w:rPr>
        <w:t xml:space="preserve"> </w:t>
      </w:r>
      <w:r>
        <w:rPr>
          <w:szCs w:val="22"/>
        </w:rPr>
        <w:t xml:space="preserve"> </w:t>
      </w:r>
      <w:r>
        <w:rPr>
          <w:i/>
          <w:iCs/>
          <w:szCs w:val="22"/>
        </w:rPr>
        <w:t xml:space="preserve">E. coli </w:t>
      </w:r>
      <w:r w:rsidRPr="00D32E2A">
        <w:rPr>
          <w:iCs/>
          <w:szCs w:val="22"/>
        </w:rPr>
        <w:t>používán</w:t>
      </w:r>
      <w:r>
        <w:rPr>
          <w:i/>
          <w:iCs/>
          <w:szCs w:val="22"/>
        </w:rPr>
        <w:t xml:space="preserve"> </w:t>
      </w:r>
      <w:r>
        <w:rPr>
          <w:szCs w:val="22"/>
        </w:rPr>
        <w:t>na základě stanovení citlivosti. Rezistence k tetracyklinům byla také hlášena v některých zemích EU u respiračních patogenů prasat (</w:t>
      </w:r>
      <w:r>
        <w:rPr>
          <w:i/>
          <w:iCs/>
          <w:szCs w:val="22"/>
        </w:rPr>
        <w:t>A. pleuropneumoniae, S. suis</w:t>
      </w:r>
      <w:r>
        <w:rPr>
          <w:szCs w:val="22"/>
        </w:rPr>
        <w:t>) a u patogenů telat (</w:t>
      </w:r>
      <w:r>
        <w:rPr>
          <w:i/>
          <w:iCs/>
          <w:szCs w:val="22"/>
        </w:rPr>
        <w:t xml:space="preserve">Pasteurella </w:t>
      </w:r>
      <w:r w:rsidRPr="00A07DE5">
        <w:rPr>
          <w:iCs/>
          <w:szCs w:val="22"/>
        </w:rPr>
        <w:t>spp</w:t>
      </w:r>
      <w:r w:rsidR="005C0A18">
        <w:rPr>
          <w:iCs/>
          <w:szCs w:val="22"/>
        </w:rPr>
        <w:t>.</w:t>
      </w:r>
      <w:r>
        <w:rPr>
          <w:szCs w:val="22"/>
        </w:rPr>
        <w:t>).</w:t>
      </w:r>
    </w:p>
    <w:p w:rsidR="00702000" w:rsidRDefault="00702000" w:rsidP="00702000">
      <w:pPr>
        <w:ind w:left="0" w:firstLine="0"/>
        <w:jc w:val="both"/>
        <w:rPr>
          <w:szCs w:val="22"/>
        </w:rPr>
      </w:pPr>
    </w:p>
    <w:p w:rsidR="00715396" w:rsidRPr="00F75554" w:rsidRDefault="00702000">
      <w:pPr>
        <w:ind w:left="0" w:firstLine="0"/>
        <w:jc w:val="both"/>
      </w:pPr>
      <w:r>
        <w:rPr>
          <w:szCs w:val="22"/>
        </w:rPr>
        <w:t>Vzhledem k tomu, že po použití přípravku nemusí být dosaženo úplné eliminace cílových patogenů, má se léčba přípravkem provádět v kombinaci s opatřeními správné chovatelské praxe, jako jsou např. dobrá úroveň hygieny, řádné větrání a zajištění odpovídajícího počtu zvířat na jednotku prostoru</w:t>
      </w:r>
      <w:r w:rsidR="00B55852">
        <w:rPr>
          <w:szCs w:val="22"/>
        </w:rPr>
        <w:t xml:space="preserve"> ustájení</w:t>
      </w:r>
      <w:r>
        <w:rPr>
          <w:szCs w:val="22"/>
        </w:rPr>
        <w:t>.</w:t>
      </w:r>
      <w:r w:rsidR="00715396" w:rsidRPr="004654AC">
        <w:rPr>
          <w:color w:val="000000"/>
          <w:szCs w:val="22"/>
          <w:lang w:eastAsia="cs-CZ"/>
        </w:rPr>
        <w:t xml:space="preserve"> </w:t>
      </w:r>
    </w:p>
    <w:p w:rsidR="00715396" w:rsidRDefault="00715396" w:rsidP="00C709BE">
      <w:pPr>
        <w:jc w:val="both"/>
      </w:pPr>
    </w:p>
    <w:p w:rsidR="00715396" w:rsidRDefault="00702C36" w:rsidP="00C709BE">
      <w:p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Cs w:val="22"/>
          <w:lang w:eastAsia="cs-CZ"/>
        </w:rPr>
      </w:pPr>
      <w:r>
        <w:rPr>
          <w:b/>
          <w:bCs/>
          <w:color w:val="000000"/>
          <w:szCs w:val="22"/>
          <w:lang w:eastAsia="cs-CZ"/>
        </w:rPr>
        <w:t>Upozornění pro uživatele</w:t>
      </w:r>
    </w:p>
    <w:p w:rsidR="00715396" w:rsidRPr="00F82DEC" w:rsidRDefault="00715396" w:rsidP="00C709BE">
      <w:pPr>
        <w:autoSpaceDE w:val="0"/>
        <w:autoSpaceDN w:val="0"/>
        <w:adjustRightInd w:val="0"/>
        <w:ind w:left="0" w:firstLine="0"/>
        <w:jc w:val="both"/>
        <w:rPr>
          <w:color w:val="000000"/>
          <w:szCs w:val="22"/>
          <w:lang w:eastAsia="cs-CZ"/>
        </w:rPr>
      </w:pPr>
    </w:p>
    <w:p w:rsidR="00702C36" w:rsidRDefault="00702C36" w:rsidP="00702C36">
      <w:pPr>
        <w:ind w:left="0" w:firstLine="0"/>
        <w:jc w:val="both"/>
        <w:rPr>
          <w:szCs w:val="22"/>
        </w:rPr>
      </w:pPr>
      <w:r>
        <w:rPr>
          <w:szCs w:val="22"/>
        </w:rPr>
        <w:t>Tento přípravek může při zasažení kůže nebo očí (ve formě prášku a roztoku) nebo při vdechování prášku vyvolat kontaktní dermatitidu anebo reakce z přecitlivělosti (alergie).</w:t>
      </w:r>
    </w:p>
    <w:p w:rsidR="00702C36" w:rsidRDefault="00702C36" w:rsidP="00702C36">
      <w:pPr>
        <w:ind w:left="0" w:firstLine="0"/>
        <w:jc w:val="both"/>
        <w:rPr>
          <w:szCs w:val="22"/>
        </w:rPr>
      </w:pPr>
      <w:r w:rsidRPr="00F75554">
        <w:t xml:space="preserve">Lidé se známou přecitlivělostí na </w:t>
      </w:r>
      <w:r>
        <w:t xml:space="preserve">tetracykliny by se měli </w:t>
      </w:r>
      <w:r w:rsidRPr="00F75554">
        <w:t>vyhnout kontaktu s přípravkem.</w:t>
      </w:r>
      <w:r>
        <w:t xml:space="preserve"> Při podávání přípravku používejte nepropustné rukavice (např. gumové nebo latexové) a vhodnou masku proti prachu (např. jednorázovou polomasku vyhovující evropské normě EN 149). Při manipulaci s přípravkem nekuřte, nejezte a nepijte. </w:t>
      </w:r>
      <w:r w:rsidRPr="00303679">
        <w:rPr>
          <w:szCs w:val="22"/>
        </w:rPr>
        <w:t xml:space="preserve">V případě </w:t>
      </w:r>
      <w:r>
        <w:rPr>
          <w:szCs w:val="22"/>
        </w:rPr>
        <w:t>zasažení očí nebo</w:t>
      </w:r>
      <w:r w:rsidRPr="00303679">
        <w:rPr>
          <w:szCs w:val="22"/>
        </w:rPr>
        <w:t> kůž</w:t>
      </w:r>
      <w:r>
        <w:rPr>
          <w:szCs w:val="22"/>
        </w:rPr>
        <w:t>e</w:t>
      </w:r>
      <w:r w:rsidRPr="00303679">
        <w:rPr>
          <w:szCs w:val="22"/>
        </w:rPr>
        <w:t xml:space="preserve"> omyjte zasažené části </w:t>
      </w:r>
      <w:r>
        <w:rPr>
          <w:szCs w:val="22"/>
        </w:rPr>
        <w:t>velkým množstvím čisté vody, a pokud se objeví podráždění, vyhledejte lékařskou pomoc</w:t>
      </w:r>
      <w:r w:rsidRPr="00303679">
        <w:rPr>
          <w:szCs w:val="22"/>
        </w:rPr>
        <w:t xml:space="preserve">. </w:t>
      </w:r>
      <w:r>
        <w:rPr>
          <w:szCs w:val="22"/>
        </w:rPr>
        <w:br/>
      </w:r>
      <w:r>
        <w:rPr>
          <w:rFonts w:cs="Arial"/>
          <w:szCs w:val="22"/>
        </w:rPr>
        <w:t>Po manipulaci s přípravkem si umyjte ruce a zasaženou kůži.</w:t>
      </w:r>
    </w:p>
    <w:p w:rsidR="00702C36" w:rsidRDefault="00702C36" w:rsidP="00702C36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se u vás po expozici objeví příznaky jako kožní vyrážka, vyhledejte lékařskou pomoc a ukažte lékaři toto upozornění. Otok obličeje, rtů či očí nebo potíže s dýcháním jsou vážné příznaky </w:t>
      </w:r>
      <w:r>
        <w:rPr>
          <w:szCs w:val="22"/>
        </w:rPr>
        <w:br/>
        <w:t>a vyžadují okamžitou lékařskou péči.</w:t>
      </w:r>
    </w:p>
    <w:p w:rsidR="00702000" w:rsidRDefault="00702000" w:rsidP="00C709BE">
      <w:pPr>
        <w:ind w:left="0" w:firstLine="0"/>
        <w:jc w:val="both"/>
        <w:rPr>
          <w:szCs w:val="22"/>
        </w:rPr>
      </w:pPr>
    </w:p>
    <w:p w:rsidR="00715396" w:rsidRDefault="00715396" w:rsidP="00453076">
      <w:pPr>
        <w:ind w:left="0" w:firstLine="0"/>
        <w:rPr>
          <w:szCs w:val="22"/>
        </w:rPr>
      </w:pPr>
    </w:p>
    <w:p w:rsidR="00715396" w:rsidRPr="00F75554" w:rsidRDefault="00715396" w:rsidP="00453076">
      <w:r w:rsidRPr="00F75554">
        <w:rPr>
          <w:b/>
        </w:rPr>
        <w:t>Použití v průběhu březosti, laktace nebo snášky</w:t>
      </w:r>
    </w:p>
    <w:p w:rsidR="00715396" w:rsidRPr="00F75554" w:rsidRDefault="00715396" w:rsidP="00453076"/>
    <w:p w:rsidR="00702000" w:rsidRDefault="00702000" w:rsidP="00702000">
      <w:pPr>
        <w:ind w:left="0" w:firstLine="0"/>
        <w:jc w:val="both"/>
        <w:rPr>
          <w:szCs w:val="22"/>
        </w:rPr>
      </w:pPr>
      <w:r>
        <w:rPr>
          <w:szCs w:val="22"/>
        </w:rPr>
        <w:t>Vzhledem k ukládání doxycyklinu v kostní tkáni mláďat, by se měl přípravek v průběhu březosti a laktace používat v omezeném rozsahu.</w:t>
      </w:r>
    </w:p>
    <w:p w:rsidR="00715396" w:rsidRDefault="00715396" w:rsidP="00453076">
      <w:pPr>
        <w:ind w:left="0" w:firstLine="0"/>
        <w:rPr>
          <w:szCs w:val="22"/>
        </w:rPr>
      </w:pPr>
    </w:p>
    <w:p w:rsidR="00715396" w:rsidRDefault="00715396" w:rsidP="006249C7">
      <w:pPr>
        <w:ind w:left="0" w:firstLine="0"/>
        <w:rPr>
          <w:szCs w:val="22"/>
        </w:rPr>
      </w:pPr>
      <w:r>
        <w:rPr>
          <w:szCs w:val="22"/>
        </w:rPr>
        <w:t xml:space="preserve">Použít pouze po zvážení </w:t>
      </w:r>
      <w:r w:rsidR="00FA5ACE">
        <w:rPr>
          <w:szCs w:val="22"/>
        </w:rPr>
        <w:t xml:space="preserve">poměru </w:t>
      </w:r>
      <w:r>
        <w:rPr>
          <w:szCs w:val="22"/>
        </w:rPr>
        <w:t>terapeutického prospěchu a rizika příslušným veterinárním lékařem.</w:t>
      </w:r>
    </w:p>
    <w:p w:rsidR="00715396" w:rsidRDefault="00715396" w:rsidP="006249C7">
      <w:pPr>
        <w:ind w:left="0" w:firstLine="0"/>
        <w:rPr>
          <w:szCs w:val="22"/>
        </w:rPr>
      </w:pPr>
      <w:r>
        <w:rPr>
          <w:szCs w:val="22"/>
        </w:rPr>
        <w:t xml:space="preserve"> </w:t>
      </w:r>
    </w:p>
    <w:p w:rsidR="00715396" w:rsidRDefault="00715396" w:rsidP="006249C7">
      <w:pPr>
        <w:ind w:left="0" w:firstLine="0"/>
        <w:rPr>
          <w:szCs w:val="22"/>
        </w:rPr>
      </w:pPr>
      <w:r>
        <w:rPr>
          <w:szCs w:val="22"/>
        </w:rPr>
        <w:t>U prasnic během březosti nebo laktace nebyla bezpečnost přípravku stanovena.</w:t>
      </w:r>
    </w:p>
    <w:p w:rsidR="00715396" w:rsidRDefault="00715396" w:rsidP="006249C7">
      <w:pPr>
        <w:ind w:left="0" w:firstLine="0"/>
        <w:rPr>
          <w:szCs w:val="22"/>
        </w:rPr>
      </w:pPr>
    </w:p>
    <w:p w:rsidR="00715396" w:rsidRPr="006249C7" w:rsidRDefault="00715396" w:rsidP="006249C7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249C7">
        <w:rPr>
          <w:b/>
          <w:bCs/>
          <w:color w:val="000000"/>
          <w:szCs w:val="22"/>
          <w:lang w:eastAsia="cs-CZ"/>
        </w:rPr>
        <w:t xml:space="preserve">Interakce s dalšími léčivými přípravky a další formy interakce </w:t>
      </w:r>
    </w:p>
    <w:p w:rsidR="00715396" w:rsidRDefault="00715396" w:rsidP="006249C7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</w:p>
    <w:p w:rsidR="00715396" w:rsidRPr="006249C7" w:rsidRDefault="00715396" w:rsidP="006249C7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249C7">
        <w:rPr>
          <w:color w:val="000000"/>
          <w:szCs w:val="22"/>
          <w:lang w:eastAsia="cs-CZ"/>
        </w:rPr>
        <w:t xml:space="preserve">Nepoužívejte v kombinaci s baktericidními antibiotiky, jako jsou peniciliny a cefalosporiny. </w:t>
      </w:r>
    </w:p>
    <w:p w:rsidR="00715396" w:rsidRDefault="00715396" w:rsidP="006249C7">
      <w:pPr>
        <w:ind w:left="0" w:firstLine="0"/>
        <w:rPr>
          <w:color w:val="000000"/>
          <w:szCs w:val="22"/>
          <w:lang w:eastAsia="cs-CZ"/>
        </w:rPr>
      </w:pPr>
      <w:r w:rsidRPr="006249C7">
        <w:rPr>
          <w:color w:val="000000"/>
          <w:szCs w:val="22"/>
          <w:lang w:eastAsia="cs-CZ"/>
        </w:rPr>
        <w:t>Tetracykliny mohou vytvářet chaláty s kationty (např. Mg, Mn, Fe a Al), což může vést ke sníž</w:t>
      </w:r>
      <w:r>
        <w:rPr>
          <w:color w:val="000000"/>
          <w:szCs w:val="22"/>
          <w:lang w:eastAsia="cs-CZ"/>
        </w:rPr>
        <w:t>ení biologické dostupnosti.</w:t>
      </w:r>
    </w:p>
    <w:p w:rsidR="00715396" w:rsidRDefault="00715396" w:rsidP="006249C7">
      <w:pPr>
        <w:ind w:left="0" w:firstLine="0"/>
        <w:rPr>
          <w:color w:val="000000"/>
          <w:szCs w:val="22"/>
          <w:lang w:eastAsia="cs-CZ"/>
        </w:rPr>
      </w:pPr>
    </w:p>
    <w:p w:rsidR="00715396" w:rsidRPr="006249C7" w:rsidRDefault="00715396" w:rsidP="006249C7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cs-CZ"/>
        </w:rPr>
      </w:pPr>
      <w:r w:rsidRPr="006249C7">
        <w:rPr>
          <w:b/>
          <w:bCs/>
          <w:color w:val="000000"/>
          <w:szCs w:val="22"/>
          <w:lang w:eastAsia="cs-CZ"/>
        </w:rPr>
        <w:t xml:space="preserve">Předávkování (symptomy, první pomoc, antidota) </w:t>
      </w:r>
    </w:p>
    <w:p w:rsidR="00715396" w:rsidRDefault="00715396" w:rsidP="006249C7">
      <w:pPr>
        <w:ind w:left="0" w:firstLine="0"/>
        <w:rPr>
          <w:color w:val="000000"/>
          <w:szCs w:val="22"/>
          <w:lang w:eastAsia="cs-CZ"/>
        </w:rPr>
      </w:pPr>
    </w:p>
    <w:p w:rsidR="00715396" w:rsidRDefault="00715396" w:rsidP="006249C7">
      <w:pPr>
        <w:ind w:left="0" w:firstLine="0"/>
        <w:rPr>
          <w:color w:val="000000"/>
          <w:szCs w:val="22"/>
          <w:lang w:eastAsia="cs-CZ"/>
        </w:rPr>
      </w:pPr>
      <w:r w:rsidRPr="006249C7">
        <w:rPr>
          <w:color w:val="000000"/>
          <w:szCs w:val="22"/>
          <w:lang w:eastAsia="cs-CZ"/>
        </w:rPr>
        <w:t>U telat se může objevit akutní, někdy fatální, degenerace myokardu následkem podání jedné i více dávek. Vzhledem k tomu, že většinou k tomu dochází následkem předávkování, je důležité dávku odměřit přesně</w:t>
      </w:r>
      <w:r>
        <w:rPr>
          <w:color w:val="000000"/>
          <w:szCs w:val="22"/>
          <w:lang w:eastAsia="cs-CZ"/>
        </w:rPr>
        <w:t>.</w:t>
      </w:r>
      <w:r w:rsidRPr="006249C7">
        <w:rPr>
          <w:color w:val="000000"/>
          <w:szCs w:val="22"/>
          <w:lang w:eastAsia="cs-CZ"/>
        </w:rPr>
        <w:t xml:space="preserve"> </w:t>
      </w:r>
    </w:p>
    <w:p w:rsidR="00715396" w:rsidRDefault="00715396" w:rsidP="006249C7">
      <w:pPr>
        <w:ind w:left="0" w:firstLine="0"/>
        <w:rPr>
          <w:color w:val="000000"/>
          <w:szCs w:val="22"/>
          <w:lang w:eastAsia="cs-CZ"/>
        </w:rPr>
      </w:pPr>
    </w:p>
    <w:p w:rsidR="00715396" w:rsidRPr="00F75554" w:rsidRDefault="00715396" w:rsidP="006249C7">
      <w:r w:rsidRPr="00F75554">
        <w:rPr>
          <w:b/>
        </w:rPr>
        <w:t>Inkompatibility</w:t>
      </w:r>
    </w:p>
    <w:p w:rsidR="00715396" w:rsidRPr="00F75554" w:rsidRDefault="00715396" w:rsidP="006249C7"/>
    <w:p w:rsidR="00715396" w:rsidRDefault="00715396" w:rsidP="006249C7">
      <w:pPr>
        <w:ind w:left="0" w:firstLine="0"/>
        <w:rPr>
          <w:szCs w:val="22"/>
        </w:rPr>
      </w:pPr>
      <w:r>
        <w:rPr>
          <w:szCs w:val="22"/>
        </w:rPr>
        <w:t>Studie kompatibility nejsou k dispozici, a proto tento veterinární léčivý přípravek nesmí být mísen s žádnými dalšími veterinárními léčivými přípravky.</w:t>
      </w:r>
    </w:p>
    <w:p w:rsidR="00715396" w:rsidRPr="00F75554" w:rsidRDefault="00715396" w:rsidP="006249C7">
      <w:pPr>
        <w:ind w:left="0" w:firstLine="0"/>
      </w:pPr>
    </w:p>
    <w:p w:rsidR="00715396" w:rsidRPr="00F75554" w:rsidRDefault="00715396"/>
    <w:p w:rsidR="00715396" w:rsidRPr="00F75554" w:rsidRDefault="00715396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715396" w:rsidRPr="00F75554" w:rsidRDefault="00715396">
      <w:pPr>
        <w:ind w:right="-318"/>
      </w:pPr>
    </w:p>
    <w:p w:rsidR="00B251C7" w:rsidRDefault="00715396">
      <w:pPr>
        <w:ind w:left="0" w:right="-318" w:firstLine="0"/>
      </w:pPr>
      <w:r w:rsidRPr="00F75554">
        <w:t>Léčivé přípravky se nesmí likvidovat prostřednictvím od</w:t>
      </w:r>
      <w:r>
        <w:t>padní vody či domovního odpadu</w:t>
      </w:r>
      <w:r w:rsidR="00B251C7">
        <w:t>.</w:t>
      </w:r>
    </w:p>
    <w:p w:rsidR="00B251C7" w:rsidRPr="007B0177" w:rsidRDefault="00B251C7" w:rsidP="00B251C7">
      <w:pPr>
        <w:ind w:left="0" w:right="-318" w:firstLine="0"/>
        <w:jc w:val="both"/>
        <w:rPr>
          <w:szCs w:val="22"/>
        </w:rPr>
      </w:pPr>
      <w:r>
        <w:rPr>
          <w:szCs w:val="22"/>
        </w:rPr>
        <w:t xml:space="preserve">Všechen nepoužitý veterinární </w:t>
      </w:r>
      <w:r w:rsidRPr="00F75554">
        <w:t>léčivý</w:t>
      </w:r>
      <w:r>
        <w:rPr>
          <w:szCs w:val="22"/>
        </w:rPr>
        <w:t xml:space="preserve"> přípravek nebo odpad, který pochází z tohoto přípravku, musí být likvidován podle místních právních předpisů. </w:t>
      </w:r>
    </w:p>
    <w:p w:rsidR="00715396" w:rsidRPr="00F75554" w:rsidRDefault="00715396" w:rsidP="00A07DE5">
      <w:pPr>
        <w:ind w:left="0" w:right="-318" w:firstLine="0"/>
        <w:rPr>
          <w:b/>
        </w:rPr>
      </w:pPr>
    </w:p>
    <w:p w:rsidR="00715396" w:rsidRPr="00F75554" w:rsidRDefault="00715396">
      <w:pPr>
        <w:rPr>
          <w:b/>
        </w:rPr>
      </w:pPr>
    </w:p>
    <w:p w:rsidR="00715396" w:rsidRPr="00F75554" w:rsidRDefault="00715396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715396" w:rsidRDefault="00715396">
      <w:pPr>
        <w:ind w:right="-318"/>
        <w:rPr>
          <w:i/>
          <w:iCs/>
          <w:szCs w:val="22"/>
        </w:rPr>
      </w:pPr>
    </w:p>
    <w:p w:rsidR="00FA5ACE" w:rsidRPr="006034DF" w:rsidRDefault="00715396" w:rsidP="00FA5ACE">
      <w:pPr>
        <w:ind w:right="-318"/>
      </w:pPr>
      <w:r>
        <w:rPr>
          <w:i/>
          <w:iCs/>
          <w:szCs w:val="22"/>
        </w:rPr>
        <w:t xml:space="preserve"> </w:t>
      </w:r>
      <w:r w:rsidR="00FA5ACE" w:rsidRPr="006034DF">
        <w:t>Září 2015</w:t>
      </w:r>
    </w:p>
    <w:p w:rsidR="00715396" w:rsidRPr="00FA5ACE" w:rsidRDefault="00715396">
      <w:pPr>
        <w:ind w:right="-318"/>
      </w:pPr>
    </w:p>
    <w:p w:rsidR="00715396" w:rsidRPr="00F75554" w:rsidRDefault="00715396">
      <w:pPr>
        <w:ind w:right="-318"/>
      </w:pPr>
    </w:p>
    <w:p w:rsidR="00715396" w:rsidRDefault="00715396">
      <w:pPr>
        <w:rPr>
          <w:b/>
        </w:rPr>
      </w:pPr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715396" w:rsidRDefault="00715396">
      <w:pPr>
        <w:rPr>
          <w:b/>
        </w:rPr>
      </w:pPr>
    </w:p>
    <w:p w:rsidR="00715396" w:rsidRPr="006249C7" w:rsidRDefault="00715396" w:rsidP="006249C7">
      <w:pPr>
        <w:ind w:left="0" w:firstLine="0"/>
      </w:pPr>
      <w:r w:rsidRPr="006249C7">
        <w:t>Vak 1 kg, 5 kg</w:t>
      </w:r>
      <w:r>
        <w:br/>
      </w:r>
      <w:r w:rsidRPr="00F75554">
        <w:t>Na trhu nemusí být všechny velikosti balení</w:t>
      </w:r>
      <w:r>
        <w:t>.</w:t>
      </w:r>
    </w:p>
    <w:p w:rsidR="005C0A18" w:rsidRDefault="005C0A18" w:rsidP="005C0A18">
      <w:pPr>
        <w:rPr>
          <w:b/>
        </w:rPr>
      </w:pPr>
    </w:p>
    <w:p w:rsidR="005C0A18" w:rsidRPr="00F75554" w:rsidRDefault="005C0A18" w:rsidP="005C0A18">
      <w:r>
        <w:t>Veterinární léčivý přípravek je vydáván pouze na předpis.</w:t>
      </w:r>
    </w:p>
    <w:p w:rsidR="00715396" w:rsidRPr="00F75554" w:rsidRDefault="00715396"/>
    <w:sectPr w:rsidR="00715396" w:rsidRPr="00F75554" w:rsidSect="00406E68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5E" w:rsidRDefault="000E095E">
      <w:r>
        <w:separator/>
      </w:r>
    </w:p>
  </w:endnote>
  <w:endnote w:type="continuationSeparator" w:id="0">
    <w:p w:rsidR="000E095E" w:rsidRDefault="000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00" w:rsidRDefault="00702000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702000" w:rsidRDefault="0070200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07DE5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00" w:rsidRDefault="00702000">
    <w:pPr>
      <w:pStyle w:val="Zpat"/>
      <w:tabs>
        <w:tab w:val="clear" w:pos="8930"/>
        <w:tab w:val="right" w:pos="8931"/>
      </w:tabs>
    </w:pPr>
  </w:p>
  <w:p w:rsidR="00702000" w:rsidRDefault="0070200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07D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5E" w:rsidRDefault="000E095E">
      <w:r>
        <w:separator/>
      </w:r>
    </w:p>
  </w:footnote>
  <w:footnote w:type="continuationSeparator" w:id="0">
    <w:p w:rsidR="000E095E" w:rsidRDefault="000E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00" w:rsidRDefault="007020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  <w:rPr>
        <w:rFonts w:cs="Times New Roman"/>
      </w:r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4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9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7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5"/>
  </w:num>
  <w:num w:numId="11">
    <w:abstractNumId w:val="36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9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40"/>
  </w:num>
  <w:num w:numId="39">
    <w:abstractNumId w:val="15"/>
  </w:num>
  <w:num w:numId="40">
    <w:abstractNumId w:val="5"/>
  </w:num>
  <w:num w:numId="41">
    <w:abstractNumId w:val="2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20F4D"/>
    <w:rsid w:val="00044181"/>
    <w:rsid w:val="00067640"/>
    <w:rsid w:val="0007437A"/>
    <w:rsid w:val="000A7089"/>
    <w:rsid w:val="000C0A81"/>
    <w:rsid w:val="000E095E"/>
    <w:rsid w:val="000E6D06"/>
    <w:rsid w:val="000F1AB7"/>
    <w:rsid w:val="000F6061"/>
    <w:rsid w:val="00107AA0"/>
    <w:rsid w:val="00116DD9"/>
    <w:rsid w:val="00116F84"/>
    <w:rsid w:val="00131907"/>
    <w:rsid w:val="00140775"/>
    <w:rsid w:val="001443DA"/>
    <w:rsid w:val="00152E20"/>
    <w:rsid w:val="001556FD"/>
    <w:rsid w:val="00155E9D"/>
    <w:rsid w:val="001652DE"/>
    <w:rsid w:val="00175CFD"/>
    <w:rsid w:val="001A24A9"/>
    <w:rsid w:val="001A5B3A"/>
    <w:rsid w:val="001E0872"/>
    <w:rsid w:val="001E1F34"/>
    <w:rsid w:val="001E5610"/>
    <w:rsid w:val="001F66B4"/>
    <w:rsid w:val="0020738F"/>
    <w:rsid w:val="00226E6C"/>
    <w:rsid w:val="00237A3E"/>
    <w:rsid w:val="00237B6D"/>
    <w:rsid w:val="0025393A"/>
    <w:rsid w:val="00275328"/>
    <w:rsid w:val="00294D9B"/>
    <w:rsid w:val="00296924"/>
    <w:rsid w:val="002B7702"/>
    <w:rsid w:val="002C4E18"/>
    <w:rsid w:val="002E6BF7"/>
    <w:rsid w:val="002E703B"/>
    <w:rsid w:val="00300674"/>
    <w:rsid w:val="00303679"/>
    <w:rsid w:val="00325956"/>
    <w:rsid w:val="00335046"/>
    <w:rsid w:val="003530DA"/>
    <w:rsid w:val="00381254"/>
    <w:rsid w:val="003873EF"/>
    <w:rsid w:val="003A5289"/>
    <w:rsid w:val="003A7224"/>
    <w:rsid w:val="003C0836"/>
    <w:rsid w:val="003C663E"/>
    <w:rsid w:val="003D29E7"/>
    <w:rsid w:val="003D4FDD"/>
    <w:rsid w:val="003E0D57"/>
    <w:rsid w:val="003E3E6C"/>
    <w:rsid w:val="003E66DD"/>
    <w:rsid w:val="003F4A06"/>
    <w:rsid w:val="003F7E7F"/>
    <w:rsid w:val="00401AB8"/>
    <w:rsid w:val="00403374"/>
    <w:rsid w:val="00406E68"/>
    <w:rsid w:val="00410FC4"/>
    <w:rsid w:val="00445750"/>
    <w:rsid w:val="00453076"/>
    <w:rsid w:val="00453EE6"/>
    <w:rsid w:val="00455F65"/>
    <w:rsid w:val="00464269"/>
    <w:rsid w:val="004654AC"/>
    <w:rsid w:val="004A4A2C"/>
    <w:rsid w:val="004A6C10"/>
    <w:rsid w:val="004D3940"/>
    <w:rsid w:val="004E33B0"/>
    <w:rsid w:val="004E4532"/>
    <w:rsid w:val="004F3604"/>
    <w:rsid w:val="005034B3"/>
    <w:rsid w:val="00525669"/>
    <w:rsid w:val="00554D84"/>
    <w:rsid w:val="005657D9"/>
    <w:rsid w:val="00577662"/>
    <w:rsid w:val="00592696"/>
    <w:rsid w:val="005C0A18"/>
    <w:rsid w:val="005C73EB"/>
    <w:rsid w:val="005E0B1E"/>
    <w:rsid w:val="005E3B1F"/>
    <w:rsid w:val="005E50A5"/>
    <w:rsid w:val="005F2E32"/>
    <w:rsid w:val="005F7FA2"/>
    <w:rsid w:val="00606E5D"/>
    <w:rsid w:val="006249C7"/>
    <w:rsid w:val="00627AFD"/>
    <w:rsid w:val="00646C45"/>
    <w:rsid w:val="0066009D"/>
    <w:rsid w:val="00672EF4"/>
    <w:rsid w:val="00682E55"/>
    <w:rsid w:val="00696227"/>
    <w:rsid w:val="006A2F72"/>
    <w:rsid w:val="006C3F0A"/>
    <w:rsid w:val="006C733F"/>
    <w:rsid w:val="006D2E0C"/>
    <w:rsid w:val="006D3CE2"/>
    <w:rsid w:val="006D4FCD"/>
    <w:rsid w:val="006E2117"/>
    <w:rsid w:val="006E66ED"/>
    <w:rsid w:val="006F09CF"/>
    <w:rsid w:val="006F387C"/>
    <w:rsid w:val="00702000"/>
    <w:rsid w:val="0070209F"/>
    <w:rsid w:val="00702C36"/>
    <w:rsid w:val="00715396"/>
    <w:rsid w:val="00717DDF"/>
    <w:rsid w:val="00725273"/>
    <w:rsid w:val="00730F7C"/>
    <w:rsid w:val="00736EE9"/>
    <w:rsid w:val="00742EB3"/>
    <w:rsid w:val="00743110"/>
    <w:rsid w:val="007547C8"/>
    <w:rsid w:val="0077087B"/>
    <w:rsid w:val="007A5610"/>
    <w:rsid w:val="007B0177"/>
    <w:rsid w:val="007C6C15"/>
    <w:rsid w:val="007F0B23"/>
    <w:rsid w:val="008012D1"/>
    <w:rsid w:val="008039B0"/>
    <w:rsid w:val="008043EC"/>
    <w:rsid w:val="0081008D"/>
    <w:rsid w:val="00870214"/>
    <w:rsid w:val="008758DA"/>
    <w:rsid w:val="0088105E"/>
    <w:rsid w:val="0088636A"/>
    <w:rsid w:val="00892C32"/>
    <w:rsid w:val="008963C9"/>
    <w:rsid w:val="008A1D73"/>
    <w:rsid w:val="008B1355"/>
    <w:rsid w:val="008C5915"/>
    <w:rsid w:val="008D06DB"/>
    <w:rsid w:val="008D34A8"/>
    <w:rsid w:val="008E1461"/>
    <w:rsid w:val="008F779B"/>
    <w:rsid w:val="00945D2D"/>
    <w:rsid w:val="00952E34"/>
    <w:rsid w:val="00953EB1"/>
    <w:rsid w:val="00955A6D"/>
    <w:rsid w:val="00976E1F"/>
    <w:rsid w:val="00976FEC"/>
    <w:rsid w:val="00981F80"/>
    <w:rsid w:val="00992B32"/>
    <w:rsid w:val="009D5C28"/>
    <w:rsid w:val="00A07DE5"/>
    <w:rsid w:val="00A121C4"/>
    <w:rsid w:val="00A219CA"/>
    <w:rsid w:val="00A304F8"/>
    <w:rsid w:val="00A33D05"/>
    <w:rsid w:val="00A36C50"/>
    <w:rsid w:val="00A60A84"/>
    <w:rsid w:val="00A94807"/>
    <w:rsid w:val="00A95BE3"/>
    <w:rsid w:val="00AF0F5F"/>
    <w:rsid w:val="00B1150B"/>
    <w:rsid w:val="00B251C7"/>
    <w:rsid w:val="00B41526"/>
    <w:rsid w:val="00B52AFE"/>
    <w:rsid w:val="00B55852"/>
    <w:rsid w:val="00B62DA0"/>
    <w:rsid w:val="00B65FE6"/>
    <w:rsid w:val="00B94B2C"/>
    <w:rsid w:val="00BA7E09"/>
    <w:rsid w:val="00BD0D80"/>
    <w:rsid w:val="00BD6DD5"/>
    <w:rsid w:val="00C009AF"/>
    <w:rsid w:val="00C27C63"/>
    <w:rsid w:val="00C420A0"/>
    <w:rsid w:val="00C709BE"/>
    <w:rsid w:val="00C719D2"/>
    <w:rsid w:val="00C75674"/>
    <w:rsid w:val="00C7574D"/>
    <w:rsid w:val="00C82DDD"/>
    <w:rsid w:val="00C8461A"/>
    <w:rsid w:val="00C8498E"/>
    <w:rsid w:val="00C9401A"/>
    <w:rsid w:val="00CA0601"/>
    <w:rsid w:val="00CA0A9E"/>
    <w:rsid w:val="00CB1ED6"/>
    <w:rsid w:val="00CF421C"/>
    <w:rsid w:val="00CF5161"/>
    <w:rsid w:val="00CF7CB3"/>
    <w:rsid w:val="00D042A0"/>
    <w:rsid w:val="00D0646E"/>
    <w:rsid w:val="00D26CEF"/>
    <w:rsid w:val="00D26EDA"/>
    <w:rsid w:val="00D26FFF"/>
    <w:rsid w:val="00D464B2"/>
    <w:rsid w:val="00D74844"/>
    <w:rsid w:val="00D86292"/>
    <w:rsid w:val="00D8668E"/>
    <w:rsid w:val="00DB67AD"/>
    <w:rsid w:val="00DD22C6"/>
    <w:rsid w:val="00DE2E3E"/>
    <w:rsid w:val="00DF1B51"/>
    <w:rsid w:val="00E05500"/>
    <w:rsid w:val="00E32C0F"/>
    <w:rsid w:val="00E73E87"/>
    <w:rsid w:val="00E97859"/>
    <w:rsid w:val="00EA67B0"/>
    <w:rsid w:val="00EA74C5"/>
    <w:rsid w:val="00EB45EB"/>
    <w:rsid w:val="00EB566F"/>
    <w:rsid w:val="00EC0BFB"/>
    <w:rsid w:val="00ED08CE"/>
    <w:rsid w:val="00F10A37"/>
    <w:rsid w:val="00F16315"/>
    <w:rsid w:val="00F51039"/>
    <w:rsid w:val="00F564C7"/>
    <w:rsid w:val="00F637CA"/>
    <w:rsid w:val="00F75554"/>
    <w:rsid w:val="00F81D2A"/>
    <w:rsid w:val="00F82DEC"/>
    <w:rsid w:val="00FA3D46"/>
    <w:rsid w:val="00FA4BEE"/>
    <w:rsid w:val="00FA5ACE"/>
    <w:rsid w:val="00FC0B09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68"/>
    <w:pPr>
      <w:ind w:left="567" w:hanging="567"/>
    </w:pPr>
    <w:rPr>
      <w:szCs w:val="20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E68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06E6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406E68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06E68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406E68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406E6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406E6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406E68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406E68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4440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4440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4440"/>
    <w:rPr>
      <w:rFonts w:asciiTheme="majorHAnsi" w:eastAsiaTheme="majorEastAsia" w:hAnsiTheme="majorHAnsi" w:cstheme="majorBidi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4440"/>
    <w:rPr>
      <w:rFonts w:asciiTheme="minorHAnsi" w:eastAsiaTheme="minorEastAsia" w:hAnsiTheme="minorHAnsi" w:cstheme="minorBidi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4440"/>
    <w:rPr>
      <w:rFonts w:asciiTheme="minorHAnsi" w:eastAsiaTheme="minorEastAsia" w:hAnsiTheme="minorHAnsi" w:cstheme="minorBidi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4440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4440"/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4440"/>
    <w:rPr>
      <w:rFonts w:asciiTheme="minorHAnsi" w:eastAsiaTheme="minorEastAsia" w:hAnsiTheme="minorHAnsi" w:cstheme="minorBidi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4440"/>
    <w:rPr>
      <w:rFonts w:asciiTheme="majorHAnsi" w:eastAsiaTheme="majorEastAsia" w:hAnsiTheme="majorHAnsi" w:cstheme="majorBidi"/>
      <w:lang w:val="cs-CZ" w:eastAsia="en-US"/>
    </w:rPr>
  </w:style>
  <w:style w:type="paragraph" w:styleId="Zhlav">
    <w:name w:val="header"/>
    <w:basedOn w:val="Normln"/>
    <w:link w:val="ZhlavChar"/>
    <w:uiPriority w:val="99"/>
    <w:rsid w:val="00406E6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4440"/>
    <w:rPr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406E6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44440"/>
    <w:rPr>
      <w:szCs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406E68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406E68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406E6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06E68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4440"/>
    <w:rPr>
      <w:sz w:val="20"/>
      <w:szCs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406E6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4440"/>
    <w:rPr>
      <w:szCs w:val="20"/>
      <w:lang w:val="cs-CZ" w:eastAsia="en-US"/>
    </w:rPr>
  </w:style>
  <w:style w:type="paragraph" w:styleId="Textvbloku">
    <w:name w:val="Block Text"/>
    <w:basedOn w:val="Normln"/>
    <w:uiPriority w:val="99"/>
    <w:rsid w:val="00406E68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406E68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4440"/>
    <w:rPr>
      <w:szCs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406E68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440"/>
    <w:rPr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406E6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40"/>
    <w:rPr>
      <w:sz w:val="20"/>
      <w:szCs w:val="20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406E68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406E68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44440"/>
    <w:rPr>
      <w:szCs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06E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440"/>
    <w:rPr>
      <w:sz w:val="20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406E68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44440"/>
    <w:rPr>
      <w:sz w:val="16"/>
      <w:szCs w:val="16"/>
      <w:lang w:val="cs-CZ" w:eastAsia="en-US"/>
    </w:rPr>
  </w:style>
  <w:style w:type="paragraph" w:customStyle="1" w:styleId="Bullet">
    <w:name w:val="Bullet"/>
    <w:basedOn w:val="Normln"/>
    <w:uiPriority w:val="99"/>
    <w:rsid w:val="00406E68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406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40"/>
    <w:rPr>
      <w:sz w:val="0"/>
      <w:szCs w:val="0"/>
      <w:lang w:val="cs-CZ" w:eastAsia="en-US"/>
    </w:rPr>
  </w:style>
  <w:style w:type="character" w:styleId="Hypertextovodkaz">
    <w:name w:val="Hyperlink"/>
    <w:basedOn w:val="Standardnpsmoodstavce"/>
    <w:uiPriority w:val="99"/>
    <w:rsid w:val="00406E68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406E68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406E68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406E68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uiPriority w:val="99"/>
    <w:rsid w:val="00406E68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406E68"/>
    <w:pPr>
      <w:numPr>
        <w:ilvl w:val="4"/>
      </w:numPr>
      <w:tabs>
        <w:tab w:val="num" w:pos="1440"/>
        <w:tab w:val="num" w:pos="3600"/>
      </w:tabs>
      <w:ind w:left="3600"/>
    </w:pPr>
  </w:style>
  <w:style w:type="paragraph" w:customStyle="1" w:styleId="Textbubliny1">
    <w:name w:val="Text bubliny1"/>
    <w:basedOn w:val="Normln"/>
    <w:uiPriority w:val="99"/>
    <w:semiHidden/>
    <w:rsid w:val="00406E6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406E68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4440"/>
    <w:rPr>
      <w:szCs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NewRoman,Italic" w:hAnsi="TimesNewRoman,Italic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E44440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E68"/>
    <w:pPr>
      <w:ind w:left="567" w:hanging="567"/>
    </w:pPr>
    <w:rPr>
      <w:szCs w:val="20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E68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406E6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406E68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406E68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uiPriority w:val="99"/>
    <w:qFormat/>
    <w:rsid w:val="00406E68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link w:val="Nadpis6Char"/>
    <w:uiPriority w:val="99"/>
    <w:qFormat/>
    <w:rsid w:val="00406E6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9"/>
    <w:qFormat/>
    <w:rsid w:val="00406E6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9"/>
    <w:qFormat/>
    <w:rsid w:val="00406E68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406E68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4440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4440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44440"/>
    <w:rPr>
      <w:rFonts w:asciiTheme="majorHAnsi" w:eastAsiaTheme="majorEastAsia" w:hAnsiTheme="majorHAnsi" w:cstheme="majorBidi"/>
      <w:b/>
      <w:bCs/>
      <w:sz w:val="26"/>
      <w:szCs w:val="26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4440"/>
    <w:rPr>
      <w:rFonts w:asciiTheme="minorHAnsi" w:eastAsiaTheme="minorEastAsia" w:hAnsiTheme="minorHAnsi" w:cstheme="minorBidi"/>
      <w:b/>
      <w:bCs/>
      <w:sz w:val="28"/>
      <w:szCs w:val="28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44440"/>
    <w:rPr>
      <w:rFonts w:asciiTheme="minorHAnsi" w:eastAsiaTheme="minorEastAsia" w:hAnsiTheme="minorHAnsi" w:cstheme="minorBidi"/>
      <w:b/>
      <w:bCs/>
      <w:i/>
      <w:iCs/>
      <w:sz w:val="26"/>
      <w:szCs w:val="26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44440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44440"/>
    <w:rPr>
      <w:rFonts w:asciiTheme="minorHAnsi" w:eastAsiaTheme="minorEastAsia" w:hAnsiTheme="minorHAnsi" w:cstheme="minorBidi"/>
      <w:sz w:val="24"/>
      <w:szCs w:val="24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44440"/>
    <w:rPr>
      <w:rFonts w:asciiTheme="minorHAnsi" w:eastAsiaTheme="minorEastAsia" w:hAnsiTheme="minorHAnsi" w:cstheme="minorBidi"/>
      <w:i/>
      <w:iCs/>
      <w:sz w:val="24"/>
      <w:szCs w:val="24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44440"/>
    <w:rPr>
      <w:rFonts w:asciiTheme="majorHAnsi" w:eastAsiaTheme="majorEastAsia" w:hAnsiTheme="majorHAnsi" w:cstheme="majorBidi"/>
      <w:lang w:val="cs-CZ" w:eastAsia="en-US"/>
    </w:rPr>
  </w:style>
  <w:style w:type="paragraph" w:styleId="Zhlav">
    <w:name w:val="header"/>
    <w:basedOn w:val="Normln"/>
    <w:link w:val="ZhlavChar"/>
    <w:uiPriority w:val="99"/>
    <w:rsid w:val="00406E6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44440"/>
    <w:rPr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406E6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44440"/>
    <w:rPr>
      <w:szCs w:val="20"/>
      <w:lang w:val="cs-CZ" w:eastAsia="en-US"/>
    </w:rPr>
  </w:style>
  <w:style w:type="paragraph" w:styleId="Obsah9">
    <w:name w:val="toc 9"/>
    <w:basedOn w:val="Normln"/>
    <w:next w:val="Normln"/>
    <w:uiPriority w:val="99"/>
    <w:semiHidden/>
    <w:rsid w:val="00406E68"/>
    <w:pPr>
      <w:ind w:left="1760"/>
    </w:pPr>
  </w:style>
  <w:style w:type="character" w:styleId="Odkaznavysvtlivky">
    <w:name w:val="endnote reference"/>
    <w:basedOn w:val="Standardnpsmoodstavce"/>
    <w:uiPriority w:val="99"/>
    <w:semiHidden/>
    <w:rsid w:val="00406E68"/>
    <w:rPr>
      <w:rFonts w:cs="Times New Roman"/>
      <w:vertAlign w:val="superscript"/>
    </w:rPr>
  </w:style>
  <w:style w:type="character" w:styleId="Znakapoznpodarou">
    <w:name w:val="footnote reference"/>
    <w:basedOn w:val="Standardnpsmoodstavce"/>
    <w:uiPriority w:val="99"/>
    <w:semiHidden/>
    <w:rsid w:val="00406E68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406E68"/>
    <w:pPr>
      <w:jc w:val="both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4440"/>
    <w:rPr>
      <w:sz w:val="20"/>
      <w:szCs w:val="20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406E68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4440"/>
    <w:rPr>
      <w:szCs w:val="20"/>
      <w:lang w:val="cs-CZ" w:eastAsia="en-US"/>
    </w:rPr>
  </w:style>
  <w:style w:type="paragraph" w:styleId="Textvbloku">
    <w:name w:val="Block Text"/>
    <w:basedOn w:val="Normln"/>
    <w:uiPriority w:val="99"/>
    <w:rsid w:val="00406E68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uiPriority w:val="99"/>
    <w:rsid w:val="00406E68"/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4440"/>
    <w:rPr>
      <w:szCs w:val="20"/>
      <w:lang w:val="cs-CZ" w:eastAsia="en-US"/>
    </w:rPr>
  </w:style>
  <w:style w:type="paragraph" w:styleId="Zkladntext3">
    <w:name w:val="Body Text 3"/>
    <w:basedOn w:val="Normln"/>
    <w:link w:val="Zkladntext3Char"/>
    <w:uiPriority w:val="99"/>
    <w:rsid w:val="00406E68"/>
    <w:pPr>
      <w:ind w:right="113"/>
      <w:jc w:val="both"/>
    </w:pPr>
    <w:rPr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44440"/>
    <w:rPr>
      <w:sz w:val="16"/>
      <w:szCs w:val="16"/>
      <w:lang w:val="cs-CZ" w:eastAsia="en-US"/>
    </w:rPr>
  </w:style>
  <w:style w:type="paragraph" w:styleId="Textvysvtlivek">
    <w:name w:val="endnote text"/>
    <w:basedOn w:val="Normln"/>
    <w:link w:val="TextvysvtlivekChar"/>
    <w:uiPriority w:val="99"/>
    <w:semiHidden/>
    <w:rsid w:val="00406E6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4440"/>
    <w:rPr>
      <w:sz w:val="20"/>
      <w:szCs w:val="20"/>
      <w:lang w:val="cs-CZ" w:eastAsia="en-US"/>
    </w:rPr>
  </w:style>
  <w:style w:type="character" w:styleId="Odkaznakoment">
    <w:name w:val="annotation reference"/>
    <w:basedOn w:val="Standardnpsmoodstavce"/>
    <w:uiPriority w:val="99"/>
    <w:semiHidden/>
    <w:rsid w:val="00406E68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406E68"/>
    <w:pPr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44440"/>
    <w:rPr>
      <w:szCs w:val="20"/>
      <w:lang w:val="cs-CZ"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06E68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4440"/>
    <w:rPr>
      <w:sz w:val="20"/>
      <w:szCs w:val="20"/>
      <w:lang w:val="cs-CZ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406E68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44440"/>
    <w:rPr>
      <w:sz w:val="16"/>
      <w:szCs w:val="16"/>
      <w:lang w:val="cs-CZ" w:eastAsia="en-US"/>
    </w:rPr>
  </w:style>
  <w:style w:type="paragraph" w:customStyle="1" w:styleId="Bullet">
    <w:name w:val="Bullet"/>
    <w:basedOn w:val="Normln"/>
    <w:uiPriority w:val="99"/>
    <w:rsid w:val="00406E68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rsid w:val="00406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440"/>
    <w:rPr>
      <w:sz w:val="0"/>
      <w:szCs w:val="0"/>
      <w:lang w:val="cs-CZ" w:eastAsia="en-US"/>
    </w:rPr>
  </w:style>
  <w:style w:type="character" w:styleId="Hypertextovodkaz">
    <w:name w:val="Hyperlink"/>
    <w:basedOn w:val="Standardnpsmoodstavce"/>
    <w:uiPriority w:val="99"/>
    <w:rsid w:val="00406E68"/>
    <w:rPr>
      <w:rFonts w:cs="Times New Roman"/>
      <w:color w:val="0000FF"/>
      <w:u w:val="single"/>
    </w:rPr>
  </w:style>
  <w:style w:type="paragraph" w:customStyle="1" w:styleId="AHeader1">
    <w:name w:val="AHeader 1"/>
    <w:basedOn w:val="Normln"/>
    <w:uiPriority w:val="99"/>
    <w:rsid w:val="00406E68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uiPriority w:val="99"/>
    <w:rsid w:val="00406E68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uiPriority w:val="99"/>
    <w:rsid w:val="00406E68"/>
    <w:pPr>
      <w:numPr>
        <w:ilvl w:val="2"/>
      </w:numPr>
      <w:tabs>
        <w:tab w:val="num" w:pos="2160"/>
      </w:tabs>
      <w:ind w:left="2160"/>
    </w:pPr>
  </w:style>
  <w:style w:type="paragraph" w:customStyle="1" w:styleId="AHeader2abc">
    <w:name w:val="AHeader 2 abc"/>
    <w:basedOn w:val="AHeader3"/>
    <w:uiPriority w:val="99"/>
    <w:rsid w:val="00406E68"/>
    <w:pPr>
      <w:numPr>
        <w:ilvl w:val="3"/>
      </w:numPr>
      <w:tabs>
        <w:tab w:val="num" w:pos="2880"/>
      </w:tabs>
      <w:ind w:left="288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uiPriority w:val="99"/>
    <w:rsid w:val="00406E68"/>
    <w:pPr>
      <w:numPr>
        <w:ilvl w:val="4"/>
      </w:numPr>
      <w:tabs>
        <w:tab w:val="num" w:pos="1440"/>
        <w:tab w:val="num" w:pos="3600"/>
      </w:tabs>
      <w:ind w:left="3600"/>
    </w:pPr>
  </w:style>
  <w:style w:type="paragraph" w:customStyle="1" w:styleId="Textbubliny1">
    <w:name w:val="Text bubliny1"/>
    <w:basedOn w:val="Normln"/>
    <w:uiPriority w:val="99"/>
    <w:semiHidden/>
    <w:rsid w:val="00406E6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rsid w:val="00406E68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155E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4440"/>
    <w:rPr>
      <w:szCs w:val="20"/>
      <w:lang w:val="cs-CZ" w:eastAsia="en-US"/>
    </w:rPr>
  </w:style>
  <w:style w:type="table" w:styleId="Mkatabulky">
    <w:name w:val="Table Grid"/>
    <w:basedOn w:val="Normlntabulka"/>
    <w:uiPriority w:val="99"/>
    <w:rsid w:val="00155E9D"/>
    <w:pPr>
      <w:tabs>
        <w:tab w:val="left" w:pos="567"/>
      </w:tabs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uiPriority w:val="99"/>
    <w:rsid w:val="00953EB1"/>
    <w:pPr>
      <w:spacing w:after="140" w:line="280" w:lineRule="atLeast"/>
      <w:ind w:left="0" w:firstLine="0"/>
    </w:pPr>
    <w:rPr>
      <w:rFonts w:ascii="Verdana" w:hAnsi="Verdana" w:cs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uiPriority w:val="99"/>
    <w:rsid w:val="00953EB1"/>
    <w:rPr>
      <w:rFonts w:ascii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uiPriority w:val="99"/>
    <w:semiHidden/>
    <w:rsid w:val="00953EB1"/>
    <w:rPr>
      <w:rFonts w:ascii="Verdana" w:eastAsia="SimSun" w:hAnsi="Verdana"/>
      <w:sz w:val="18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NewRoman,Italic" w:hAnsi="TimesNewRoman,Italic" w:cs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uiPriority w:val="99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character" w:customStyle="1" w:styleId="NormalAgencyChar">
    <w:name w:val="Normal (Agency) Char"/>
    <w:link w:val="NormalAgency"/>
    <w:uiPriority w:val="99"/>
    <w:locked/>
    <w:rsid w:val="00953EB1"/>
    <w:rPr>
      <w:rFonts w:ascii="Verdana" w:eastAsia="Times New Roman" w:hAnsi="Verdana"/>
      <w:sz w:val="18"/>
      <w:lang w:val="en-GB" w:eastAsia="en-GB"/>
    </w:rPr>
  </w:style>
  <w:style w:type="paragraph" w:customStyle="1" w:styleId="Normalold">
    <w:name w:val="Normal (old)"/>
    <w:basedOn w:val="Normln"/>
    <w:uiPriority w:val="99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uiPriority w:val="99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uiPriority w:val="99"/>
    <w:rsid w:val="00B52AFE"/>
    <w:pPr>
      <w:spacing w:after="260"/>
    </w:pPr>
    <w:rPr>
      <w:color w:val="auto"/>
    </w:rPr>
  </w:style>
  <w:style w:type="numbering" w:customStyle="1" w:styleId="BulletsAgency">
    <w:name w:val="Bullets (Agency)"/>
    <w:rsid w:val="00E44440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493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4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F44B-71FF-4836-B5D6-2A2E4CD3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1255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 8 cs</vt:lpstr>
      <vt:lpstr>CS_qrd_veterinary template_v 8 cs</vt:lpstr>
    </vt:vector>
  </TitlesOfParts>
  <Company>Translation Centre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lastModifiedBy>Neugebauerová Kateřina</cp:lastModifiedBy>
  <cp:revision>16</cp:revision>
  <cp:lastPrinted>2015-09-03T08:13:00Z</cp:lastPrinted>
  <dcterms:created xsi:type="dcterms:W3CDTF">2015-08-03T10:16:00Z</dcterms:created>
  <dcterms:modified xsi:type="dcterms:W3CDTF">2015-09-03T08:13:00Z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