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117CBC" w:rsidRPr="00CF2582" w:rsidRDefault="00117CBC" w:rsidP="00117CBC">
      <w:pPr>
        <w:spacing w:after="0" w:line="259" w:lineRule="auto"/>
        <w:ind w:right="3319"/>
        <w:jc w:val="right"/>
        <w:rPr>
          <w:lang w:val="cs-CZ"/>
        </w:rPr>
      </w:pPr>
      <w:r w:rsidRPr="00CF2582">
        <w:rPr>
          <w:b/>
          <w:bCs/>
          <w:lang w:val="cs-CZ"/>
        </w:rPr>
        <w:t>B.</w:t>
      </w:r>
      <w:r w:rsidRPr="00CF2582">
        <w:rPr>
          <w:lang w:val="cs-CZ"/>
        </w:rPr>
        <w:t xml:space="preserve"> </w:t>
      </w:r>
      <w:r w:rsidRPr="00CF2582">
        <w:rPr>
          <w:b/>
          <w:bCs/>
          <w:lang w:val="cs-CZ"/>
        </w:rPr>
        <w:t>PŘÍBALOVÁ INFORMACE</w:t>
      </w:r>
      <w:r w:rsidRPr="00CF2582">
        <w:rPr>
          <w:lang w:val="cs-CZ"/>
        </w:rPr>
        <w:t xml:space="preserve"> </w:t>
      </w:r>
      <w:r w:rsidRPr="00CF2582">
        <w:rPr>
          <w:lang w:val="cs-CZ"/>
        </w:rPr>
        <w:br w:type="page"/>
      </w:r>
    </w:p>
    <w:p w:rsidR="00117CBC" w:rsidRPr="00CF2582" w:rsidRDefault="00117CBC" w:rsidP="00117CBC">
      <w:pPr>
        <w:spacing w:after="0" w:line="259" w:lineRule="auto"/>
        <w:jc w:val="center"/>
        <w:rPr>
          <w:lang w:val="cs-CZ"/>
        </w:rPr>
      </w:pPr>
      <w:r w:rsidRPr="00CF2582">
        <w:rPr>
          <w:b/>
          <w:bCs/>
          <w:lang w:val="cs-CZ"/>
        </w:rPr>
        <w:lastRenderedPageBreak/>
        <w:t>PŘÍBALOVÁ INFORMACE: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right="1"/>
        <w:jc w:val="center"/>
        <w:rPr>
          <w:lang w:val="cs-CZ"/>
        </w:rPr>
      </w:pPr>
      <w:proofErr w:type="spellStart"/>
      <w:r w:rsidRPr="00CF2582">
        <w:rPr>
          <w:b/>
          <w:bCs/>
          <w:lang w:val="cs-CZ"/>
        </w:rPr>
        <w:t>Finilac</w:t>
      </w:r>
      <w:proofErr w:type="spellEnd"/>
      <w:r w:rsidRPr="00CF2582">
        <w:rPr>
          <w:b/>
          <w:bCs/>
          <w:lang w:val="cs-CZ"/>
        </w:rPr>
        <w:t xml:space="preserve"> 50 </w:t>
      </w:r>
      <w:proofErr w:type="spellStart"/>
      <w:r w:rsidR="00A733A1" w:rsidRPr="00A733A1">
        <w:rPr>
          <w:b/>
          <w:bCs/>
          <w:lang w:val="cs-CZ"/>
        </w:rPr>
        <w:t>μg</w:t>
      </w:r>
      <w:proofErr w:type="spellEnd"/>
      <w:r w:rsidRPr="00CF2582">
        <w:rPr>
          <w:b/>
          <w:bCs/>
          <w:lang w:val="cs-CZ"/>
        </w:rPr>
        <w:t>/ml perorální roztok pro psy a kočky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</w:tabs>
        <w:ind w:left="567" w:right="0" w:hanging="582"/>
        <w:rPr>
          <w:lang w:val="cs-CZ"/>
        </w:rPr>
      </w:pPr>
      <w:r w:rsidRPr="00CF2582">
        <w:rPr>
          <w:bCs/>
          <w:lang w:val="cs-CZ"/>
        </w:rPr>
        <w:t>1.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JMÉNO A ADRESA DRŽITELE ROZHODNUTÍ O REGISTRACI A DRŽITELE POVOLENÍ K VÝROBĚ ODPOVĚDNÉHO ZA UVOLNĚNÍ ŠARŽE, POKUD SE NESHODUJE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u w:val="single"/>
          <w:lang w:val="cs-CZ"/>
        </w:rPr>
        <w:t>Držitel rozhodnutí o registraci</w:t>
      </w:r>
      <w:r w:rsidRPr="00CF2582">
        <w:rPr>
          <w:lang w:val="cs-CZ"/>
        </w:rPr>
        <w:t xml:space="preserve">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Le</w:t>
      </w:r>
      <w:proofErr w:type="spellEnd"/>
      <w:r w:rsidRPr="00CF2582">
        <w:rPr>
          <w:lang w:val="cs-CZ"/>
        </w:rPr>
        <w:t xml:space="preserve"> Vet. </w:t>
      </w:r>
      <w:proofErr w:type="spellStart"/>
      <w:proofErr w:type="gramStart"/>
      <w:r w:rsidRPr="00CF2582">
        <w:rPr>
          <w:lang w:val="cs-CZ"/>
        </w:rPr>
        <w:t>Beheer</w:t>
      </w:r>
      <w:proofErr w:type="spellEnd"/>
      <w:r w:rsidRPr="00CF2582">
        <w:rPr>
          <w:lang w:val="cs-CZ"/>
        </w:rPr>
        <w:t xml:space="preserve"> B.V.</w:t>
      </w:r>
      <w:proofErr w:type="gram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Wilgenweg</w:t>
      </w:r>
      <w:proofErr w:type="spellEnd"/>
      <w:r w:rsidRPr="00CF2582">
        <w:rPr>
          <w:lang w:val="cs-CZ"/>
        </w:rPr>
        <w:t xml:space="preserve"> 7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3421 TV </w:t>
      </w:r>
      <w:proofErr w:type="spellStart"/>
      <w:r w:rsidRPr="00CF2582">
        <w:rPr>
          <w:lang w:val="cs-CZ"/>
        </w:rPr>
        <w:t>Oudewater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Nizozemsko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u w:val="single"/>
          <w:lang w:val="cs-CZ"/>
        </w:rPr>
        <w:t>Výrobce odpovědný za uvolnění šarže</w:t>
      </w:r>
      <w:r w:rsidRPr="00CF2582">
        <w:rPr>
          <w:lang w:val="cs-CZ"/>
        </w:rPr>
        <w:t xml:space="preserve">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Dreluso</w:t>
      </w:r>
      <w:proofErr w:type="spellEnd"/>
      <w:r w:rsidRPr="00CF2582">
        <w:rPr>
          <w:lang w:val="cs-CZ"/>
        </w:rPr>
        <w:t xml:space="preserve"> </w:t>
      </w:r>
      <w:proofErr w:type="spellStart"/>
      <w:r w:rsidRPr="00CF2582">
        <w:rPr>
          <w:lang w:val="cs-CZ"/>
        </w:rPr>
        <w:t>Pharmazeutika</w:t>
      </w:r>
      <w:proofErr w:type="spellEnd"/>
      <w:r w:rsidRPr="00CF2582">
        <w:rPr>
          <w:lang w:val="cs-CZ"/>
        </w:rPr>
        <w:t xml:space="preserve"> Dr. </w:t>
      </w:r>
      <w:proofErr w:type="spellStart"/>
      <w:r w:rsidRPr="00CF2582">
        <w:rPr>
          <w:lang w:val="cs-CZ"/>
        </w:rPr>
        <w:t>Elten</w:t>
      </w:r>
      <w:proofErr w:type="spellEnd"/>
      <w:r w:rsidRPr="00CF2582">
        <w:rPr>
          <w:lang w:val="cs-CZ"/>
        </w:rPr>
        <w:t xml:space="preserve"> &amp; </w:t>
      </w:r>
      <w:proofErr w:type="spellStart"/>
      <w:r w:rsidRPr="00CF2582">
        <w:rPr>
          <w:lang w:val="cs-CZ"/>
        </w:rPr>
        <w:t>Sohn</w:t>
      </w:r>
      <w:proofErr w:type="spellEnd"/>
      <w:r w:rsidRPr="00CF2582">
        <w:rPr>
          <w:lang w:val="cs-CZ"/>
        </w:rPr>
        <w:t xml:space="preserve"> </w:t>
      </w:r>
      <w:proofErr w:type="spellStart"/>
      <w:r w:rsidRPr="00CF2582">
        <w:rPr>
          <w:lang w:val="cs-CZ"/>
        </w:rPr>
        <w:t>GmbH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Steinbringsweg</w:t>
      </w:r>
      <w:proofErr w:type="spellEnd"/>
      <w:r w:rsidRPr="00CF2582">
        <w:rPr>
          <w:lang w:val="cs-CZ"/>
        </w:rPr>
        <w:t xml:space="preserve"> 20, </w:t>
      </w:r>
      <w:proofErr w:type="spellStart"/>
      <w:r w:rsidRPr="00CF2582">
        <w:rPr>
          <w:lang w:val="cs-CZ"/>
        </w:rPr>
        <w:t>Südstr</w:t>
      </w:r>
      <w:proofErr w:type="spellEnd"/>
      <w:r w:rsidRPr="00CF2582">
        <w:rPr>
          <w:lang w:val="cs-CZ"/>
        </w:rPr>
        <w:t>. 10 u. 15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31840 </w:t>
      </w:r>
      <w:proofErr w:type="spellStart"/>
      <w:r w:rsidRPr="00CF2582">
        <w:rPr>
          <w:lang w:val="cs-CZ"/>
        </w:rPr>
        <w:t>Hessisch</w:t>
      </w:r>
      <w:proofErr w:type="spellEnd"/>
      <w:r w:rsidRPr="00CF2582">
        <w:rPr>
          <w:lang w:val="cs-CZ"/>
        </w:rPr>
        <w:t xml:space="preserve"> </w:t>
      </w:r>
      <w:proofErr w:type="spellStart"/>
      <w:r w:rsidRPr="00CF2582">
        <w:rPr>
          <w:lang w:val="cs-CZ"/>
        </w:rPr>
        <w:t>Oldendorf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Německo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3357"/>
        </w:tabs>
        <w:ind w:left="-15" w:right="0" w:firstLine="0"/>
        <w:rPr>
          <w:lang w:val="cs-CZ"/>
        </w:rPr>
      </w:pPr>
      <w:r w:rsidRPr="00CF2582">
        <w:rPr>
          <w:bCs/>
          <w:lang w:val="cs-CZ"/>
        </w:rPr>
        <w:t>2.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NÁZEV VETERINÁRNÍHO LÉČIVÉHO PŘÍPRAVKU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Finilac</w:t>
      </w:r>
      <w:proofErr w:type="spellEnd"/>
      <w:r w:rsidRPr="00CF2582">
        <w:rPr>
          <w:lang w:val="cs-CZ"/>
        </w:rPr>
        <w:t xml:space="preserve"> 50 </w:t>
      </w:r>
      <w:proofErr w:type="spellStart"/>
      <w:r w:rsidR="00A733A1" w:rsidRPr="00A733A1">
        <w:rPr>
          <w:lang w:val="cs-CZ"/>
        </w:rPr>
        <w:t>μg</w:t>
      </w:r>
      <w:proofErr w:type="spellEnd"/>
      <w:r w:rsidRPr="00CF2582">
        <w:rPr>
          <w:lang w:val="cs-CZ"/>
        </w:rPr>
        <w:t>/ml perorální roztok pro psy a kočky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Cabergolinum</w:t>
      </w:r>
      <w:proofErr w:type="spellEnd"/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4528"/>
        </w:tabs>
        <w:ind w:left="-15" w:right="0" w:firstLine="0"/>
        <w:rPr>
          <w:lang w:val="cs-CZ"/>
        </w:rPr>
      </w:pPr>
      <w:r w:rsidRPr="00CF2582">
        <w:rPr>
          <w:bCs/>
          <w:lang w:val="cs-CZ"/>
        </w:rPr>
        <w:t>3.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OBSAH LÉČIVÝCH A OSTATNÍCH LÁTEK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1 ml obsahuje: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b/>
          <w:bCs/>
          <w:lang w:val="cs-CZ"/>
        </w:rPr>
        <w:t xml:space="preserve"> </w:t>
      </w:r>
    </w:p>
    <w:p w:rsidR="00117CBC" w:rsidRPr="00CF2582" w:rsidRDefault="00117CBC" w:rsidP="00117CBC">
      <w:pPr>
        <w:spacing w:line="251" w:lineRule="auto"/>
        <w:ind w:left="-5"/>
        <w:rPr>
          <w:lang w:val="cs-CZ"/>
        </w:rPr>
      </w:pPr>
      <w:r w:rsidRPr="00CF2582">
        <w:rPr>
          <w:b/>
          <w:bCs/>
          <w:lang w:val="cs-CZ"/>
        </w:rPr>
        <w:t>Léčivá látka: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Cabergolinum</w:t>
      </w:r>
      <w:proofErr w:type="spellEnd"/>
      <w:r w:rsidRPr="00CF2582">
        <w:rPr>
          <w:lang w:val="cs-CZ"/>
        </w:rPr>
        <w:t xml:space="preserve"> 50 </w:t>
      </w:r>
      <w:proofErr w:type="spellStart"/>
      <w:r w:rsidR="00A733A1" w:rsidRPr="00A733A1">
        <w:rPr>
          <w:lang w:val="cs-CZ"/>
        </w:rPr>
        <w:t>μg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kern w:val="14"/>
          <w:lang w:val="cs-CZ"/>
        </w:rPr>
      </w:pPr>
      <w:r w:rsidRPr="00CF2582">
        <w:rPr>
          <w:color w:val="auto"/>
          <w:kern w:val="14"/>
          <w:lang w:val="cs-CZ"/>
        </w:rPr>
        <w:t xml:space="preserve">Čirý, bezbarvý až světle hnědý roztok.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1384"/>
        </w:tabs>
        <w:ind w:left="-15" w:right="0" w:firstLine="0"/>
        <w:rPr>
          <w:lang w:val="cs-CZ"/>
        </w:rPr>
      </w:pPr>
      <w:r w:rsidRPr="00CF2582">
        <w:rPr>
          <w:bCs/>
          <w:lang w:val="cs-CZ"/>
        </w:rPr>
        <w:t>4.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INDIKACE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41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>Léčba falešné březosti u fen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>Potlačení laktace u fen a koček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tabs>
          <w:tab w:val="left" w:pos="567"/>
          <w:tab w:val="center" w:pos="1785"/>
        </w:tabs>
        <w:spacing w:line="251" w:lineRule="auto"/>
        <w:ind w:left="-15" w:firstLine="0"/>
        <w:rPr>
          <w:lang w:val="cs-CZ"/>
        </w:rPr>
      </w:pPr>
      <w:r w:rsidRPr="00CF2582">
        <w:rPr>
          <w:b/>
          <w:bCs/>
          <w:lang w:val="cs-CZ"/>
        </w:rPr>
        <w:t>5.</w:t>
      </w:r>
      <w:r w:rsidRPr="00CF2582">
        <w:rPr>
          <w:lang w:val="cs-CZ"/>
        </w:rPr>
        <w:tab/>
      </w:r>
      <w:r w:rsidRPr="00CF2582">
        <w:rPr>
          <w:b/>
          <w:bCs/>
          <w:lang w:val="cs-CZ"/>
        </w:rPr>
        <w:t>KONTRAINDIKACE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>Nepoužívat u březích zvířat, protože přípravek může způsobit potrat.</w:t>
      </w:r>
    </w:p>
    <w:p w:rsidR="00117CBC" w:rsidRPr="00CF2582" w:rsidRDefault="00117CBC" w:rsidP="00117CBC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Nepoužívat s antagonisty dopaminu.</w:t>
      </w:r>
    </w:p>
    <w:p w:rsidR="00117CBC" w:rsidRPr="00CF2582" w:rsidRDefault="00117CBC" w:rsidP="00117CBC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Nepoužívat v případě přecitlivělosti na léčivou látku nebo na některou z pomocných látek.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</w:p>
    <w:p w:rsidR="00117CBC" w:rsidRPr="00CF2582" w:rsidRDefault="00117CBC" w:rsidP="00117CBC">
      <w:pPr>
        <w:pStyle w:val="Nadpis1"/>
        <w:tabs>
          <w:tab w:val="left" w:pos="567"/>
          <w:tab w:val="center" w:pos="1771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6.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NEŽÁDOUCÍ ÚČINKY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proofErr w:type="spellStart"/>
      <w:r w:rsidRPr="00CF2582">
        <w:rPr>
          <w:color w:val="auto"/>
          <w:lang w:val="cs-CZ"/>
        </w:rPr>
        <w:t>Kabergolin</w:t>
      </w:r>
      <w:proofErr w:type="spellEnd"/>
      <w:r w:rsidRPr="00CF2582">
        <w:rPr>
          <w:color w:val="auto"/>
          <w:lang w:val="cs-CZ"/>
        </w:rPr>
        <w:t xml:space="preserve"> může </w:t>
      </w:r>
      <w:r w:rsidR="002B4CE2" w:rsidRPr="00CF2582">
        <w:rPr>
          <w:color w:val="auto"/>
          <w:lang w:val="cs-CZ"/>
        </w:rPr>
        <w:t xml:space="preserve">u léčených zvířat </w:t>
      </w:r>
      <w:r w:rsidRPr="00CF2582">
        <w:rPr>
          <w:color w:val="auto"/>
          <w:lang w:val="cs-CZ"/>
        </w:rPr>
        <w:t>vyvolat přechodně hypotenzi (nízký krevní tlak) a může mít za následek výraznější hypotenzi u zvířat současně léčených léky na hypotenzi (léky na snížení krevního tlaku) nebo přímo po operaci, kdy je zvíře pod vlivem anestetik.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Možné nežádoucí účinky jsou: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lastRenderedPageBreak/>
        <w:t>poruchy spánku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anorexie (ztráta chuti k jídlu)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zvracení.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Tyto nežádoucí účinky jsou obvykle mírné a přechodné povahy.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Zvracení se obvykle vyskytuje pouze po prvním podání. V takovém případě by se léčba neměla ukončovat, neboť je nepravděpodobné, že by se zvracení po dalších podáních znovu objevilo.</w:t>
      </w:r>
    </w:p>
    <w:p w:rsidR="00117CBC" w:rsidRPr="00CF2582" w:rsidRDefault="00117CBC" w:rsidP="00117CBC">
      <w:pPr>
        <w:autoSpaceDE w:val="0"/>
        <w:autoSpaceDN w:val="0"/>
        <w:adjustRightInd w:val="0"/>
        <w:spacing w:line="240" w:lineRule="auto"/>
        <w:rPr>
          <w:bCs/>
          <w:color w:val="auto"/>
          <w:lang w:val="cs-CZ"/>
        </w:rPr>
      </w:pP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 xml:space="preserve">Ve velmi vzácných případech se mohou objevit alergické reakce, jako například edém (zadržování tekutin), </w:t>
      </w:r>
      <w:proofErr w:type="spellStart"/>
      <w:r w:rsidRPr="00CF2582">
        <w:rPr>
          <w:color w:val="auto"/>
          <w:lang w:val="cs-CZ"/>
        </w:rPr>
        <w:t>urtikarie</w:t>
      </w:r>
      <w:proofErr w:type="spellEnd"/>
      <w:r w:rsidRPr="00CF2582">
        <w:rPr>
          <w:color w:val="auto"/>
          <w:lang w:val="cs-CZ"/>
        </w:rPr>
        <w:t xml:space="preserve"> (kopřivka), </w:t>
      </w:r>
      <w:proofErr w:type="spellStart"/>
      <w:r w:rsidRPr="00CF2582">
        <w:rPr>
          <w:color w:val="auto"/>
          <w:lang w:val="cs-CZ"/>
        </w:rPr>
        <w:t>dermatitída</w:t>
      </w:r>
      <w:proofErr w:type="spellEnd"/>
      <w:r w:rsidRPr="00CF2582">
        <w:rPr>
          <w:color w:val="auto"/>
          <w:lang w:val="cs-CZ"/>
        </w:rPr>
        <w:t xml:space="preserve"> (zánět kůže) a pruritus (svědění).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Ve ve</w:t>
      </w:r>
      <w:r>
        <w:rPr>
          <w:color w:val="auto"/>
          <w:lang w:val="cs-CZ"/>
        </w:rPr>
        <w:t>l</w:t>
      </w:r>
      <w:r w:rsidRPr="00CF2582">
        <w:rPr>
          <w:color w:val="auto"/>
          <w:lang w:val="cs-CZ"/>
        </w:rPr>
        <w:t>mi vzácných případech se mohou objevit neurologické příznaky, jako je ospalost, svalový třes, ataxie (ztráta svalové koordinace), hyperaktivita a křeče (záchvaty).</w:t>
      </w:r>
    </w:p>
    <w:p w:rsidR="00117CBC" w:rsidRPr="00CF2582" w:rsidRDefault="00117CBC" w:rsidP="00117CBC">
      <w:pPr>
        <w:spacing w:line="240" w:lineRule="auto"/>
        <w:jc w:val="both"/>
        <w:rPr>
          <w:color w:val="auto"/>
          <w:lang w:val="cs-CZ"/>
        </w:rPr>
      </w:pPr>
      <w:r w:rsidRPr="00CF2582">
        <w:rPr>
          <w:color w:val="auto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1515"/>
        </w:tabs>
        <w:spacing w:line="251" w:lineRule="auto"/>
        <w:ind w:left="-15" w:firstLine="0"/>
        <w:rPr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7.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CÍLOVÝ DRUH ZVÍŘAT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Psi, kočky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4700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8.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 xml:space="preserve">DÁVKOVÁNÍ PRO KAŽDÝ DRUH, </w:t>
      </w:r>
      <w:proofErr w:type="gramStart"/>
      <w:r w:rsidRPr="00CF2582">
        <w:rPr>
          <w:bCs/>
          <w:color w:val="auto"/>
          <w:lang w:val="cs-CZ"/>
        </w:rPr>
        <w:t>CESTA(Y) A ZPŮSOB</w:t>
      </w:r>
      <w:proofErr w:type="gramEnd"/>
      <w:r w:rsidRPr="00CF2582">
        <w:rPr>
          <w:bCs/>
          <w:color w:val="auto"/>
          <w:lang w:val="cs-CZ"/>
        </w:rPr>
        <w:t xml:space="preserve"> PODÁNÍ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Přípravek se podává perorálně </w:t>
      </w:r>
      <w:proofErr w:type="gramStart"/>
      <w:r w:rsidRPr="00CF2582">
        <w:rPr>
          <w:rFonts w:ascii="Times New Roman" w:hAnsi="Times New Roman" w:cs="Times New Roman"/>
          <w:color w:val="auto"/>
          <w:lang w:val="cs-CZ"/>
        </w:rPr>
        <w:t>buď</w:t>
      </w:r>
      <w:proofErr w:type="gramEnd"/>
      <w:r w:rsidRPr="00CF2582">
        <w:rPr>
          <w:rFonts w:ascii="Times New Roman" w:hAnsi="Times New Roman" w:cs="Times New Roman"/>
          <w:color w:val="auto"/>
          <w:lang w:val="cs-CZ"/>
        </w:rPr>
        <w:t xml:space="preserve"> přímo do úst</w:t>
      </w:r>
      <w:r w:rsidR="002B4CE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nebo smíchaný s </w:t>
      </w:r>
      <w:proofErr w:type="gramStart"/>
      <w:r w:rsidRPr="00CF2582">
        <w:rPr>
          <w:rFonts w:ascii="Times New Roman" w:hAnsi="Times New Roman" w:cs="Times New Roman"/>
          <w:color w:val="auto"/>
          <w:lang w:val="cs-CZ"/>
        </w:rPr>
        <w:t>potravou.</w:t>
      </w:r>
      <w:proofErr w:type="gramEnd"/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Dávkování je 0,1 ml/kg živé hmotnosti (což odpovídá 5 mikrogramům 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kabergolinu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/kg živé hmotnosti) jednou denně po dobu 4–6 po sobě jdoucích dnů, v závislosti na závažnosti klinického stavu.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V případě, že příznaky nevymizí po jednom cyklu léčby nebo v případě, že se opakují po ukončení léčby, může se cyklus léčby zopakovat.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numPr>
          <w:ilvl w:val="0"/>
          <w:numId w:val="1"/>
        </w:numPr>
        <w:spacing w:line="251" w:lineRule="auto"/>
        <w:ind w:hanging="567"/>
        <w:rPr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POKYNY PRO SPRÁVNÉ PODÁNÍ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  <w:r w:rsidRPr="00CF2582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B70E2C5" wp14:editId="64B89B32">
            <wp:simplePos x="0" y="0"/>
            <wp:positionH relativeFrom="column">
              <wp:posOffset>3124200</wp:posOffset>
            </wp:positionH>
            <wp:positionV relativeFrom="paragraph">
              <wp:posOffset>75565</wp:posOffset>
            </wp:positionV>
            <wp:extent cx="2733675" cy="2701925"/>
            <wp:effectExtent l="0" t="0" r="0" b="3175"/>
            <wp:wrapTight wrapText="bothSides">
              <wp:wrapPolygon edited="0">
                <wp:start x="0" y="0"/>
                <wp:lineTo x="0" y="21473"/>
                <wp:lineTo x="20772" y="21473"/>
                <wp:lineTo x="20772" y="0"/>
                <wp:lineTo x="0" y="0"/>
              </wp:wrapPolygon>
            </wp:wrapTight>
            <wp:docPr id="1" name="Afbeelding 1" descr="C:\Users\Kitty Ruigrok\AppData\Local\Microsoft\Windows\INetCache\Content.Outlook\IUHMW2J8\001-140021illu_spuit_dop_ENde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ty Ruigrok\AppData\Local\Microsoft\Windows\INetCache\Content.Outlook\IUHMW2J8\001-140021illu_spuit_dop_ENdef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6" r="-2264"/>
                    <a:stretch/>
                  </pic:blipFill>
                  <pic:spPr bwMode="auto">
                    <a:xfrm>
                      <a:off x="0" y="0"/>
                      <a:ext cx="273367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Odstraňte šroubovací víčko.</w:t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Připojte dodávanou injekční stříkačku na lahvičku.</w:t>
      </w:r>
    </w:p>
    <w:p w:rsidR="00117CBC" w:rsidRPr="00CF2582" w:rsidRDefault="00117CBC" w:rsidP="00117CBC">
      <w:pPr>
        <w:pStyle w:val="Odstavecseseznamem"/>
        <w:rPr>
          <w:lang w:val="cs-CZ"/>
        </w:rPr>
      </w:pP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Otočte lahvičku dnem vzhůru, aby se nasála tekutina.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numPr>
          <w:ilvl w:val="0"/>
          <w:numId w:val="1"/>
        </w:numPr>
        <w:spacing w:line="251" w:lineRule="auto"/>
        <w:ind w:hanging="567"/>
        <w:rPr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OCHRANNÁ LHŮTA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Není určeno pro potravinová zvířata.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2433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11.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ZVLÁŠTNÍ OPATŘENÍ PRO UCHOVÁVÁNÍ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FF7017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lastRenderedPageBreak/>
        <w:t xml:space="preserve">Uchovávat mimo dosah dětí. </w:t>
      </w:r>
    </w:p>
    <w:p w:rsidR="00117CBC" w:rsidRPr="00CF2582" w:rsidRDefault="00117CBC" w:rsidP="00A733A1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Uchovávejte při teplotě do 30 °C. </w:t>
      </w:r>
    </w:p>
    <w:p w:rsidR="00117CBC" w:rsidRPr="00CF2582" w:rsidRDefault="00117CBC" w:rsidP="00A733A1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Uchovávejte lahvičku ve vnější krabičce, aby byla chráněna před světlem.</w:t>
      </w:r>
    </w:p>
    <w:p w:rsidR="00117CBC" w:rsidRPr="00CF2582" w:rsidRDefault="00117CBC" w:rsidP="00A733A1">
      <w:pPr>
        <w:numPr>
          <w:ilvl w:val="12"/>
          <w:numId w:val="0"/>
        </w:numPr>
        <w:spacing w:line="240" w:lineRule="auto"/>
        <w:rPr>
          <w:color w:val="auto"/>
          <w:lang w:val="cs-CZ"/>
        </w:rPr>
      </w:pPr>
      <w:proofErr w:type="gramStart"/>
      <w:r w:rsidRPr="00CF2582">
        <w:rPr>
          <w:color w:val="auto"/>
          <w:lang w:val="cs-CZ"/>
        </w:rPr>
        <w:t>Nepoužívejte  tento</w:t>
      </w:r>
      <w:proofErr w:type="gramEnd"/>
      <w:r w:rsidRPr="00CF2582">
        <w:rPr>
          <w:color w:val="auto"/>
          <w:lang w:val="cs-CZ"/>
        </w:rPr>
        <w:t xml:space="preserve"> veterinární léčivý přípravek po uplynutí doby použitelnost uvedené na krabičce po EXP. Doba použitelnosti končí posledním dnem v uvedeném měsíci.</w:t>
      </w:r>
    </w:p>
    <w:p w:rsidR="00117CBC" w:rsidRPr="00CF2582" w:rsidRDefault="00117CBC" w:rsidP="00A733A1">
      <w:pPr>
        <w:numPr>
          <w:ilvl w:val="12"/>
          <w:numId w:val="0"/>
        </w:numPr>
        <w:spacing w:line="240" w:lineRule="auto"/>
        <w:rPr>
          <w:color w:val="auto"/>
          <w:lang w:val="cs-CZ"/>
        </w:rPr>
      </w:pPr>
      <w:r w:rsidRPr="00CF2582">
        <w:rPr>
          <w:color w:val="auto"/>
          <w:lang w:val="cs-CZ"/>
        </w:rPr>
        <w:t>Doba použitelnosti po prvním otevření lahvičky: 28 dní.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1759"/>
        </w:tabs>
        <w:spacing w:line="251" w:lineRule="auto"/>
        <w:ind w:left="-15" w:firstLine="0"/>
        <w:rPr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12.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ZVLÁŠTNÍ UPOZORNĚNÍ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b/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Zvláštní upozornění pro každý cílový druh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>Dodatečná podpůrná léčba by měla zahrnovat omezení příjmu vody a sacharidů a zvýšení pohybu.</w:t>
      </w:r>
    </w:p>
    <w:p w:rsidR="00117CBC" w:rsidRPr="00CF2582" w:rsidRDefault="00117CBC" w:rsidP="00117CBC">
      <w:pPr>
        <w:spacing w:after="0" w:line="259" w:lineRule="auto"/>
        <w:ind w:left="0" w:firstLine="0"/>
        <w:rPr>
          <w:b/>
          <w:color w:val="auto"/>
          <w:lang w:val="cs-CZ"/>
        </w:rPr>
      </w:pPr>
      <w:r w:rsidRPr="00CF2582">
        <w:rPr>
          <w:b/>
          <w:bCs/>
          <w:color w:val="auto"/>
          <w:u w:color="000000"/>
          <w:lang w:val="cs-CZ"/>
        </w:rPr>
        <w:t>Zvláštní opatření určené osobám, které podávají veterinární léčivý přípravek</w:t>
      </w:r>
      <w:r w:rsidRPr="00CF2582">
        <w:rPr>
          <w:b/>
          <w:bCs/>
          <w:color w:val="auto"/>
          <w:lang w:val="cs-CZ"/>
        </w:rPr>
        <w:t xml:space="preserve"> </w:t>
      </w:r>
      <w:r w:rsidRPr="00CF2582">
        <w:rPr>
          <w:b/>
          <w:bCs/>
          <w:color w:val="auto"/>
          <w:u w:color="000000"/>
          <w:lang w:val="cs-CZ"/>
        </w:rPr>
        <w:t>zvířatům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Po použití si umyjte ruce. </w:t>
      </w:r>
    </w:p>
    <w:p w:rsidR="00117CBC" w:rsidRPr="00CF2582" w:rsidRDefault="00C84017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>Zabraňte</w:t>
      </w:r>
      <w:r w:rsidRPr="001C546E">
        <w:rPr>
          <w:rFonts w:ascii="Times New Roman" w:hAnsi="Times New Roman" w:cs="Times New Roman"/>
          <w:color w:val="auto"/>
          <w:lang w:val="cs-CZ"/>
        </w:rPr>
        <w:t xml:space="preserve"> kontaktu </w:t>
      </w:r>
      <w:r>
        <w:rPr>
          <w:rFonts w:ascii="Times New Roman" w:hAnsi="Times New Roman" w:cs="Times New Roman"/>
          <w:color w:val="auto"/>
          <w:lang w:val="cs-CZ"/>
        </w:rPr>
        <w:t>s pokožkou</w:t>
      </w:r>
      <w:r w:rsidRPr="001C546E">
        <w:rPr>
          <w:rFonts w:ascii="Times New Roman" w:hAnsi="Times New Roman" w:cs="Times New Roman"/>
          <w:color w:val="auto"/>
          <w:lang w:val="cs-CZ"/>
        </w:rPr>
        <w:t xml:space="preserve"> a očima</w:t>
      </w:r>
      <w:r>
        <w:rPr>
          <w:rFonts w:ascii="Times New Roman" w:hAnsi="Times New Roman" w:cs="Times New Roman"/>
          <w:color w:val="auto"/>
          <w:lang w:val="cs-CZ"/>
        </w:rPr>
        <w:t>.</w:t>
      </w:r>
      <w:r w:rsidRPr="001C546E" w:rsidDel="001C546E">
        <w:rPr>
          <w:rFonts w:ascii="Times New Roman" w:hAnsi="Times New Roman" w:cs="Times New Roman"/>
          <w:color w:val="auto"/>
          <w:lang w:val="cs-CZ"/>
        </w:rPr>
        <w:t xml:space="preserve"> 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V případě potřísnění ihned omyjte.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Ženy v plodném věku a kojící ženy by neměly s </w:t>
      </w:r>
      <w:r w:rsidR="00C84017">
        <w:rPr>
          <w:rFonts w:ascii="Times New Roman" w:hAnsi="Times New Roman" w:cs="Times New Roman"/>
          <w:color w:val="auto"/>
          <w:lang w:val="cs-CZ"/>
        </w:rPr>
        <w:t>přípravkem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manipulovat nebo by měly při podávání přípravku nosit nepropustné rukavice.</w:t>
      </w:r>
    </w:p>
    <w:p w:rsidR="00117CBC" w:rsidRPr="00CF2582" w:rsidRDefault="00C84017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Lidé se známou přecitlivělostí na 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kabergolin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nebo na kteroukoli složku přípravku by se měli vyhnout kontaktu s tímto přípravkem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Nenechávejte bez dozoru naplněné injekční stříkačky</w:t>
      </w:r>
      <w:r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v přítomnosti dětí. V případě náhodného pozření, zejména v případě dětí, vyhledejte ihned lékařskou pomoc a ukažte příbalovou informaci nebo etiketu praktickému lékaři. </w:t>
      </w:r>
    </w:p>
    <w:p w:rsidR="00117CBC" w:rsidRPr="00CF2582" w:rsidRDefault="00117CBC" w:rsidP="00117CBC">
      <w:pPr>
        <w:pStyle w:val="Nadpis2"/>
        <w:tabs>
          <w:tab w:val="center" w:pos="2371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Použití v době březosti a laktace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proofErr w:type="spellStart"/>
      <w:r w:rsidRPr="00CF2582">
        <w:rPr>
          <w:color w:val="auto"/>
          <w:lang w:val="cs-CZ"/>
        </w:rPr>
        <w:t>Kabergolin</w:t>
      </w:r>
      <w:proofErr w:type="spellEnd"/>
      <w:r w:rsidRPr="00CF2582">
        <w:rPr>
          <w:color w:val="auto"/>
          <w:lang w:val="cs-CZ"/>
        </w:rPr>
        <w:t xml:space="preserve"> má schopnost vyvolat potrat v pozdějších fázích březosti a neměl by být používán u březích zvířat. Měla by být správně provedena diferenciální analýza mezi březostí a falešnou březostí.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Přípravek je určen k potlačení laktace: inhibice sekrece prolaktinu </w:t>
      </w:r>
      <w:proofErr w:type="spellStart"/>
      <w:r w:rsidRPr="00CF2582">
        <w:rPr>
          <w:color w:val="auto"/>
          <w:lang w:val="cs-CZ"/>
        </w:rPr>
        <w:t>kabergolinem</w:t>
      </w:r>
      <w:proofErr w:type="spellEnd"/>
      <w:r w:rsidRPr="00CF2582">
        <w:rPr>
          <w:color w:val="auto"/>
          <w:lang w:val="cs-CZ"/>
        </w:rPr>
        <w:t xml:space="preserve"> má za následek rychlé ukončení laktace a snížení velikosti mléčné žlázy. Přípravek se nesmí používat u kojících zvířat, pokud není žádoucí potlačení laktace.</w:t>
      </w:r>
    </w:p>
    <w:p w:rsidR="00117CBC" w:rsidRPr="00CF2582" w:rsidRDefault="00117CBC" w:rsidP="00117CBC">
      <w:pPr>
        <w:pStyle w:val="Nadpis2"/>
        <w:tabs>
          <w:tab w:val="center" w:pos="3978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Interakce s dalšími léčivými přípravky a další formy interakce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Vzhledem k tomu, že </w:t>
      </w:r>
      <w:proofErr w:type="spellStart"/>
      <w:r w:rsidRPr="00CF2582">
        <w:rPr>
          <w:color w:val="auto"/>
          <w:lang w:val="cs-CZ"/>
        </w:rPr>
        <w:t>kabergolin</w:t>
      </w:r>
      <w:proofErr w:type="spellEnd"/>
      <w:r w:rsidRPr="00CF2582">
        <w:rPr>
          <w:color w:val="auto"/>
          <w:lang w:val="cs-CZ"/>
        </w:rPr>
        <w:t xml:space="preserve"> uplatňuje svůj terapeutický účinek přímou stimulací dopaminových receptorů, </w:t>
      </w:r>
      <w:r w:rsidR="002B4CE2">
        <w:rPr>
          <w:color w:val="auto"/>
          <w:lang w:val="cs-CZ"/>
        </w:rPr>
        <w:t>přípravek</w:t>
      </w:r>
      <w:r w:rsidRPr="00CF2582">
        <w:rPr>
          <w:color w:val="auto"/>
          <w:lang w:val="cs-CZ"/>
        </w:rPr>
        <w:t xml:space="preserve"> by neměl být podáván současně s dopamin-antagonistickými léky (jako jsou například </w:t>
      </w:r>
      <w:proofErr w:type="spellStart"/>
      <w:r w:rsidRPr="00CF2582">
        <w:rPr>
          <w:color w:val="auto"/>
          <w:lang w:val="cs-CZ"/>
        </w:rPr>
        <w:t>fenotiaziny</w:t>
      </w:r>
      <w:proofErr w:type="spellEnd"/>
      <w:r w:rsidRPr="00CF2582">
        <w:rPr>
          <w:color w:val="auto"/>
          <w:lang w:val="cs-CZ"/>
        </w:rPr>
        <w:t xml:space="preserve">, </w:t>
      </w:r>
      <w:proofErr w:type="spellStart"/>
      <w:r w:rsidRPr="00CF2582">
        <w:rPr>
          <w:color w:val="auto"/>
          <w:lang w:val="cs-CZ"/>
        </w:rPr>
        <w:t>butyrofenony</w:t>
      </w:r>
      <w:proofErr w:type="spellEnd"/>
      <w:r w:rsidRPr="00CF2582">
        <w:rPr>
          <w:color w:val="auto"/>
          <w:lang w:val="cs-CZ"/>
        </w:rPr>
        <w:t xml:space="preserve">, </w:t>
      </w:r>
      <w:proofErr w:type="spellStart"/>
      <w:r w:rsidRPr="00CF2582">
        <w:rPr>
          <w:color w:val="auto"/>
          <w:lang w:val="cs-CZ"/>
        </w:rPr>
        <w:t>metoklopramid</w:t>
      </w:r>
      <w:proofErr w:type="spellEnd"/>
      <w:r w:rsidRPr="00CF2582">
        <w:rPr>
          <w:color w:val="auto"/>
          <w:lang w:val="cs-CZ"/>
        </w:rPr>
        <w:t>), protože by mohl snížit inhibiční účinky prolaktinu. Viz také bod Kontraindikace.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Vzhledem k tomu, že 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kabergolin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může vyvolat přechodnou hypotenzi (nízký krevní tlak), přípravek se nesmí používat u zvířat současně léčených léky na hypotenzi (léky na snížení krevního tlaku). Viz také bod Nežádoucí účinky.</w:t>
      </w:r>
    </w:p>
    <w:p w:rsidR="00117CBC" w:rsidRPr="00CF2582" w:rsidRDefault="00117CBC" w:rsidP="00117CBC">
      <w:pPr>
        <w:pStyle w:val="Nadpis2"/>
        <w:ind w:left="-5" w:right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Předávkování (symptomy, první pomoc, antidota), pokud je to nutné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7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Experimentální údaje ukazují, že jedna nadměrná dávka </w:t>
      </w:r>
      <w:proofErr w:type="spellStart"/>
      <w:r w:rsidRPr="00CF2582">
        <w:rPr>
          <w:color w:val="auto"/>
          <w:lang w:val="cs-CZ"/>
        </w:rPr>
        <w:t>kabergolinu</w:t>
      </w:r>
      <w:proofErr w:type="spellEnd"/>
      <w:r w:rsidRPr="00CF2582">
        <w:rPr>
          <w:color w:val="auto"/>
          <w:lang w:val="cs-CZ"/>
        </w:rPr>
        <w:t xml:space="preserve"> může mít za následek zvýšenou pravděpodobnost zvracení po léčbě a případně zvýšení hypotenze po léčbě.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K odstranění neabsorbovaného léku je třeba provést celková podpůrná opatření a, je-li to nutné, udržovat krevní tlak. Za </w:t>
      </w:r>
      <w:proofErr w:type="spellStart"/>
      <w:r w:rsidRPr="00CF2582">
        <w:rPr>
          <w:color w:val="auto"/>
          <w:lang w:val="cs-CZ"/>
        </w:rPr>
        <w:t>antidotum</w:t>
      </w:r>
      <w:proofErr w:type="spellEnd"/>
      <w:r w:rsidRPr="00CF2582">
        <w:rPr>
          <w:color w:val="auto"/>
          <w:lang w:val="cs-CZ"/>
        </w:rPr>
        <w:t xml:space="preserve"> lze považovat parenterální podání dopamin-antagonistických léků, například </w:t>
      </w:r>
      <w:proofErr w:type="spellStart"/>
      <w:r w:rsidRPr="00CF2582">
        <w:rPr>
          <w:color w:val="auto"/>
          <w:lang w:val="cs-CZ"/>
        </w:rPr>
        <w:t>metoklopramidu</w:t>
      </w:r>
      <w:proofErr w:type="spellEnd"/>
      <w:r w:rsidRPr="00CF2582">
        <w:rPr>
          <w:color w:val="auto"/>
          <w:lang w:val="cs-CZ"/>
        </w:rPr>
        <w:t>.</w:t>
      </w:r>
    </w:p>
    <w:p w:rsidR="00117CBC" w:rsidRPr="00CF2582" w:rsidRDefault="00117CBC" w:rsidP="00117CBC">
      <w:pPr>
        <w:tabs>
          <w:tab w:val="center" w:pos="1361"/>
        </w:tabs>
        <w:spacing w:line="251" w:lineRule="auto"/>
        <w:ind w:left="-15" w:firstLine="0"/>
        <w:rPr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Inkompatibility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Tento veterinární léčivý přípravek nesmí být mísen s jinými vodnými roztoky (např. mlékem).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ind w:left="553" w:right="0" w:hanging="568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13.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ZVLÁŠTNÍ OPATŘENÍ PRO ZNEŠKODŇOVÁNÍ NEPOUŽITÝCH PŘÍPRAVKŮ NEBO ODPADU, POKUD JE JICH TŘEBA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Všechen nepoužitý veterinární léčivý přípravek nebo odpad, který pochází z tohoto přípravku, musí být likvidován podle místních právních předpisů.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tabs>
          <w:tab w:val="left" w:pos="567"/>
          <w:tab w:val="center" w:pos="4098"/>
        </w:tabs>
        <w:spacing w:line="251" w:lineRule="auto"/>
        <w:ind w:left="-15" w:firstLine="0"/>
        <w:rPr>
          <w:color w:val="auto"/>
          <w:lang w:val="cs-CZ"/>
        </w:rPr>
      </w:pPr>
      <w:r w:rsidRPr="00CF2582">
        <w:rPr>
          <w:b/>
          <w:bCs/>
          <w:color w:val="auto"/>
          <w:lang w:val="cs-CZ"/>
        </w:rPr>
        <w:t>14.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DATUM POSLEDNÍ REVIZE PŘÍBALOVÉ INFORMACE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  <w:r w:rsidR="00FF7017">
        <w:rPr>
          <w:color w:val="auto"/>
          <w:lang w:val="cs-CZ"/>
        </w:rPr>
        <w:t>Březen 2016</w:t>
      </w:r>
      <w:bookmarkStart w:id="0" w:name="_GoBack"/>
      <w:bookmarkEnd w:id="0"/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lastRenderedPageBreak/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1807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15.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DALŠÍ INFORMACE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703D5F" w:rsidRPr="00FF7017" w:rsidRDefault="00703D5F" w:rsidP="00703D5F">
      <w:pPr>
        <w:rPr>
          <w:lang w:val="cs-CZ"/>
        </w:rPr>
      </w:pPr>
      <w:r w:rsidRPr="00FF7017">
        <w:rPr>
          <w:lang w:val="cs-CZ"/>
        </w:rPr>
        <w:t>Pouze pro zvířata.</w:t>
      </w:r>
    </w:p>
    <w:p w:rsidR="00703D5F" w:rsidRPr="00FF7017" w:rsidRDefault="00703D5F" w:rsidP="00703D5F">
      <w:pPr>
        <w:rPr>
          <w:lang w:val="cs-CZ"/>
        </w:rPr>
      </w:pPr>
      <w:r w:rsidRPr="00FF7017">
        <w:rPr>
          <w:lang w:val="cs-CZ"/>
        </w:rPr>
        <w:t>Veterinární léčivý přípravek je vydáván pouze na předpis.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3 ml (v lahvičce o </w:t>
      </w:r>
      <w:r w:rsidR="0044570D">
        <w:rPr>
          <w:rFonts w:ascii="Times New Roman" w:hAnsi="Times New Roman" w:cs="Times New Roman"/>
          <w:color w:val="auto"/>
          <w:lang w:val="cs-CZ"/>
        </w:rPr>
        <w:t>objemu</w:t>
      </w:r>
      <w:r w:rsidR="0044570D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5 ml), 10 ml, 15 ml, 25 ml a 50 ml lahvička z hnědého skla, typu </w:t>
      </w:r>
      <w:proofErr w:type="gramStart"/>
      <w:r w:rsidRPr="00CF2582">
        <w:rPr>
          <w:rFonts w:ascii="Times New Roman" w:hAnsi="Times New Roman" w:cs="Times New Roman"/>
          <w:color w:val="auto"/>
          <w:lang w:val="cs-CZ"/>
        </w:rPr>
        <w:t>III  uzavřené</w:t>
      </w:r>
      <w:proofErr w:type="gramEnd"/>
      <w:r w:rsidRPr="00CF2582">
        <w:rPr>
          <w:rFonts w:ascii="Times New Roman" w:hAnsi="Times New Roman" w:cs="Times New Roman"/>
          <w:color w:val="auto"/>
          <w:lang w:val="cs-CZ"/>
        </w:rPr>
        <w:t xml:space="preserve"> kuželovým adaptérem ‚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Luer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slip‘ injekční stříkačky (polyetylen s nízkou hustotou) a šroubovacím</w:t>
      </w:r>
      <w:r w:rsidR="00A733A1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víčkem (polyetylen s vysokou hustotou). Lahvičky jsou baleny v kartónové krabičce.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Plastové injekční stříkačky o velikosti 1 ml a 2,5 ml jsou součástí všech velikostí balení.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Na trhu nemusí být všechny velikosti balení.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ind w:left="-5"/>
        <w:rPr>
          <w:color w:val="auto"/>
          <w:lang w:val="cs-CZ"/>
        </w:rPr>
      </w:pP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B10D85" w:rsidRPr="00FF7017" w:rsidRDefault="00B10D85">
      <w:pPr>
        <w:rPr>
          <w:lang w:val="cs-CZ"/>
        </w:rPr>
      </w:pPr>
    </w:p>
    <w:sectPr w:rsidR="00B10D85" w:rsidRPr="00FF7017" w:rsidSect="0020521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139" w:right="1411" w:bottom="1146" w:left="1418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1A" w:rsidRDefault="00EC781A">
      <w:pPr>
        <w:spacing w:after="0" w:line="240" w:lineRule="auto"/>
      </w:pPr>
      <w:r>
        <w:separator/>
      </w:r>
    </w:p>
  </w:endnote>
  <w:endnote w:type="continuationSeparator" w:id="0">
    <w:p w:rsidR="00EC781A" w:rsidRDefault="00EC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017" w:rsidRPr="00FF7017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1A" w:rsidRDefault="00EC781A">
      <w:pPr>
        <w:spacing w:after="0" w:line="240" w:lineRule="auto"/>
      </w:pPr>
      <w:r>
        <w:separator/>
      </w:r>
    </w:p>
  </w:footnote>
  <w:footnote w:type="continuationSeparator" w:id="0">
    <w:p w:rsidR="00EC781A" w:rsidRDefault="00EC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D3" w:rsidRPr="00597ED3" w:rsidRDefault="00597ED3">
    <w:pPr>
      <w:pStyle w:val="Zhlav"/>
      <w:rPr>
        <w:lang w:val="cs-CZ"/>
      </w:rPr>
    </w:pPr>
    <w:r>
      <w:rPr>
        <w:lang w:val="cs-CZ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A6B"/>
    <w:multiLevelType w:val="hybridMultilevel"/>
    <w:tmpl w:val="5576072C"/>
    <w:lvl w:ilvl="0" w:tplc="77509682">
      <w:start w:val="9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6D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4B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8F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64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1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A1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2A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E82DE8"/>
    <w:multiLevelType w:val="hybridMultilevel"/>
    <w:tmpl w:val="629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0EB"/>
    <w:multiLevelType w:val="hybridMultilevel"/>
    <w:tmpl w:val="44C0E1D0"/>
    <w:lvl w:ilvl="0" w:tplc="1898039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91"/>
    <w:rsid w:val="000D5299"/>
    <w:rsid w:val="0011001F"/>
    <w:rsid w:val="00117CBC"/>
    <w:rsid w:val="001C0515"/>
    <w:rsid w:val="002B4CE2"/>
    <w:rsid w:val="0044570D"/>
    <w:rsid w:val="00597ED3"/>
    <w:rsid w:val="00703D5F"/>
    <w:rsid w:val="0076595B"/>
    <w:rsid w:val="00900E14"/>
    <w:rsid w:val="00A733A1"/>
    <w:rsid w:val="00AD6F1C"/>
    <w:rsid w:val="00B10D85"/>
    <w:rsid w:val="00B17EDE"/>
    <w:rsid w:val="00C84017"/>
    <w:rsid w:val="00EC781A"/>
    <w:rsid w:val="00F13AE9"/>
    <w:rsid w:val="00FE4A9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BC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Nadpis1">
    <w:name w:val="heading 1"/>
    <w:next w:val="Normln"/>
    <w:link w:val="Nadpis1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Nadpis2">
    <w:name w:val="heading 2"/>
    <w:next w:val="Normln"/>
    <w:link w:val="Nadpis2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customStyle="1" w:styleId="LOQblauw">
    <w:name w:val="LOQ blauw"/>
    <w:basedOn w:val="Normln"/>
    <w:link w:val="LOQblauwChar"/>
    <w:qFormat/>
    <w:rsid w:val="00117CBC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  <w:lang w:val="en-US" w:eastAsia="en-US"/>
    </w:rPr>
  </w:style>
  <w:style w:type="character" w:customStyle="1" w:styleId="LOQblauwChar">
    <w:name w:val="LOQ blauw Char"/>
    <w:link w:val="LOQblauw"/>
    <w:rsid w:val="00117CBC"/>
    <w:rPr>
      <w:rFonts w:ascii="Times-Roman" w:eastAsia="Times New Roman" w:hAnsi="Times-Roman" w:cs="Times-Roman"/>
      <w:color w:val="353EF9"/>
      <w:lang w:val="en-US"/>
    </w:rPr>
  </w:style>
  <w:style w:type="paragraph" w:styleId="Odstavecseseznamem">
    <w:name w:val="List Paragraph"/>
    <w:basedOn w:val="Normln"/>
    <w:uiPriority w:val="34"/>
    <w:qFormat/>
    <w:rsid w:val="00117CBC"/>
    <w:pPr>
      <w:spacing w:after="0" w:line="240" w:lineRule="auto"/>
      <w:ind w:left="720" w:firstLine="0"/>
    </w:pPr>
    <w:rPr>
      <w:rFonts w:ascii="Calibri" w:eastAsiaTheme="minorHAnsi" w:hAnsi="Calibr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ED3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5F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BC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Nadpis1">
    <w:name w:val="heading 1"/>
    <w:next w:val="Normln"/>
    <w:link w:val="Nadpis1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Nadpis2">
    <w:name w:val="heading 2"/>
    <w:next w:val="Normln"/>
    <w:link w:val="Nadpis2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customStyle="1" w:styleId="LOQblauw">
    <w:name w:val="LOQ blauw"/>
    <w:basedOn w:val="Normln"/>
    <w:link w:val="LOQblauwChar"/>
    <w:qFormat/>
    <w:rsid w:val="00117CBC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  <w:lang w:val="en-US" w:eastAsia="en-US"/>
    </w:rPr>
  </w:style>
  <w:style w:type="character" w:customStyle="1" w:styleId="LOQblauwChar">
    <w:name w:val="LOQ blauw Char"/>
    <w:link w:val="LOQblauw"/>
    <w:rsid w:val="00117CBC"/>
    <w:rPr>
      <w:rFonts w:ascii="Times-Roman" w:eastAsia="Times New Roman" w:hAnsi="Times-Roman" w:cs="Times-Roman"/>
      <w:color w:val="353EF9"/>
      <w:lang w:val="en-US"/>
    </w:rPr>
  </w:style>
  <w:style w:type="paragraph" w:styleId="Odstavecseseznamem">
    <w:name w:val="List Paragraph"/>
    <w:basedOn w:val="Normln"/>
    <w:uiPriority w:val="34"/>
    <w:qFormat/>
    <w:rsid w:val="00117CBC"/>
    <w:pPr>
      <w:spacing w:after="0" w:line="240" w:lineRule="auto"/>
      <w:ind w:left="720" w:firstLine="0"/>
    </w:pPr>
    <w:rPr>
      <w:rFonts w:ascii="Calibri" w:eastAsiaTheme="minorHAnsi" w:hAnsi="Calibr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ED3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5F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Neugebauerová Kateřina</cp:lastModifiedBy>
  <cp:revision>11</cp:revision>
  <cp:lastPrinted>2016-03-16T12:28:00Z</cp:lastPrinted>
  <dcterms:created xsi:type="dcterms:W3CDTF">2015-10-06T09:50:00Z</dcterms:created>
  <dcterms:modified xsi:type="dcterms:W3CDTF">2016-03-16T12:28:00Z</dcterms:modified>
</cp:coreProperties>
</file>