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  <w:bookmarkStart w:id="0" w:name="_GoBack"/>
      <w:bookmarkEnd w:id="0"/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113"/>
        <w:jc w:val="center"/>
        <w:rPr>
          <w:lang w:val="cs-CZ" w:eastAsia="en-US"/>
        </w:rPr>
      </w:pPr>
      <w:r>
        <w:rPr>
          <w:b/>
          <w:lang w:val="cs-CZ" w:eastAsia="en-US"/>
        </w:rPr>
        <w:t>B. PŘÍBALOVÁ INFORMACE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jc w:val="center"/>
        <w:rPr>
          <w:lang w:val="cs-CZ" w:eastAsia="en-US"/>
        </w:rPr>
      </w:pPr>
      <w:r>
        <w:rPr>
          <w:lang w:val="cs-CZ" w:eastAsia="en-US"/>
        </w:rPr>
        <w:br w:type="page"/>
      </w:r>
      <w:r>
        <w:rPr>
          <w:b/>
          <w:lang w:val="cs-CZ" w:eastAsia="en-US"/>
        </w:rPr>
        <w:lastRenderedPageBreak/>
        <w:t>PŘÍBALOVÁ INFORMACE PRO: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Cazitel</w:t>
      </w:r>
      <w:proofErr w:type="spellEnd"/>
      <w:r>
        <w:rPr>
          <w:szCs w:val="24"/>
          <w:lang w:val="cs-CZ"/>
        </w:rPr>
        <w:t xml:space="preserve"> 230/20 mg ochucené potahované tablety pro kočky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1.</w:t>
      </w:r>
      <w:r>
        <w:rPr>
          <w:b/>
          <w:lang w:val="cs-CZ" w:eastAsia="en-US"/>
        </w:rPr>
        <w:tab/>
        <w:t>JMÉNO A ADRESA DRŽITELE ROZHODNUTÍ O REGISTRACI A DRŽITELE POVOLENÍ K VÝROBĚ ODPOVĚDNÉHO ZA UVOLNĚNÍ ŠARŽE, POKUD SE NESHODUJE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>Držitel rozhodnutí o registraci a výrobce odpovědný za uvolnění šarže: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Chanelle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Pharmaceuticals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Manufacturing</w:t>
      </w:r>
      <w:proofErr w:type="spellEnd"/>
      <w:r>
        <w:rPr>
          <w:szCs w:val="24"/>
          <w:lang w:val="cs-CZ"/>
        </w:rPr>
        <w:t xml:space="preserve"> Ltd.,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Loughrea</w:t>
      </w:r>
      <w:proofErr w:type="spellEnd"/>
      <w:r>
        <w:rPr>
          <w:szCs w:val="24"/>
          <w:lang w:val="cs-CZ"/>
        </w:rPr>
        <w:t xml:space="preserve">, 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Co. </w:t>
      </w:r>
      <w:proofErr w:type="spellStart"/>
      <w:r>
        <w:rPr>
          <w:szCs w:val="24"/>
          <w:lang w:val="cs-CZ"/>
        </w:rPr>
        <w:t>Galway</w:t>
      </w:r>
      <w:proofErr w:type="spellEnd"/>
      <w:r>
        <w:rPr>
          <w:szCs w:val="24"/>
          <w:lang w:val="cs-CZ"/>
        </w:rPr>
        <w:t xml:space="preserve">, 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Irsko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2.</w:t>
      </w:r>
      <w:r>
        <w:rPr>
          <w:b/>
          <w:lang w:val="cs-CZ" w:eastAsia="en-US"/>
        </w:rPr>
        <w:tab/>
        <w:t>NÁZEV VETERINÁRNÍHO LÉČIVÉHO PŘÍPRAVKU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Cazitel</w:t>
      </w:r>
      <w:proofErr w:type="spellEnd"/>
      <w:r>
        <w:rPr>
          <w:szCs w:val="24"/>
          <w:lang w:val="cs-CZ"/>
        </w:rPr>
        <w:t xml:space="preserve"> 230/20 mg ochucené potahované tablety pro kočky</w:t>
      </w: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Pyrantelum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Praziquantelum</w:t>
      </w:r>
      <w:proofErr w:type="spellEnd"/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3.</w:t>
      </w:r>
      <w:r>
        <w:rPr>
          <w:b/>
          <w:lang w:val="cs-CZ" w:eastAsia="en-US"/>
        </w:rPr>
        <w:tab/>
        <w:t>OBSAH LÉČIVÝCH A OSTATNÍCH LÁTEK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Jedna potahovaná tableta obsahuje: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Pyranteli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embonas</w:t>
      </w:r>
      <w:proofErr w:type="spellEnd"/>
      <w:r>
        <w:rPr>
          <w:szCs w:val="24"/>
          <w:lang w:val="cs-CZ"/>
        </w:rPr>
        <w:t xml:space="preserve"> 230 mg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proofErr w:type="spellStart"/>
      <w:r>
        <w:rPr>
          <w:szCs w:val="24"/>
          <w:lang w:val="cs-CZ"/>
        </w:rPr>
        <w:t>Praziquantelum</w:t>
      </w:r>
      <w:proofErr w:type="spellEnd"/>
      <w:r>
        <w:rPr>
          <w:szCs w:val="24"/>
          <w:lang w:val="cs-CZ"/>
        </w:rPr>
        <w:t xml:space="preserve"> 20 mg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Bílá až našedlá kulatá bikonvexní potahovaná tableta s dělící rýhou na jedné straně a hladká na druhé straně.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4.</w:t>
      </w:r>
      <w:r>
        <w:rPr>
          <w:b/>
          <w:lang w:val="cs-CZ" w:eastAsia="en-US"/>
        </w:rPr>
        <w:tab/>
        <w:t>INDIKACE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Léčba smíšených invazí způsobených gastrointestinálními hlísticemi a tasemnicemi následujících druhů:</w:t>
      </w:r>
    </w:p>
    <w:p w:rsidR="00E9659B" w:rsidRDefault="00E9659B" w:rsidP="00E9659B">
      <w:pPr>
        <w:widowControl w:val="0"/>
        <w:spacing w:line="240" w:lineRule="auto"/>
        <w:rPr>
          <w:i/>
          <w:szCs w:val="22"/>
          <w:lang w:val="cs-CZ" w:eastAsia="en-US"/>
        </w:rPr>
      </w:pPr>
      <w:r>
        <w:rPr>
          <w:b/>
          <w:szCs w:val="24"/>
          <w:u w:val="single"/>
          <w:lang w:val="cs-CZ"/>
        </w:rPr>
        <w:t>Hlístice:</w:t>
      </w:r>
      <w:r>
        <w:rPr>
          <w:szCs w:val="24"/>
          <w:lang w:val="cs-CZ"/>
        </w:rPr>
        <w:t xml:space="preserve"> </w:t>
      </w:r>
      <w:proofErr w:type="spellStart"/>
      <w:r>
        <w:rPr>
          <w:i/>
          <w:szCs w:val="22"/>
          <w:lang w:val="cs-CZ" w:eastAsia="en-US"/>
        </w:rPr>
        <w:t>Toxocara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cati</w:t>
      </w:r>
      <w:proofErr w:type="spellEnd"/>
      <w:r>
        <w:rPr>
          <w:szCs w:val="22"/>
          <w:lang w:val="cs-CZ" w:eastAsia="en-US"/>
        </w:rPr>
        <w:t xml:space="preserve">, </w:t>
      </w:r>
      <w:proofErr w:type="spellStart"/>
      <w:r>
        <w:rPr>
          <w:i/>
          <w:szCs w:val="22"/>
          <w:lang w:val="cs-CZ" w:eastAsia="en-US"/>
        </w:rPr>
        <w:t>Toxascaris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leonina</w:t>
      </w:r>
      <w:proofErr w:type="spellEnd"/>
      <w:r>
        <w:rPr>
          <w:i/>
          <w:szCs w:val="22"/>
          <w:lang w:val="cs-CZ" w:eastAsia="en-US"/>
        </w:rPr>
        <w:t>.</w:t>
      </w:r>
    </w:p>
    <w:p w:rsidR="00E9659B" w:rsidRDefault="00E9659B" w:rsidP="00E9659B">
      <w:pPr>
        <w:widowControl w:val="0"/>
        <w:spacing w:line="240" w:lineRule="auto"/>
        <w:rPr>
          <w:b/>
          <w:szCs w:val="24"/>
          <w:lang w:val="cs-CZ"/>
        </w:rPr>
      </w:pPr>
      <w:r>
        <w:rPr>
          <w:b/>
          <w:szCs w:val="24"/>
          <w:u w:val="single"/>
          <w:lang w:val="cs-CZ"/>
        </w:rPr>
        <w:t>Tasemnice:</w:t>
      </w:r>
      <w:r>
        <w:rPr>
          <w:szCs w:val="24"/>
          <w:lang w:val="cs-CZ"/>
        </w:rPr>
        <w:t xml:space="preserve"> </w:t>
      </w:r>
      <w:proofErr w:type="spellStart"/>
      <w:r>
        <w:rPr>
          <w:i/>
          <w:szCs w:val="22"/>
          <w:lang w:val="cs-CZ" w:eastAsia="en-US"/>
        </w:rPr>
        <w:t>Dipylidium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caninum</w:t>
      </w:r>
      <w:proofErr w:type="spellEnd"/>
      <w:r>
        <w:rPr>
          <w:i/>
          <w:szCs w:val="22"/>
          <w:lang w:val="cs-CZ" w:eastAsia="en-US"/>
        </w:rPr>
        <w:t xml:space="preserve">, </w:t>
      </w:r>
      <w:proofErr w:type="spellStart"/>
      <w:r>
        <w:rPr>
          <w:i/>
          <w:szCs w:val="22"/>
          <w:lang w:val="cs-CZ" w:eastAsia="en-US"/>
        </w:rPr>
        <w:t>Taenia</w:t>
      </w:r>
      <w:proofErr w:type="spellEnd"/>
      <w:r>
        <w:rPr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taeniaeformis</w:t>
      </w:r>
      <w:proofErr w:type="spellEnd"/>
      <w:r>
        <w:rPr>
          <w:i/>
          <w:szCs w:val="22"/>
          <w:lang w:val="cs-CZ" w:eastAsia="en-US"/>
        </w:rPr>
        <w:t xml:space="preserve">, </w:t>
      </w:r>
      <w:proofErr w:type="spellStart"/>
      <w:r>
        <w:rPr>
          <w:i/>
          <w:szCs w:val="22"/>
          <w:lang w:val="cs-CZ" w:eastAsia="en-US"/>
        </w:rPr>
        <w:t>Echinococcus</w:t>
      </w:r>
      <w:proofErr w:type="spellEnd"/>
      <w:r>
        <w:rPr>
          <w:i/>
          <w:szCs w:val="22"/>
          <w:lang w:val="cs-CZ" w:eastAsia="en-US"/>
        </w:rPr>
        <w:t xml:space="preserve"> </w:t>
      </w:r>
      <w:proofErr w:type="spellStart"/>
      <w:r>
        <w:rPr>
          <w:i/>
          <w:szCs w:val="22"/>
          <w:lang w:val="cs-CZ" w:eastAsia="en-US"/>
        </w:rPr>
        <w:t>multilocularis</w:t>
      </w:r>
      <w:proofErr w:type="spellEnd"/>
      <w:r>
        <w:rPr>
          <w:i/>
          <w:szCs w:val="22"/>
          <w:lang w:val="cs-CZ" w:eastAsia="en-US"/>
        </w:rPr>
        <w:t>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 xml:space="preserve">5. </w:t>
      </w:r>
      <w:r>
        <w:rPr>
          <w:b/>
          <w:lang w:val="cs-CZ" w:eastAsia="en-US"/>
        </w:rPr>
        <w:tab/>
        <w:t>KONTRAINDIKACE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Nepoužívejte současně se sloučeninami piperazinu.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Nepoužívejte u koťat mladších 6 týdnů.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Nepoužívat v případě přecitlivělosti na léčivé látky, nebo na některou z pomocných látek.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6.</w:t>
      </w:r>
      <w:r>
        <w:rPr>
          <w:b/>
          <w:lang w:val="cs-CZ" w:eastAsia="en-US"/>
        </w:rPr>
        <w:tab/>
        <w:t>NEŽÁDOUCÍ ÚČINKY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Nejsou známy.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Jestliže zaznamenáte jakékoliv závažné nežádoucí účinky či jiné reakce, které nejsou uvedeny v této příbalové informaci, oznamte to prosím vašemu veterinárnímu lékaři.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7.</w:t>
      </w:r>
      <w:r>
        <w:rPr>
          <w:b/>
          <w:lang w:val="cs-CZ" w:eastAsia="en-US"/>
        </w:rPr>
        <w:tab/>
        <w:t>CÍLOVÝ DRUH ZVÍŘAT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Kočky.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8.</w:t>
      </w:r>
      <w:r>
        <w:rPr>
          <w:b/>
          <w:lang w:val="cs-CZ" w:eastAsia="en-US"/>
        </w:rPr>
        <w:tab/>
        <w:t xml:space="preserve">DÁVKOVÁNÍ PRO KAŽDÝ DRUH, </w:t>
      </w:r>
      <w:proofErr w:type="gramStart"/>
      <w:r>
        <w:rPr>
          <w:b/>
          <w:lang w:val="cs-CZ" w:eastAsia="en-US"/>
        </w:rPr>
        <w:t>CESTA(Y) A ZPŮSOB</w:t>
      </w:r>
      <w:proofErr w:type="gramEnd"/>
      <w:r>
        <w:rPr>
          <w:b/>
          <w:lang w:val="cs-CZ" w:eastAsia="en-US"/>
        </w:rPr>
        <w:t xml:space="preserve"> PODÁNÍ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widowControl w:val="0"/>
        <w:spacing w:line="240" w:lineRule="auto"/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Dávkování: 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Doporučená dávka je 20 mg/kg </w:t>
      </w:r>
      <w:proofErr w:type="spellStart"/>
      <w:r>
        <w:rPr>
          <w:szCs w:val="24"/>
          <w:lang w:val="cs-CZ"/>
        </w:rPr>
        <w:t>pyrantelu</w:t>
      </w:r>
      <w:proofErr w:type="spellEnd"/>
      <w:r>
        <w:rPr>
          <w:szCs w:val="24"/>
          <w:lang w:val="cs-CZ"/>
        </w:rPr>
        <w:t xml:space="preserve"> (to odpovídá 57,5 mg/kg </w:t>
      </w:r>
      <w:proofErr w:type="spellStart"/>
      <w:r>
        <w:rPr>
          <w:szCs w:val="24"/>
          <w:lang w:val="cs-CZ"/>
        </w:rPr>
        <w:t>pyrantel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embonátu</w:t>
      </w:r>
      <w:proofErr w:type="spellEnd"/>
      <w:r>
        <w:rPr>
          <w:szCs w:val="24"/>
          <w:lang w:val="cs-CZ"/>
        </w:rPr>
        <w:t xml:space="preserve">) a 5 mg/kg </w:t>
      </w:r>
      <w:proofErr w:type="spellStart"/>
      <w:r>
        <w:rPr>
          <w:szCs w:val="24"/>
          <w:lang w:val="cs-CZ"/>
        </w:rPr>
        <w:lastRenderedPageBreak/>
        <w:t>praziquantelu</w:t>
      </w:r>
      <w:proofErr w:type="spellEnd"/>
      <w:r>
        <w:rPr>
          <w:szCs w:val="24"/>
          <w:lang w:val="cs-CZ"/>
        </w:rPr>
        <w:t xml:space="preserve">. To odpovídá dávkování  1 tableta na </w:t>
      </w:r>
      <w:smartTag w:uri="urn:schemas-microsoft-com:office:smarttags" w:element="metricconverter">
        <w:smartTagPr>
          <w:attr w:name="ProductID" w:val="4 kg"/>
        </w:smartTagPr>
        <w:r>
          <w:rPr>
            <w:szCs w:val="24"/>
            <w:lang w:val="cs-CZ"/>
          </w:rPr>
          <w:t>4 kg</w:t>
        </w:r>
      </w:smartTag>
      <w:r>
        <w:rPr>
          <w:szCs w:val="24"/>
          <w:lang w:val="cs-CZ"/>
        </w:rPr>
        <w:t xml:space="preserve"> ž. </w:t>
      </w:r>
      <w:proofErr w:type="gramStart"/>
      <w:r>
        <w:rPr>
          <w:szCs w:val="24"/>
          <w:lang w:val="cs-CZ"/>
        </w:rPr>
        <w:t>hm</w:t>
      </w:r>
      <w:proofErr w:type="gramEnd"/>
      <w:r>
        <w:rPr>
          <w:szCs w:val="24"/>
          <w:lang w:val="cs-CZ"/>
        </w:rPr>
        <w:t>.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418"/>
      </w:tblGrid>
      <w:tr w:rsidR="00E9659B" w:rsidTr="00E965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Živá hmotnost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Tablety</w:t>
            </w:r>
          </w:p>
        </w:tc>
      </w:tr>
      <w:tr w:rsidR="00E9659B" w:rsidTr="00E965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1,0 – 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color w:val="000000"/>
                  <w:lang w:val="cs-CZ" w:eastAsia="en-US"/>
                </w:rPr>
                <w:t>2,0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½ </w:t>
            </w:r>
          </w:p>
        </w:tc>
      </w:tr>
      <w:tr w:rsidR="00E9659B" w:rsidTr="00E965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2,1 – </w:t>
            </w:r>
            <w:smartTag w:uri="urn:schemas-microsoft-com:office:smarttags" w:element="metricconverter">
              <w:smartTagPr>
                <w:attr w:name="ProductID" w:val="4,0 kg"/>
              </w:smartTagPr>
              <w:r>
                <w:rPr>
                  <w:color w:val="000000"/>
                  <w:lang w:val="cs-CZ" w:eastAsia="en-US"/>
                </w:rPr>
                <w:t>4,0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1</w:t>
            </w:r>
          </w:p>
        </w:tc>
      </w:tr>
      <w:tr w:rsidR="00E9659B" w:rsidTr="00E965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4,1 – </w:t>
            </w:r>
            <w:smartTag w:uri="urn:schemas-microsoft-com:office:smarttags" w:element="metricconverter">
              <w:smartTagPr>
                <w:attr w:name="ProductID" w:val="6,0 kg"/>
              </w:smartTagPr>
              <w:r>
                <w:rPr>
                  <w:color w:val="000000"/>
                  <w:lang w:val="cs-CZ" w:eastAsia="en-US"/>
                </w:rPr>
                <w:t>6,0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1 ½ </w:t>
            </w:r>
          </w:p>
        </w:tc>
      </w:tr>
      <w:tr w:rsidR="00E9659B" w:rsidTr="00E9659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 xml:space="preserve">6,1 – </w:t>
            </w:r>
            <w:smartTag w:uri="urn:schemas-microsoft-com:office:smarttags" w:element="metricconverter">
              <w:smartTagPr>
                <w:attr w:name="ProductID" w:val="8,0 kg"/>
              </w:smartTagPr>
              <w:r>
                <w:rPr>
                  <w:color w:val="000000"/>
                  <w:lang w:val="cs-CZ" w:eastAsia="en-US"/>
                </w:rPr>
                <w:t>8,0 kg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59B" w:rsidRDefault="00E9659B">
            <w:pPr>
              <w:spacing w:line="240" w:lineRule="auto"/>
              <w:rPr>
                <w:color w:val="000000"/>
                <w:lang w:val="cs-CZ" w:eastAsia="en-US"/>
              </w:rPr>
            </w:pPr>
            <w:r>
              <w:rPr>
                <w:color w:val="000000"/>
                <w:lang w:val="cs-CZ" w:eastAsia="en-US"/>
              </w:rPr>
              <w:t>2</w:t>
            </w:r>
          </w:p>
        </w:tc>
      </w:tr>
    </w:tbl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outlineLvl w:val="0"/>
        <w:rPr>
          <w:b/>
          <w:szCs w:val="24"/>
          <w:lang w:val="cs-CZ"/>
        </w:rPr>
      </w:pP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outlineLvl w:val="0"/>
        <w:rPr>
          <w:i/>
          <w:szCs w:val="24"/>
          <w:lang w:val="cs-CZ"/>
        </w:rPr>
      </w:pPr>
      <w:r>
        <w:rPr>
          <w:i/>
          <w:szCs w:val="24"/>
          <w:lang w:val="cs-CZ"/>
        </w:rPr>
        <w:t>Způsob podání a trvání léčby:</w:t>
      </w:r>
    </w:p>
    <w:p w:rsidR="00E9659B" w:rsidRDefault="00E9659B" w:rsidP="00E9659B">
      <w:pPr>
        <w:widowControl w:val="0"/>
        <w:spacing w:line="240" w:lineRule="auto"/>
        <w:rPr>
          <w:rFonts w:ascii="Arial" w:hAnsi="Arial"/>
          <w:i/>
          <w:sz w:val="20"/>
          <w:szCs w:val="24"/>
          <w:lang w:val="cs-CZ"/>
        </w:rPr>
      </w:pPr>
      <w:r>
        <w:rPr>
          <w:szCs w:val="24"/>
          <w:lang w:val="cs-CZ"/>
        </w:rPr>
        <w:t xml:space="preserve">Jednorázové perorální podání. Tablety by měly být podané kočce přímo, ale v případě potřeby mohou být zamíchané do krmiva. 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V případě napadení škrkavkami, a to zejména u koťat, nelze očekávat úplnou eliminaci parazitů a riziko nákazy pro člověka tak  může </w:t>
      </w:r>
      <w:proofErr w:type="spellStart"/>
      <w:proofErr w:type="gramStart"/>
      <w:r>
        <w:rPr>
          <w:szCs w:val="24"/>
          <w:lang w:val="cs-CZ"/>
        </w:rPr>
        <w:t>přetrvávat.Měla</w:t>
      </w:r>
      <w:proofErr w:type="spellEnd"/>
      <w:proofErr w:type="gramEnd"/>
      <w:r>
        <w:rPr>
          <w:szCs w:val="24"/>
          <w:lang w:val="cs-CZ"/>
        </w:rPr>
        <w:t xml:space="preserve"> by se proto provádět opakovaná ošetření  vhodnými přípravky účinnými proti hlísticím ve 14 denních intervalech až  do období 2-3 týdnů po odstavu.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9.</w:t>
      </w:r>
      <w:r>
        <w:rPr>
          <w:b/>
          <w:lang w:val="cs-CZ" w:eastAsia="en-US"/>
        </w:rPr>
        <w:tab/>
        <w:t>POKYNY PRO SPRÁVNÉ PODÁNÍ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K zajištění správného dávkování by měla být s co možná největší přesností stanovena živá hmotnost ošetřovaného zvířete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10.</w:t>
      </w:r>
      <w:r>
        <w:rPr>
          <w:b/>
          <w:lang w:val="cs-CZ" w:eastAsia="en-US"/>
        </w:rPr>
        <w:tab/>
        <w:t xml:space="preserve">OCHRANNÁ LHŮTA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iCs/>
          <w:lang w:val="cs-CZ" w:eastAsia="en-US"/>
        </w:rPr>
      </w:pP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Není určeno pro potravinová zvířata.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iCs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11.</w:t>
      </w:r>
      <w:r>
        <w:rPr>
          <w:b/>
          <w:lang w:val="cs-CZ" w:eastAsia="en-US"/>
        </w:rPr>
        <w:tab/>
        <w:t>ZVLÁŠTNÍ OPATŘENÍ PRO UCHOVÁVÁNÍ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Uchovávat mimo dosah dětí.</w:t>
      </w:r>
    </w:p>
    <w:p w:rsidR="00E9659B" w:rsidRDefault="00E9659B" w:rsidP="00E9659B">
      <w:pPr>
        <w:widowControl w:val="0"/>
        <w:spacing w:line="240" w:lineRule="auto"/>
        <w:jc w:val="both"/>
        <w:rPr>
          <w:lang w:val="cs-CZ" w:eastAsia="en-US"/>
        </w:rPr>
      </w:pPr>
      <w:r>
        <w:rPr>
          <w:lang w:val="cs-CZ" w:eastAsia="en-US"/>
        </w:rPr>
        <w:t>Nepoužívejte tento veterinární léčivý přípravek po uplynutí doby použitelnosti uvedené na blistru a krabičce.</w:t>
      </w:r>
    </w:p>
    <w:p w:rsidR="00E9659B" w:rsidRDefault="00E9659B" w:rsidP="00E9659B">
      <w:pPr>
        <w:widowControl w:val="0"/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 xml:space="preserve">Veškeré nespotřebované poloviny tablet zlikvidujte.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>Uchovávejte blistry v krabičce.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12.</w:t>
      </w:r>
      <w:r>
        <w:rPr>
          <w:b/>
          <w:lang w:val="cs-CZ" w:eastAsia="en-US"/>
        </w:rPr>
        <w:tab/>
        <w:t>ZVLÁŠTNÍ UPOZORNĚNÍ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widowControl w:val="0"/>
        <w:tabs>
          <w:tab w:val="clear" w:pos="567"/>
          <w:tab w:val="left" w:pos="708"/>
        </w:tabs>
        <w:spacing w:line="240" w:lineRule="auto"/>
        <w:outlineLvl w:val="0"/>
        <w:rPr>
          <w:b/>
          <w:szCs w:val="24"/>
          <w:u w:val="single"/>
          <w:lang w:val="cs-CZ"/>
        </w:rPr>
      </w:pPr>
      <w:r>
        <w:rPr>
          <w:b/>
          <w:szCs w:val="24"/>
          <w:u w:val="single"/>
          <w:lang w:val="cs-CZ"/>
        </w:rPr>
        <w:t>Zvláštní opatření pro použití u zvířat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Nepoužívat během březosti, lze použít během laktace.</w:t>
      </w:r>
    </w:p>
    <w:p w:rsidR="00E9659B" w:rsidRDefault="00E9659B" w:rsidP="00E9659B">
      <w:pPr>
        <w:widowControl w:val="0"/>
        <w:spacing w:line="240" w:lineRule="auto"/>
        <w:jc w:val="both"/>
        <w:rPr>
          <w:szCs w:val="24"/>
          <w:lang w:val="cs-CZ"/>
        </w:rPr>
      </w:pPr>
      <w:r>
        <w:rPr>
          <w:szCs w:val="24"/>
          <w:lang w:val="cs-CZ"/>
        </w:rPr>
        <w:t>Po dávkách více než 5krát vyšších než doporučených byly pozorovány známky intolerance, jako je zvracení.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Časté a opakované používání anthelmintik z určité skupiny může mít za následek rozvoj rezistence parazitů k takové skupině </w:t>
      </w:r>
      <w:proofErr w:type="spellStart"/>
      <w:r>
        <w:rPr>
          <w:szCs w:val="24"/>
          <w:lang w:val="cs-CZ"/>
        </w:rPr>
        <w:t>antiparazitik</w:t>
      </w:r>
      <w:proofErr w:type="spellEnd"/>
      <w:r>
        <w:rPr>
          <w:szCs w:val="24"/>
          <w:lang w:val="cs-CZ"/>
        </w:rPr>
        <w:t>.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 xml:space="preserve">Blechy jsou mezihostiteli jednoho běžně rozšířeného druhu tasemnic – </w:t>
      </w:r>
      <w:proofErr w:type="spellStart"/>
      <w:r>
        <w:rPr>
          <w:i/>
          <w:szCs w:val="24"/>
          <w:lang w:val="cs-CZ"/>
        </w:rPr>
        <w:t>Dipylidium</w:t>
      </w:r>
      <w:proofErr w:type="spellEnd"/>
      <w:r>
        <w:rPr>
          <w:i/>
          <w:szCs w:val="24"/>
          <w:lang w:val="cs-CZ"/>
        </w:rPr>
        <w:t xml:space="preserve"> </w:t>
      </w:r>
      <w:proofErr w:type="spellStart"/>
      <w:r>
        <w:rPr>
          <w:i/>
          <w:szCs w:val="24"/>
          <w:lang w:val="cs-CZ"/>
        </w:rPr>
        <w:t>caninum</w:t>
      </w:r>
      <w:proofErr w:type="spellEnd"/>
      <w:r>
        <w:rPr>
          <w:szCs w:val="24"/>
          <w:lang w:val="cs-CZ"/>
        </w:rPr>
        <w:t>. Opětovná infekce tasemnicemi je nevyhnutelná, pokud nedojde k regulaci mezihostitelů, jako jsou blechy, myši atd.</w:t>
      </w:r>
    </w:p>
    <w:p w:rsidR="00E9659B" w:rsidRDefault="00E9659B" w:rsidP="00E9659B">
      <w:pPr>
        <w:widowControl w:val="0"/>
        <w:spacing w:line="240" w:lineRule="auto"/>
        <w:rPr>
          <w:b/>
          <w:szCs w:val="24"/>
          <w:lang w:val="cs-CZ"/>
        </w:rPr>
      </w:pPr>
    </w:p>
    <w:p w:rsidR="00E9659B" w:rsidRDefault="00E9659B" w:rsidP="00E9659B">
      <w:pPr>
        <w:widowControl w:val="0"/>
        <w:spacing w:line="240" w:lineRule="auto"/>
        <w:outlineLvl w:val="0"/>
        <w:rPr>
          <w:b/>
          <w:szCs w:val="24"/>
          <w:u w:val="single"/>
          <w:lang w:val="cs-CZ"/>
        </w:rPr>
      </w:pPr>
      <w:r>
        <w:rPr>
          <w:b/>
          <w:szCs w:val="24"/>
          <w:u w:val="single"/>
          <w:lang w:val="cs-CZ"/>
        </w:rPr>
        <w:t>Zvláštní opatření určená osobám, které podávají veterinární léčivý přípravek zvířatům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 případě náhodného pozření vyhledejte lékařskou pomoc a ukažte příbalovou informaci praktickému lékaři.</w:t>
      </w:r>
    </w:p>
    <w:p w:rsidR="00E9659B" w:rsidRDefault="00E9659B" w:rsidP="00E9659B">
      <w:pPr>
        <w:widowControl w:val="0"/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V zájmu správné hygieny by si měli lidé, kteří podávají tablety přímo kočkám nebo je přidávají do kočičího krmiva, po podání přípravku umýt ruce.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Pouze pro zvířata.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  <w:r>
        <w:rPr>
          <w:b/>
          <w:lang w:val="cs-CZ" w:eastAsia="en-US"/>
        </w:rPr>
        <w:t>13.</w:t>
      </w:r>
      <w:r>
        <w:rPr>
          <w:b/>
          <w:lang w:val="cs-CZ" w:eastAsia="en-US"/>
        </w:rPr>
        <w:tab/>
        <w:t>ZVLÁŠTNÍ OPATŘENÍ PRO ZNEŠKODŇOVÁNÍ NEPOUŽITÝCH PŘÍPRAVKŮ NEBO ODPADU, POKUD JE JICH TŘEBA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lastRenderedPageBreak/>
        <w:t>O možnostech likvidace nepotřebných léčivých přípravků se poraďte s vaším veterinárním lékařem.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>Tato opatření napomáhají chránit životní prostředí.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b/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14.</w:t>
      </w:r>
      <w:r>
        <w:rPr>
          <w:b/>
          <w:lang w:val="cs-CZ" w:eastAsia="en-US"/>
        </w:rPr>
        <w:tab/>
        <w:t>DATUM POSLEDNÍ REVIZE PŘÍBALOVÉ INFORMACE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E9659B" w:rsidRDefault="001775F3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  <w:r>
        <w:rPr>
          <w:lang w:val="cs-CZ" w:eastAsia="en-US"/>
        </w:rPr>
        <w:t>Leden 2017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318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b/>
          <w:lang w:val="cs-CZ" w:eastAsia="en-US"/>
        </w:rPr>
        <w:t>15.</w:t>
      </w:r>
      <w:r>
        <w:rPr>
          <w:b/>
          <w:lang w:val="cs-CZ" w:eastAsia="en-US"/>
        </w:rPr>
        <w:tab/>
        <w:t>DALŠÍ INFORMACE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rPr>
          <w:lang w:val="cs-CZ"/>
        </w:rPr>
      </w:pPr>
      <w:r>
        <w:rPr>
          <w:lang w:val="cs-CZ"/>
        </w:rPr>
        <w:t>Pouze pro zvířata.</w:t>
      </w:r>
    </w:p>
    <w:p w:rsidR="00E9659B" w:rsidRDefault="00E9659B" w:rsidP="00E9659B">
      <w:pPr>
        <w:ind w:right="566"/>
        <w:rPr>
          <w:lang w:val="cs-CZ"/>
        </w:rPr>
      </w:pPr>
      <w:r>
        <w:rPr>
          <w:lang w:val="cs-CZ"/>
        </w:rPr>
        <w:t>Veterinární léčivý přípravek je vydáván bez předpisu.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2, 4, 6, 8, 10, 12, 14, 16, 18, 20, 24, 28, 30, 32, 36, 40, 42, 44, 48, 50, 52, 56, 60, 64, 68, 70, 72, 76, 80, 84, 88, 92, 96, 98, 100, 104, 106, 108, 112, 116, 120, 128, 136, 140, 144, 150, 152, 160, 168, 176, 180, 184, 192, 200, 204, 206, 208, 216, 224, 232, 240, 248, 250, 280, 300, 500 nebo 1000 tablet.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rPr>
          <w:lang w:val="cs-CZ" w:eastAsia="en-US"/>
        </w:rPr>
      </w:pPr>
      <w:r>
        <w:rPr>
          <w:lang w:val="cs-CZ" w:eastAsia="en-US"/>
        </w:rPr>
        <w:t>Na trhu nemusí být všechny velikosti balení.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  <w:r>
        <w:rPr>
          <w:lang w:val="cs-CZ" w:eastAsia="en-US"/>
        </w:rPr>
        <w:t>Pokud chcete získat informace o tomto veterinárním léčivém přípravku, kontaktujte prosím příslušného místního zástupce držitele rozhodnutí o registraci: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  <w:proofErr w:type="spellStart"/>
      <w:r>
        <w:rPr>
          <w:lang w:val="cs-CZ" w:eastAsia="en-US"/>
        </w:rPr>
        <w:t>Zoetis</w:t>
      </w:r>
      <w:proofErr w:type="spellEnd"/>
      <w:r>
        <w:rPr>
          <w:lang w:val="cs-CZ" w:eastAsia="en-US"/>
        </w:rPr>
        <w:t xml:space="preserve"> Česká republika, s.r.o.</w:t>
      </w:r>
    </w:p>
    <w:p w:rsidR="00E9659B" w:rsidRDefault="001775F3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  <w:r>
        <w:rPr>
          <w:lang w:val="cs-CZ" w:eastAsia="en-US"/>
        </w:rPr>
        <w:t>Náměstí 14. října 642/17</w:t>
      </w:r>
      <w:r w:rsidR="00E9659B">
        <w:rPr>
          <w:lang w:val="cs-CZ" w:eastAsia="en-US"/>
        </w:rPr>
        <w:t xml:space="preserve">, 150 00 Praha 5, Česká republika 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  <w:r>
        <w:rPr>
          <w:lang w:val="cs-CZ" w:eastAsia="en-US"/>
        </w:rPr>
        <w:t xml:space="preserve">Tel: </w:t>
      </w:r>
      <w:r>
        <w:rPr>
          <w:lang w:val="cs-CZ" w:eastAsia="en-US"/>
        </w:rPr>
        <w:tab/>
        <w:t>+420 257 101 111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  <w:r>
        <w:rPr>
          <w:lang w:val="cs-CZ" w:eastAsia="en-US"/>
        </w:rPr>
        <w:t>E-mail:</w:t>
      </w:r>
      <w:r>
        <w:rPr>
          <w:lang w:val="cs-CZ" w:eastAsia="en-US"/>
        </w:rPr>
        <w:tab/>
        <w:t>infovet.cz@zoetis.com</w:t>
      </w:r>
    </w:p>
    <w:p w:rsidR="00E9659B" w:rsidRDefault="00E9659B" w:rsidP="00E9659B">
      <w:pPr>
        <w:tabs>
          <w:tab w:val="clear" w:pos="567"/>
          <w:tab w:val="left" w:pos="708"/>
        </w:tabs>
        <w:spacing w:line="240" w:lineRule="auto"/>
        <w:ind w:right="-2"/>
        <w:rPr>
          <w:lang w:val="cs-CZ" w:eastAsia="en-US"/>
        </w:rPr>
      </w:pPr>
    </w:p>
    <w:p w:rsidR="000E76EC" w:rsidRDefault="000E76EC"/>
    <w:sectPr w:rsidR="000E7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5D"/>
    <w:rsid w:val="000E76EC"/>
    <w:rsid w:val="001775F3"/>
    <w:rsid w:val="002E43A1"/>
    <w:rsid w:val="00746B5D"/>
    <w:rsid w:val="00E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59B"/>
    <w:pPr>
      <w:tabs>
        <w:tab w:val="left" w:pos="567"/>
      </w:tabs>
      <w:snapToGrid w:val="0"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659B"/>
    <w:pPr>
      <w:tabs>
        <w:tab w:val="left" w:pos="567"/>
      </w:tabs>
      <w:snapToGrid w:val="0"/>
      <w:spacing w:after="0" w:line="260" w:lineRule="exact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674</Words>
  <Characters>3982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Morávková Věra</cp:lastModifiedBy>
  <cp:revision>7</cp:revision>
  <dcterms:created xsi:type="dcterms:W3CDTF">2014-09-03T07:20:00Z</dcterms:created>
  <dcterms:modified xsi:type="dcterms:W3CDTF">2017-01-17T12:32:00Z</dcterms:modified>
</cp:coreProperties>
</file>