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  <w:rPr>
          <w:b/>
        </w:rPr>
      </w:pPr>
    </w:p>
    <w:p w:rsidR="00A44538" w:rsidRDefault="00A44538" w:rsidP="00A44538">
      <w:pPr>
        <w:ind w:right="113"/>
        <w:jc w:val="center"/>
      </w:pPr>
      <w:r>
        <w:rPr>
          <w:b/>
        </w:rPr>
        <w:t>B. PŘÍBALOVÁ INFORMACE</w:t>
      </w:r>
    </w:p>
    <w:p w:rsidR="00A44538" w:rsidRDefault="00A44538" w:rsidP="00A44538">
      <w:pPr>
        <w:jc w:val="center"/>
      </w:pPr>
    </w:p>
    <w:p w:rsidR="00A44538" w:rsidRDefault="00A44538" w:rsidP="00A44538">
      <w:pPr>
        <w:jc w:val="center"/>
        <w:rPr>
          <w:b/>
        </w:rPr>
      </w:pPr>
      <w:r>
        <w:br w:type="page"/>
      </w:r>
      <w:r>
        <w:lastRenderedPageBreak/>
        <w:t xml:space="preserve"> </w:t>
      </w:r>
      <w:r>
        <w:rPr>
          <w:b/>
        </w:rPr>
        <w:t>PŘÍBALOVÁ INFORMACE PRO:</w:t>
      </w:r>
    </w:p>
    <w:p w:rsidR="00A44538" w:rsidRDefault="00A44538" w:rsidP="00A44538">
      <w:pPr>
        <w:jc w:val="center"/>
        <w:rPr>
          <w:b/>
        </w:rPr>
      </w:pPr>
      <w:r>
        <w:rPr>
          <w:b/>
        </w:rPr>
        <w:t xml:space="preserve">1l </w:t>
      </w:r>
      <w:r w:rsidR="009E2BDC">
        <w:rPr>
          <w:b/>
        </w:rPr>
        <w:t xml:space="preserve">láhev </w:t>
      </w:r>
      <w:r>
        <w:rPr>
          <w:b/>
        </w:rPr>
        <w:t>v krabici</w:t>
      </w:r>
    </w:p>
    <w:p w:rsidR="00A44538" w:rsidRDefault="00A44538" w:rsidP="00A44538">
      <w:pPr>
        <w:jc w:val="center"/>
        <w:rPr>
          <w:b/>
        </w:rPr>
      </w:pPr>
      <w:r>
        <w:rPr>
          <w:b/>
        </w:rPr>
        <w:t>2,5l a 5l kanystr</w:t>
      </w:r>
    </w:p>
    <w:p w:rsidR="00A44538" w:rsidRDefault="00A44538" w:rsidP="00A44538">
      <w:pPr>
        <w:jc w:val="center"/>
        <w:rPr>
          <w:b/>
        </w:rPr>
      </w:pPr>
      <w:r>
        <w:rPr>
          <w:b/>
        </w:rPr>
        <w:t>2,5l, 4,5l nebo 8l elastický vak</w:t>
      </w:r>
    </w:p>
    <w:p w:rsidR="00A44538" w:rsidRDefault="00A44538" w:rsidP="00A44538">
      <w:pPr>
        <w:jc w:val="center"/>
      </w:pPr>
    </w:p>
    <w:p w:rsidR="00A44538" w:rsidRDefault="00A44538" w:rsidP="00A44538">
      <w:pPr>
        <w:ind w:left="0" w:firstLine="0"/>
        <w:jc w:val="center"/>
      </w:pPr>
      <w:r>
        <w:t xml:space="preserve">NEOPRINIL POUR-ON 5 mg/ml roztok pro nalévání na hřbet - </w:t>
      </w:r>
      <w:proofErr w:type="spellStart"/>
      <w:r>
        <w:t>pour</w:t>
      </w:r>
      <w:proofErr w:type="spellEnd"/>
      <w:r>
        <w:t>-on pro skot</w:t>
      </w:r>
    </w:p>
    <w:p w:rsidR="00A44538" w:rsidRDefault="00A44538" w:rsidP="00A44538"/>
    <w:p w:rsidR="007023B9" w:rsidRDefault="007023B9" w:rsidP="00A44538"/>
    <w:p w:rsidR="00A44538" w:rsidRDefault="00A44538" w:rsidP="00A44538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A44538" w:rsidRDefault="00A44538" w:rsidP="00A44538">
      <w:pPr>
        <w:rPr>
          <w:b/>
        </w:rPr>
      </w:pPr>
    </w:p>
    <w:p w:rsidR="00A44538" w:rsidRDefault="00A44538" w:rsidP="00A44538">
      <w:pPr>
        <w:rPr>
          <w:iCs/>
        </w:rPr>
      </w:pPr>
      <w:r>
        <w:rPr>
          <w:iCs/>
          <w:u w:val="single"/>
        </w:rPr>
        <w:t>D</w:t>
      </w:r>
      <w:r w:rsidR="007023B9">
        <w:rPr>
          <w:iCs/>
          <w:u w:val="single"/>
        </w:rPr>
        <w:t xml:space="preserve">ržitel rozhodnutí o registraci </w:t>
      </w:r>
      <w:r>
        <w:rPr>
          <w:iCs/>
          <w:u w:val="single"/>
        </w:rPr>
        <w:t>a výrobce odpovědný za uvolnění šarže</w:t>
      </w:r>
      <w:r>
        <w:rPr>
          <w:iCs/>
        </w:rPr>
        <w:t>:</w:t>
      </w:r>
    </w:p>
    <w:p w:rsidR="00A44538" w:rsidRDefault="00A44538" w:rsidP="00A44538">
      <w:pPr>
        <w:ind w:right="-318"/>
      </w:pPr>
      <w:r>
        <w:t>VIRBAC</w:t>
      </w:r>
    </w:p>
    <w:p w:rsidR="00A44538" w:rsidRDefault="00A44538" w:rsidP="00A44538">
      <w:pPr>
        <w:ind w:right="-318"/>
      </w:pPr>
      <w:r>
        <w:t xml:space="preserve">1ère avenue – </w:t>
      </w:r>
      <w:smartTag w:uri="urn:schemas-microsoft-com:office:smarttags" w:element="metricconverter">
        <w:smartTagPr>
          <w:attr w:name="ProductID" w:val="2065 M"/>
        </w:smartTagPr>
        <w:r>
          <w:t>2065 M</w:t>
        </w:r>
      </w:smartTag>
      <w:r>
        <w:t xml:space="preserve"> – </w:t>
      </w:r>
      <w:proofErr w:type="gramStart"/>
      <w:r>
        <w:t>L.I.D.</w:t>
      </w:r>
      <w:proofErr w:type="gramEnd"/>
    </w:p>
    <w:p w:rsidR="00A44538" w:rsidRDefault="00A44538" w:rsidP="00A44538">
      <w:pPr>
        <w:ind w:right="-318"/>
      </w:pPr>
      <w:r>
        <w:t xml:space="preserve">06516 </w:t>
      </w:r>
      <w:proofErr w:type="spellStart"/>
      <w:r>
        <w:t>Carros</w:t>
      </w:r>
      <w:proofErr w:type="spellEnd"/>
    </w:p>
    <w:p w:rsidR="00A44538" w:rsidRDefault="00A44538" w:rsidP="00A44538">
      <w:pPr>
        <w:ind w:right="-318"/>
        <w:rPr>
          <w:lang w:val="pt-BR"/>
        </w:rPr>
      </w:pPr>
      <w:r>
        <w:rPr>
          <w:lang w:val="pt-BR"/>
        </w:rPr>
        <w:t>FRANCIE</w:t>
      </w:r>
    </w:p>
    <w:p w:rsidR="00A44538" w:rsidRDefault="00A44538" w:rsidP="00A44538"/>
    <w:p w:rsidR="00A44538" w:rsidRDefault="00A44538" w:rsidP="00A44538"/>
    <w:p w:rsidR="00A44538" w:rsidRDefault="00A44538" w:rsidP="00A44538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A44538" w:rsidRDefault="00A44538" w:rsidP="00A44538">
      <w:pPr>
        <w:ind w:left="0" w:firstLine="0"/>
      </w:pPr>
    </w:p>
    <w:p w:rsidR="00A44538" w:rsidRDefault="00A44538" w:rsidP="00A44538">
      <w:pPr>
        <w:ind w:left="0" w:firstLine="0"/>
      </w:pPr>
      <w:r>
        <w:t xml:space="preserve">NEOPRINIL POUR-ON 5 mg/ml roztok pro nalévání na hřbet - </w:t>
      </w:r>
      <w:proofErr w:type="spellStart"/>
      <w:r>
        <w:t>pour</w:t>
      </w:r>
      <w:proofErr w:type="spellEnd"/>
      <w:r>
        <w:t xml:space="preserve">-on pro skot </w:t>
      </w:r>
    </w:p>
    <w:p w:rsidR="00A44538" w:rsidRDefault="00A44538" w:rsidP="00A44538">
      <w:pPr>
        <w:rPr>
          <w:b/>
        </w:rPr>
      </w:pPr>
    </w:p>
    <w:p w:rsidR="00A44538" w:rsidRDefault="00A44538" w:rsidP="00A44538">
      <w:pPr>
        <w:rPr>
          <w:b/>
        </w:rPr>
      </w:pPr>
    </w:p>
    <w:p w:rsidR="00A44538" w:rsidRDefault="00A44538" w:rsidP="00A44538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A44538" w:rsidRDefault="00A44538" w:rsidP="00A44538">
      <w:pPr>
        <w:rPr>
          <w:b/>
        </w:rPr>
      </w:pPr>
    </w:p>
    <w:p w:rsidR="00A44538" w:rsidRDefault="00A44538" w:rsidP="00A44538">
      <w:pPr>
        <w:rPr>
          <w:b/>
        </w:rPr>
      </w:pPr>
      <w:r>
        <w:t xml:space="preserve">1 ml roztoku obsahuje: </w:t>
      </w:r>
      <w:r>
        <w:rPr>
          <w:b/>
        </w:rPr>
        <w:t xml:space="preserve"> </w:t>
      </w:r>
    </w:p>
    <w:p w:rsidR="00A44538" w:rsidRDefault="00A44538" w:rsidP="00A44538">
      <w:pPr>
        <w:rPr>
          <w:b/>
        </w:rPr>
      </w:pPr>
      <w:r>
        <w:rPr>
          <w:b/>
        </w:rPr>
        <w:t>Léčivá látka:</w:t>
      </w:r>
    </w:p>
    <w:p w:rsidR="00A44538" w:rsidRDefault="00A44538" w:rsidP="00A44538">
      <w:pPr>
        <w:tabs>
          <w:tab w:val="left" w:pos="1701"/>
        </w:tabs>
        <w:rPr>
          <w:iCs/>
        </w:rPr>
      </w:pPr>
      <w:proofErr w:type="spellStart"/>
      <w:r>
        <w:rPr>
          <w:iCs/>
        </w:rPr>
        <w:t>Eprinomectinum</w:t>
      </w:r>
      <w:proofErr w:type="spellEnd"/>
      <w:r>
        <w:rPr>
          <w:iCs/>
        </w:rPr>
        <w:t xml:space="preserve">                                     </w:t>
      </w:r>
      <w:r w:rsidR="007023B9">
        <w:rPr>
          <w:iCs/>
        </w:rPr>
        <w:tab/>
      </w:r>
      <w:r>
        <w:rPr>
          <w:iCs/>
        </w:rPr>
        <w:t>5,00 mg</w:t>
      </w:r>
    </w:p>
    <w:p w:rsidR="00A44538" w:rsidRDefault="00A44538" w:rsidP="00A44538">
      <w:pPr>
        <w:rPr>
          <w:b/>
        </w:rPr>
      </w:pPr>
      <w:r>
        <w:rPr>
          <w:b/>
        </w:rPr>
        <w:t>Pomocné látky:</w:t>
      </w:r>
    </w:p>
    <w:p w:rsidR="00A44538" w:rsidRDefault="00A44538" w:rsidP="00A44538">
      <w:proofErr w:type="spellStart"/>
      <w:r>
        <w:t>Butylhydroxytoluen</w:t>
      </w:r>
      <w:proofErr w:type="spellEnd"/>
      <w:r>
        <w:t xml:space="preserve"> (E321)               </w:t>
      </w:r>
      <w:r w:rsidR="007023B9">
        <w:tab/>
      </w:r>
      <w:r>
        <w:t>0,10 mg</w:t>
      </w:r>
    </w:p>
    <w:p w:rsidR="00A44538" w:rsidRDefault="00A44538" w:rsidP="00A44538">
      <w:proofErr w:type="gramStart"/>
      <w:r>
        <w:t>Tokoferol</w:t>
      </w:r>
      <w:proofErr w:type="gramEnd"/>
      <w:r>
        <w:t xml:space="preserve"> –</w:t>
      </w:r>
      <w:proofErr w:type="gramStart"/>
      <w:r>
        <w:t>alfa</w:t>
      </w:r>
      <w:proofErr w:type="gramEnd"/>
      <w:r>
        <w:t xml:space="preserve"> (E307)             </w:t>
      </w:r>
      <w:r w:rsidR="007023B9">
        <w:tab/>
      </w:r>
      <w:r w:rsidR="007023B9">
        <w:tab/>
      </w:r>
      <w:r>
        <w:t>0,06 mg</w:t>
      </w:r>
    </w:p>
    <w:p w:rsidR="00A44538" w:rsidRDefault="00A44538" w:rsidP="00A44538">
      <w:pPr>
        <w:ind w:left="0" w:firstLine="0"/>
      </w:pPr>
    </w:p>
    <w:p w:rsidR="00A44538" w:rsidRDefault="00A44538" w:rsidP="00A44538">
      <w:r>
        <w:t xml:space="preserve">Mírně nažloutlý, čirý olejovitý roztok. </w:t>
      </w:r>
    </w:p>
    <w:p w:rsidR="00A44538" w:rsidRDefault="00A44538" w:rsidP="00A44538">
      <w:pPr>
        <w:rPr>
          <w:b/>
        </w:rPr>
      </w:pPr>
    </w:p>
    <w:p w:rsidR="00A44538" w:rsidRDefault="00A44538" w:rsidP="00A44538"/>
    <w:p w:rsidR="00A44538" w:rsidRDefault="00A44538" w:rsidP="00A44538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A44538" w:rsidRDefault="00A44538" w:rsidP="00A44538">
      <w:pPr>
        <w:rPr>
          <w:b/>
        </w:rPr>
      </w:pPr>
    </w:p>
    <w:p w:rsidR="00A44538" w:rsidRDefault="00A44538" w:rsidP="00A44538">
      <w:r>
        <w:t xml:space="preserve">Léčba infekcí vyvolaných následujícími parazity citlivými na </w:t>
      </w:r>
      <w:proofErr w:type="spellStart"/>
      <w:r>
        <w:t>eprinomektin</w:t>
      </w:r>
      <w:proofErr w:type="spellEnd"/>
      <w:r>
        <w:t xml:space="preserve">: </w:t>
      </w:r>
    </w:p>
    <w:p w:rsidR="00A44538" w:rsidRDefault="00A44538" w:rsidP="00A44538"/>
    <w:p w:rsidR="00A44538" w:rsidRDefault="00A44538" w:rsidP="007023B9">
      <w:pPr>
        <w:jc w:val="both"/>
        <w:rPr>
          <w:iCs/>
          <w:szCs w:val="22"/>
        </w:rPr>
      </w:pPr>
      <w:r>
        <w:rPr>
          <w:szCs w:val="22"/>
          <w:u w:val="single"/>
        </w:rPr>
        <w:t>Gastrointestinální hlístice (dospělci a vývojová stádia L4):</w:t>
      </w:r>
      <w:r>
        <w:rPr>
          <w:szCs w:val="22"/>
        </w:rPr>
        <w:t xml:space="preserve"> </w:t>
      </w:r>
      <w:proofErr w:type="spellStart"/>
      <w:r>
        <w:rPr>
          <w:i/>
          <w:iCs/>
          <w:szCs w:val="22"/>
        </w:rPr>
        <w:t>Ostertagia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ostertagi</w:t>
      </w:r>
      <w:proofErr w:type="spellEnd"/>
      <w:r>
        <w:rPr>
          <w:i/>
          <w:iCs/>
          <w:szCs w:val="22"/>
        </w:rPr>
        <w:t xml:space="preserve"> </w:t>
      </w:r>
      <w:r>
        <w:rPr>
          <w:iCs/>
          <w:szCs w:val="22"/>
        </w:rPr>
        <w:t>(včetně</w:t>
      </w:r>
    </w:p>
    <w:p w:rsidR="00A44538" w:rsidRDefault="00A44538" w:rsidP="007023B9">
      <w:pPr>
        <w:ind w:left="0" w:firstLine="0"/>
        <w:jc w:val="both"/>
        <w:rPr>
          <w:i/>
          <w:iCs/>
          <w:szCs w:val="22"/>
        </w:rPr>
      </w:pPr>
      <w:r>
        <w:rPr>
          <w:iCs/>
          <w:szCs w:val="22"/>
        </w:rPr>
        <w:t xml:space="preserve">inhibovaných larev ve stádiu  </w:t>
      </w:r>
      <w:r>
        <w:rPr>
          <w:szCs w:val="22"/>
        </w:rPr>
        <w:t xml:space="preserve">L4), </w:t>
      </w:r>
      <w:proofErr w:type="spellStart"/>
      <w:r>
        <w:rPr>
          <w:i/>
          <w:iCs/>
          <w:szCs w:val="22"/>
        </w:rPr>
        <w:t>Ostertagia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lyrata</w:t>
      </w:r>
      <w:proofErr w:type="spellEnd"/>
      <w:r>
        <w:rPr>
          <w:i/>
          <w:iCs/>
          <w:szCs w:val="22"/>
        </w:rPr>
        <w:t xml:space="preserve"> </w:t>
      </w:r>
      <w:r>
        <w:rPr>
          <w:szCs w:val="22"/>
        </w:rPr>
        <w:t xml:space="preserve">(pouze dospělci), </w:t>
      </w:r>
      <w:proofErr w:type="spellStart"/>
      <w:r>
        <w:rPr>
          <w:i/>
          <w:iCs/>
          <w:szCs w:val="22"/>
        </w:rPr>
        <w:t>Haemonchus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placei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Trichostrongylus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axei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Trichostrongylus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colubriformis</w:t>
      </w:r>
      <w:proofErr w:type="spellEnd"/>
      <w:r>
        <w:rPr>
          <w:i/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Cooperia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Cs/>
          <w:szCs w:val="22"/>
        </w:rPr>
        <w:t>spp</w:t>
      </w:r>
      <w:proofErr w:type="spellEnd"/>
      <w:r>
        <w:rPr>
          <w:iCs/>
          <w:szCs w:val="22"/>
        </w:rPr>
        <w:t>.</w:t>
      </w:r>
      <w:r>
        <w:rPr>
          <w:i/>
          <w:iCs/>
          <w:szCs w:val="22"/>
        </w:rPr>
        <w:t xml:space="preserve"> </w:t>
      </w:r>
      <w:r>
        <w:rPr>
          <w:iCs/>
          <w:szCs w:val="22"/>
        </w:rPr>
        <w:t xml:space="preserve">(včetně inhibovaných larev ve stádiu </w:t>
      </w:r>
      <w:r>
        <w:rPr>
          <w:szCs w:val="22"/>
        </w:rPr>
        <w:t xml:space="preserve">L4), </w:t>
      </w:r>
      <w:proofErr w:type="spellStart"/>
      <w:r>
        <w:rPr>
          <w:i/>
          <w:iCs/>
          <w:szCs w:val="22"/>
        </w:rPr>
        <w:t>Cooperia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oncophora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Cooperia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punctata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Cooperia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pectinata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Cooperia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surnabada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Bunostomum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phlebotomum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Nematodirus</w:t>
      </w:r>
      <w:proofErr w:type="spellEnd"/>
      <w:r>
        <w:rPr>
          <w:i/>
          <w:iCs/>
          <w:szCs w:val="22"/>
        </w:rPr>
        <w:t xml:space="preserve"> </w:t>
      </w:r>
    </w:p>
    <w:p w:rsidR="00A44538" w:rsidRDefault="00A44538" w:rsidP="007023B9">
      <w:pPr>
        <w:ind w:left="0" w:firstLine="0"/>
        <w:jc w:val="both"/>
        <w:rPr>
          <w:i/>
          <w:iCs/>
          <w:szCs w:val="22"/>
        </w:rPr>
      </w:pPr>
      <w:proofErr w:type="spellStart"/>
      <w:r>
        <w:rPr>
          <w:i/>
          <w:iCs/>
          <w:szCs w:val="22"/>
        </w:rPr>
        <w:t>helvetianus</w:t>
      </w:r>
      <w:proofErr w:type="spellEnd"/>
      <w:r>
        <w:rPr>
          <w:iCs/>
          <w:szCs w:val="22"/>
        </w:rPr>
        <w:t>,</w:t>
      </w:r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Oesophagostomum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radiatum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Oesophagostomum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 xml:space="preserve">. (pouze dospělci), </w:t>
      </w:r>
      <w:proofErr w:type="spellStart"/>
      <w:r>
        <w:rPr>
          <w:i/>
          <w:iCs/>
          <w:szCs w:val="22"/>
        </w:rPr>
        <w:t>Trichuris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discolor</w:t>
      </w:r>
      <w:proofErr w:type="spellEnd"/>
      <w:r>
        <w:rPr>
          <w:szCs w:val="22"/>
        </w:rPr>
        <w:t>(pouze dospělci);</w:t>
      </w:r>
    </w:p>
    <w:p w:rsidR="00A44538" w:rsidRDefault="00A44538" w:rsidP="007023B9">
      <w:pPr>
        <w:jc w:val="both"/>
        <w:rPr>
          <w:szCs w:val="22"/>
        </w:rPr>
      </w:pPr>
      <w:r>
        <w:rPr>
          <w:szCs w:val="22"/>
          <w:u w:val="single"/>
        </w:rPr>
        <w:t>Plicní červi:</w:t>
      </w:r>
      <w:r>
        <w:rPr>
          <w:szCs w:val="22"/>
        </w:rPr>
        <w:t xml:space="preserve"> </w:t>
      </w:r>
      <w:proofErr w:type="spellStart"/>
      <w:r>
        <w:rPr>
          <w:i/>
          <w:iCs/>
          <w:szCs w:val="22"/>
        </w:rPr>
        <w:t>Dictyocaulus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viviparus</w:t>
      </w:r>
      <w:proofErr w:type="spellEnd"/>
      <w:r>
        <w:rPr>
          <w:i/>
          <w:iCs/>
          <w:szCs w:val="22"/>
        </w:rPr>
        <w:t xml:space="preserve"> </w:t>
      </w:r>
      <w:r>
        <w:rPr>
          <w:szCs w:val="22"/>
        </w:rPr>
        <w:t>(dospělci a vývojová stádia L4);</w:t>
      </w:r>
    </w:p>
    <w:p w:rsidR="00A44538" w:rsidRDefault="00A44538" w:rsidP="007023B9">
      <w:pPr>
        <w:jc w:val="both"/>
        <w:rPr>
          <w:iCs/>
          <w:szCs w:val="22"/>
        </w:rPr>
      </w:pPr>
      <w:r>
        <w:rPr>
          <w:szCs w:val="22"/>
          <w:u w:val="single"/>
        </w:rPr>
        <w:t>Střečci (parazitická stádia):</w:t>
      </w:r>
      <w:r>
        <w:rPr>
          <w:szCs w:val="22"/>
        </w:rPr>
        <w:t xml:space="preserve"> </w:t>
      </w:r>
      <w:proofErr w:type="spellStart"/>
      <w:r>
        <w:rPr>
          <w:i/>
          <w:iCs/>
          <w:szCs w:val="22"/>
        </w:rPr>
        <w:t>Hypoderma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bovis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Hypoderma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lineatum</w:t>
      </w:r>
      <w:proofErr w:type="spellEnd"/>
      <w:r>
        <w:rPr>
          <w:i/>
          <w:iCs/>
          <w:szCs w:val="22"/>
        </w:rPr>
        <w:t>;</w:t>
      </w:r>
    </w:p>
    <w:p w:rsidR="00A44538" w:rsidRDefault="00A44538" w:rsidP="007023B9">
      <w:pPr>
        <w:jc w:val="both"/>
        <w:rPr>
          <w:szCs w:val="22"/>
        </w:rPr>
      </w:pPr>
      <w:r>
        <w:rPr>
          <w:szCs w:val="22"/>
          <w:u w:val="single"/>
        </w:rPr>
        <w:t>Zákožky:</w:t>
      </w:r>
      <w:r>
        <w:rPr>
          <w:szCs w:val="22"/>
        </w:rPr>
        <w:t xml:space="preserve"> </w:t>
      </w:r>
      <w:proofErr w:type="spellStart"/>
      <w:r>
        <w:rPr>
          <w:i/>
          <w:iCs/>
          <w:szCs w:val="22"/>
        </w:rPr>
        <w:t>Chorioptes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bovis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Sarcoptes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scabiei</w:t>
      </w:r>
      <w:proofErr w:type="spellEnd"/>
      <w:r>
        <w:rPr>
          <w:i/>
          <w:iCs/>
          <w:szCs w:val="22"/>
        </w:rPr>
        <w:t xml:space="preserve"> </w:t>
      </w:r>
      <w:r>
        <w:rPr>
          <w:szCs w:val="22"/>
        </w:rPr>
        <w:t xml:space="preserve">var. </w:t>
      </w:r>
      <w:proofErr w:type="spellStart"/>
      <w:r>
        <w:rPr>
          <w:i/>
          <w:iCs/>
          <w:szCs w:val="22"/>
        </w:rPr>
        <w:t>bovis</w:t>
      </w:r>
      <w:proofErr w:type="spellEnd"/>
      <w:r>
        <w:rPr>
          <w:i/>
          <w:iCs/>
          <w:szCs w:val="22"/>
        </w:rPr>
        <w:t>;</w:t>
      </w:r>
    </w:p>
    <w:p w:rsidR="00A44538" w:rsidRDefault="00A44538" w:rsidP="007023B9">
      <w:pPr>
        <w:jc w:val="both"/>
        <w:rPr>
          <w:iCs/>
          <w:szCs w:val="22"/>
        </w:rPr>
      </w:pPr>
      <w:r>
        <w:rPr>
          <w:szCs w:val="22"/>
          <w:u w:val="single"/>
        </w:rPr>
        <w:t>Vši:</w:t>
      </w:r>
      <w:r>
        <w:rPr>
          <w:szCs w:val="22"/>
        </w:rPr>
        <w:t xml:space="preserve"> </w:t>
      </w:r>
      <w:proofErr w:type="spellStart"/>
      <w:r>
        <w:rPr>
          <w:i/>
          <w:iCs/>
          <w:szCs w:val="22"/>
        </w:rPr>
        <w:t>Linognathus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vituli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Haematopinus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eurysternus</w:t>
      </w:r>
      <w:proofErr w:type="spellEnd"/>
      <w:r>
        <w:rPr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Solenopotes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capillatus</w:t>
      </w:r>
      <w:proofErr w:type="spellEnd"/>
      <w:r>
        <w:rPr>
          <w:iCs/>
          <w:szCs w:val="22"/>
        </w:rPr>
        <w:t>;</w:t>
      </w:r>
    </w:p>
    <w:p w:rsidR="00A44538" w:rsidRDefault="00A44538" w:rsidP="007023B9">
      <w:pPr>
        <w:jc w:val="both"/>
        <w:rPr>
          <w:iCs/>
          <w:szCs w:val="22"/>
        </w:rPr>
      </w:pPr>
      <w:r>
        <w:rPr>
          <w:szCs w:val="22"/>
          <w:u w:val="single"/>
        </w:rPr>
        <w:t>Všenky:</w:t>
      </w:r>
      <w:r>
        <w:rPr>
          <w:szCs w:val="22"/>
        </w:rPr>
        <w:t xml:space="preserve"> </w:t>
      </w:r>
      <w:proofErr w:type="spellStart"/>
      <w:r>
        <w:rPr>
          <w:i/>
          <w:iCs/>
          <w:szCs w:val="22"/>
        </w:rPr>
        <w:t>Damalinia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bovis</w:t>
      </w:r>
      <w:proofErr w:type="spellEnd"/>
      <w:r>
        <w:rPr>
          <w:iCs/>
          <w:szCs w:val="22"/>
        </w:rPr>
        <w:t>;</w:t>
      </w:r>
    </w:p>
    <w:p w:rsidR="00A44538" w:rsidRDefault="00A44538" w:rsidP="007023B9">
      <w:pPr>
        <w:jc w:val="both"/>
        <w:rPr>
          <w:i/>
          <w:iCs/>
          <w:szCs w:val="22"/>
        </w:rPr>
      </w:pPr>
      <w:r>
        <w:rPr>
          <w:szCs w:val="22"/>
          <w:u w:val="single"/>
        </w:rPr>
        <w:t>Mouchy:</w:t>
      </w:r>
      <w:r>
        <w:rPr>
          <w:szCs w:val="22"/>
        </w:rPr>
        <w:t xml:space="preserve"> </w:t>
      </w:r>
      <w:proofErr w:type="spellStart"/>
      <w:r>
        <w:rPr>
          <w:i/>
          <w:iCs/>
          <w:szCs w:val="22"/>
        </w:rPr>
        <w:t>Haematobia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irritans</w:t>
      </w:r>
      <w:proofErr w:type="spellEnd"/>
      <w:r>
        <w:rPr>
          <w:i/>
          <w:iCs/>
          <w:szCs w:val="22"/>
        </w:rPr>
        <w:t>.</w:t>
      </w:r>
    </w:p>
    <w:p w:rsidR="00A44538" w:rsidRDefault="00A44538" w:rsidP="007023B9">
      <w:pPr>
        <w:jc w:val="both"/>
        <w:rPr>
          <w:i/>
          <w:iCs/>
          <w:szCs w:val="22"/>
        </w:rPr>
      </w:pPr>
    </w:p>
    <w:p w:rsidR="007023B9" w:rsidRDefault="007023B9" w:rsidP="007023B9">
      <w:pPr>
        <w:jc w:val="both"/>
        <w:rPr>
          <w:i/>
          <w:iCs/>
          <w:szCs w:val="22"/>
        </w:rPr>
      </w:pPr>
    </w:p>
    <w:p w:rsidR="00A44538" w:rsidRDefault="00A44538" w:rsidP="007023B9">
      <w:pPr>
        <w:jc w:val="both"/>
        <w:rPr>
          <w:szCs w:val="22"/>
        </w:rPr>
      </w:pPr>
      <w:r>
        <w:rPr>
          <w:szCs w:val="22"/>
        </w:rPr>
        <w:lastRenderedPageBreak/>
        <w:t xml:space="preserve">Přípravek chrání zvířata proti opakované infekci: </w:t>
      </w:r>
    </w:p>
    <w:p w:rsidR="00A44538" w:rsidRDefault="00A44538" w:rsidP="007023B9">
      <w:pPr>
        <w:ind w:left="0" w:firstLine="0"/>
        <w:rPr>
          <w:i/>
          <w:iCs/>
          <w:szCs w:val="22"/>
        </w:rPr>
      </w:pPr>
      <w:r>
        <w:rPr>
          <w:i/>
          <w:iCs/>
          <w:szCs w:val="22"/>
        </w:rPr>
        <w:t xml:space="preserve">- </w:t>
      </w:r>
      <w:proofErr w:type="spellStart"/>
      <w:r>
        <w:rPr>
          <w:i/>
          <w:iCs/>
          <w:szCs w:val="22"/>
        </w:rPr>
        <w:t>Nematodirus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helvetianus</w:t>
      </w:r>
      <w:proofErr w:type="spellEnd"/>
      <w:r>
        <w:rPr>
          <w:szCs w:val="22"/>
        </w:rPr>
        <w:t xml:space="preserve"> po dobu 14 dní.</w:t>
      </w:r>
      <w:r>
        <w:rPr>
          <w:szCs w:val="22"/>
        </w:rPr>
        <w:br/>
        <w:t xml:space="preserve">- </w:t>
      </w:r>
      <w:proofErr w:type="spellStart"/>
      <w:r>
        <w:rPr>
          <w:i/>
          <w:iCs/>
          <w:szCs w:val="22"/>
        </w:rPr>
        <w:t>Trichostrongylus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axei</w:t>
      </w:r>
      <w:proofErr w:type="spellEnd"/>
      <w:r>
        <w:rPr>
          <w:i/>
          <w:iCs/>
          <w:szCs w:val="22"/>
        </w:rPr>
        <w:t xml:space="preserve"> </w:t>
      </w:r>
      <w:r>
        <w:rPr>
          <w:iCs/>
          <w:szCs w:val="22"/>
        </w:rPr>
        <w:t xml:space="preserve">a </w:t>
      </w:r>
      <w:proofErr w:type="spellStart"/>
      <w:r>
        <w:rPr>
          <w:i/>
          <w:iCs/>
          <w:szCs w:val="22"/>
        </w:rPr>
        <w:t>Haemonchus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placei</w:t>
      </w:r>
      <w:proofErr w:type="spellEnd"/>
      <w:r>
        <w:rPr>
          <w:szCs w:val="22"/>
        </w:rPr>
        <w:t xml:space="preserve"> po dobu 21 dní.</w:t>
      </w:r>
      <w:r>
        <w:rPr>
          <w:i/>
          <w:iCs/>
          <w:szCs w:val="22"/>
        </w:rPr>
        <w:br/>
        <w:t xml:space="preserve">- </w:t>
      </w:r>
      <w:proofErr w:type="spellStart"/>
      <w:r>
        <w:rPr>
          <w:i/>
          <w:iCs/>
          <w:szCs w:val="22"/>
        </w:rPr>
        <w:t>Dictyocaulus</w:t>
      </w:r>
      <w:proofErr w:type="spellEnd"/>
      <w:r>
        <w:rPr>
          <w:i/>
          <w:iCs/>
          <w:szCs w:val="22"/>
        </w:rPr>
        <w:t xml:space="preserve"> </w:t>
      </w:r>
      <w:proofErr w:type="spellStart"/>
      <w:proofErr w:type="gramStart"/>
      <w:r>
        <w:rPr>
          <w:i/>
          <w:iCs/>
          <w:szCs w:val="22"/>
        </w:rPr>
        <w:t>viviparus</w:t>
      </w:r>
      <w:proofErr w:type="spellEnd"/>
      <w:r>
        <w:rPr>
          <w:i/>
          <w:iCs/>
          <w:szCs w:val="22"/>
        </w:rPr>
        <w:t>,,</w:t>
      </w:r>
      <w:proofErr w:type="spellStart"/>
      <w:r>
        <w:rPr>
          <w:i/>
          <w:iCs/>
          <w:szCs w:val="22"/>
        </w:rPr>
        <w:t>Cooperia</w:t>
      </w:r>
      <w:proofErr w:type="spellEnd"/>
      <w:proofErr w:type="gram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oncophora</w:t>
      </w:r>
      <w:proofErr w:type="spellEnd"/>
      <w:r>
        <w:rPr>
          <w:i/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Cooperia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punctata</w:t>
      </w:r>
      <w:proofErr w:type="spellEnd"/>
      <w:r>
        <w:rPr>
          <w:i/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Coope</w:t>
      </w:r>
      <w:r w:rsidR="007023B9">
        <w:rPr>
          <w:i/>
          <w:iCs/>
          <w:szCs w:val="22"/>
        </w:rPr>
        <w:t>ria</w:t>
      </w:r>
      <w:proofErr w:type="spellEnd"/>
      <w:r w:rsidR="007023B9">
        <w:rPr>
          <w:i/>
          <w:iCs/>
          <w:szCs w:val="22"/>
        </w:rPr>
        <w:t xml:space="preserve"> </w:t>
      </w:r>
      <w:proofErr w:type="spellStart"/>
      <w:r w:rsidR="007023B9">
        <w:rPr>
          <w:i/>
          <w:iCs/>
          <w:szCs w:val="22"/>
        </w:rPr>
        <w:t>surnabada</w:t>
      </w:r>
      <w:proofErr w:type="spellEnd"/>
      <w:r w:rsidR="007023B9">
        <w:rPr>
          <w:i/>
          <w:iCs/>
          <w:szCs w:val="22"/>
        </w:rPr>
        <w:t xml:space="preserve">, </w:t>
      </w:r>
      <w:proofErr w:type="spellStart"/>
      <w:r>
        <w:rPr>
          <w:i/>
          <w:iCs/>
          <w:szCs w:val="22"/>
        </w:rPr>
        <w:t>Oesophagostomum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radiatum</w:t>
      </w:r>
      <w:proofErr w:type="spellEnd"/>
      <w:r>
        <w:rPr>
          <w:i/>
          <w:iCs/>
          <w:szCs w:val="22"/>
        </w:rPr>
        <w:t xml:space="preserve"> </w:t>
      </w:r>
      <w:r>
        <w:rPr>
          <w:iCs/>
          <w:szCs w:val="22"/>
        </w:rPr>
        <w:t>a</w:t>
      </w:r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Ostertagia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ostertagi</w:t>
      </w:r>
      <w:proofErr w:type="spellEnd"/>
      <w:r>
        <w:rPr>
          <w:i/>
          <w:iCs/>
          <w:szCs w:val="22"/>
        </w:rPr>
        <w:t xml:space="preserve"> </w:t>
      </w:r>
      <w:r>
        <w:rPr>
          <w:iCs/>
          <w:szCs w:val="22"/>
        </w:rPr>
        <w:t xml:space="preserve">po dobu </w:t>
      </w:r>
      <w:r>
        <w:rPr>
          <w:szCs w:val="22"/>
        </w:rPr>
        <w:t>28 dní</w:t>
      </w:r>
      <w:r>
        <w:rPr>
          <w:i/>
          <w:iCs/>
          <w:szCs w:val="22"/>
        </w:rPr>
        <w:t>.</w:t>
      </w:r>
    </w:p>
    <w:p w:rsidR="00A44538" w:rsidRDefault="00A44538" w:rsidP="00A44538">
      <w:r>
        <w:t xml:space="preserve"> </w:t>
      </w:r>
    </w:p>
    <w:p w:rsidR="00A44538" w:rsidRDefault="00A44538" w:rsidP="00A44538">
      <w:pPr>
        <w:rPr>
          <w:b/>
        </w:rPr>
      </w:pPr>
    </w:p>
    <w:p w:rsidR="00A44538" w:rsidRDefault="00A44538" w:rsidP="00A44538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A44538" w:rsidRDefault="00A44538" w:rsidP="00A44538"/>
    <w:p w:rsidR="00A44538" w:rsidRDefault="00A44538" w:rsidP="007023B9">
      <w:pPr>
        <w:tabs>
          <w:tab w:val="left" w:pos="567"/>
        </w:tabs>
        <w:ind w:left="0" w:firstLine="0"/>
        <w:jc w:val="both"/>
      </w:pPr>
      <w:r>
        <w:t xml:space="preserve">Přípravek je určen pouze pro místní podání u masného a mléčného skotu, včetně laktujících dojnic. Nepoužívat u jiných druhů zvířat. </w:t>
      </w:r>
    </w:p>
    <w:p w:rsidR="00A44538" w:rsidRDefault="00A44538" w:rsidP="007023B9">
      <w:pPr>
        <w:tabs>
          <w:tab w:val="left" w:pos="567"/>
        </w:tabs>
        <w:ind w:left="0" w:firstLine="0"/>
        <w:jc w:val="both"/>
      </w:pPr>
      <w:r>
        <w:t xml:space="preserve">Není určeno k perorální nebo injekční aplikaci. </w:t>
      </w:r>
    </w:p>
    <w:p w:rsidR="00A44538" w:rsidRDefault="00A44538" w:rsidP="007023B9">
      <w:pPr>
        <w:tabs>
          <w:tab w:val="left" w:pos="567"/>
        </w:tabs>
        <w:spacing w:line="260" w:lineRule="exact"/>
        <w:ind w:left="0" w:firstLine="0"/>
        <w:jc w:val="both"/>
      </w:pPr>
      <w:r>
        <w:t xml:space="preserve">Nepoužívat v případě rezistence na léčivou látku. </w:t>
      </w:r>
    </w:p>
    <w:p w:rsidR="00A44538" w:rsidRDefault="00A44538" w:rsidP="007023B9">
      <w:pPr>
        <w:tabs>
          <w:tab w:val="left" w:pos="567"/>
        </w:tabs>
        <w:ind w:left="0" w:firstLine="0"/>
        <w:jc w:val="both"/>
      </w:pPr>
      <w:r>
        <w:t xml:space="preserve">Nepoužívat u zvířat se známou přecitlivělostí na léčivou látku, nebo na některou z pomocných látek. </w:t>
      </w:r>
    </w:p>
    <w:p w:rsidR="00A44538" w:rsidRDefault="00A44538" w:rsidP="00A44538"/>
    <w:p w:rsidR="00A44538" w:rsidRDefault="00A44538" w:rsidP="00A44538"/>
    <w:p w:rsidR="00A44538" w:rsidRDefault="00A44538" w:rsidP="00A44538">
      <w:r>
        <w:rPr>
          <w:b/>
        </w:rPr>
        <w:t>6.</w:t>
      </w:r>
      <w:r>
        <w:rPr>
          <w:b/>
        </w:rPr>
        <w:tab/>
        <w:t>NEŽÁDOUCÍ ÚČINKY</w:t>
      </w:r>
    </w:p>
    <w:p w:rsidR="00A44538" w:rsidRDefault="00A44538" w:rsidP="00A44538"/>
    <w:p w:rsidR="00A44538" w:rsidRDefault="00A44538" w:rsidP="007023B9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 podání přípravku bylo pozorováno v některých případech přechodné olizování, tremor kůže na místě aplikace a mírné lokální reakce jako přítomnost lupů a šupin na kůži v místě podání.    </w:t>
      </w:r>
    </w:p>
    <w:p w:rsidR="00A44538" w:rsidRDefault="00A44538" w:rsidP="007023B9">
      <w:pPr>
        <w:ind w:left="0" w:firstLine="0"/>
        <w:jc w:val="both"/>
      </w:pPr>
    </w:p>
    <w:p w:rsidR="00A44538" w:rsidRDefault="00A44538" w:rsidP="007023B9">
      <w:pPr>
        <w:ind w:left="0" w:firstLine="0"/>
        <w:jc w:val="both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A44538" w:rsidRDefault="00A44538" w:rsidP="00A44538"/>
    <w:p w:rsidR="00A44538" w:rsidRDefault="00A44538" w:rsidP="00A44538"/>
    <w:p w:rsidR="00A44538" w:rsidRDefault="00A44538" w:rsidP="00A44538">
      <w:r>
        <w:rPr>
          <w:b/>
        </w:rPr>
        <w:t>7.</w:t>
      </w:r>
      <w:r>
        <w:rPr>
          <w:b/>
        </w:rPr>
        <w:tab/>
        <w:t>CÍLOVÝ DRUH ZVÍŘAT</w:t>
      </w:r>
    </w:p>
    <w:p w:rsidR="00A44538" w:rsidRDefault="00A44538" w:rsidP="00A44538"/>
    <w:p w:rsidR="00A44538" w:rsidRDefault="00A44538" w:rsidP="00A44538">
      <w:r>
        <w:t xml:space="preserve">Masný a mléčný skot. </w:t>
      </w:r>
    </w:p>
    <w:p w:rsidR="00A44538" w:rsidRDefault="00A44538" w:rsidP="00A44538"/>
    <w:p w:rsidR="00A44538" w:rsidRDefault="00A44538" w:rsidP="00A44538">
      <w:pPr>
        <w:rPr>
          <w:b/>
        </w:rPr>
      </w:pPr>
    </w:p>
    <w:p w:rsidR="00A44538" w:rsidRDefault="00A44538" w:rsidP="00A44538"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:rsidR="00A44538" w:rsidRDefault="00A44538" w:rsidP="00A44538">
      <w:pPr>
        <w:ind w:left="0" w:firstLine="0"/>
      </w:pPr>
    </w:p>
    <w:p w:rsidR="00A44538" w:rsidRDefault="00A44538" w:rsidP="007023B9">
      <w:pPr>
        <w:ind w:left="0" w:firstLine="0"/>
        <w:jc w:val="both"/>
      </w:pPr>
      <w:r>
        <w:t>K podání formou pro nalévání na hřbet (</w:t>
      </w:r>
      <w:proofErr w:type="spellStart"/>
      <w:r>
        <w:t>pour</w:t>
      </w:r>
      <w:proofErr w:type="spellEnd"/>
      <w:r>
        <w:t xml:space="preserve">-on). </w:t>
      </w:r>
    </w:p>
    <w:p w:rsidR="00A44538" w:rsidRDefault="00A44538" w:rsidP="007023B9">
      <w:pPr>
        <w:ind w:left="0" w:firstLine="0"/>
        <w:jc w:val="both"/>
      </w:pPr>
      <w:r>
        <w:t xml:space="preserve">K jednorázovému místnímu podání v dávce 500 µg </w:t>
      </w:r>
      <w:proofErr w:type="spellStart"/>
      <w:r>
        <w:t>eprinomektinu</w:t>
      </w:r>
      <w:proofErr w:type="spellEnd"/>
      <w:r>
        <w:t xml:space="preserve"> na kgž.hm., což odpovídá 1 ml přípravku na </w:t>
      </w:r>
      <w:smartTag w:uri="urn:schemas-microsoft-com:office:smarttags" w:element="metricconverter">
        <w:smartTagPr>
          <w:attr w:name="ProductID" w:val="10 kg"/>
        </w:smartTagPr>
        <w:r>
          <w:t>10 kg</w:t>
        </w:r>
      </w:smartTag>
      <w:r>
        <w:t xml:space="preserve"> ž.hm. </w:t>
      </w:r>
    </w:p>
    <w:p w:rsidR="00A44538" w:rsidRDefault="00A44538" w:rsidP="007023B9">
      <w:pPr>
        <w:ind w:left="0" w:firstLine="0"/>
        <w:jc w:val="both"/>
      </w:pPr>
      <w:r>
        <w:t xml:space="preserve">Přípravek se podává naléváním podél linie hřbetu v úzkém pásu od kohoutku až po kořen ocasu. </w:t>
      </w:r>
    </w:p>
    <w:p w:rsidR="00A44538" w:rsidRDefault="00A44538" w:rsidP="007023B9">
      <w:pPr>
        <w:ind w:left="0" w:firstLine="0"/>
        <w:jc w:val="both"/>
      </w:pPr>
      <w:r>
        <w:t>K zajištění správného dávkování je potřeba co nepřesněji určit hmotnost zvířete a zkontrolovat přesnost dávkovacího zařízení. Pokud bude provedeno ošetření skupiny zvířat, je nutno zvířata rozdělit podle hmotnosti a dávkování přizpůsobit, aby nebyly podávány nízké dávky či naopak,</w:t>
      </w:r>
      <w:r w:rsidR="007023B9">
        <w:t xml:space="preserve"> </w:t>
      </w:r>
      <w:r>
        <w:t xml:space="preserve">aby nedocházelo k předávkování. </w:t>
      </w:r>
    </w:p>
    <w:p w:rsidR="00A44538" w:rsidRDefault="00A44538" w:rsidP="007023B9">
      <w:pPr>
        <w:ind w:left="0" w:firstLine="0"/>
        <w:jc w:val="both"/>
      </w:pPr>
      <w:r>
        <w:t xml:space="preserve">Všechna zvířata náležející do stejné skupiny se doporučuje ošetřit ve stejnou dobu. </w:t>
      </w:r>
    </w:p>
    <w:p w:rsidR="00A44538" w:rsidRDefault="00A44538" w:rsidP="00A44538"/>
    <w:p w:rsidR="00A44538" w:rsidRDefault="00A44538" w:rsidP="00A44538"/>
    <w:p w:rsidR="00A44538" w:rsidRDefault="00A44538" w:rsidP="00A44538">
      <w:r>
        <w:rPr>
          <w:b/>
        </w:rPr>
        <w:t>9.</w:t>
      </w:r>
      <w:r>
        <w:rPr>
          <w:b/>
        </w:rPr>
        <w:tab/>
        <w:t>POKYNY PRO SPRÁVNÉ PODÁNÍ</w:t>
      </w:r>
    </w:p>
    <w:p w:rsidR="00A44538" w:rsidRDefault="00A44538" w:rsidP="00A44538"/>
    <w:p w:rsidR="00A44538" w:rsidRDefault="00A44538" w:rsidP="007023B9">
      <w:pPr>
        <w:ind w:left="0" w:firstLine="0"/>
        <w:jc w:val="both"/>
        <w:rPr>
          <w:b/>
        </w:rPr>
      </w:pPr>
      <w:r>
        <w:rPr>
          <w:b/>
        </w:rPr>
        <w:t>Aplikační systém: Stlač-Odměř-Nalij (láhev o objemu 1 litr)</w:t>
      </w:r>
    </w:p>
    <w:p w:rsidR="00A44538" w:rsidRDefault="00A44538" w:rsidP="007023B9">
      <w:pPr>
        <w:ind w:left="0" w:firstLine="0"/>
        <w:jc w:val="both"/>
      </w:pPr>
      <w:r>
        <w:t xml:space="preserve">Obr.1 a 2: Odstraňte z láhve ochrannou hliníkovou fólii. </w:t>
      </w:r>
    </w:p>
    <w:p w:rsidR="00A44538" w:rsidRDefault="00A44538" w:rsidP="007023B9">
      <w:pPr>
        <w:ind w:left="0" w:firstLine="0"/>
        <w:jc w:val="both"/>
      </w:pPr>
      <w:r>
        <w:t xml:space="preserve">Obr.3a 4:Přišroubujte k láhvi odměrku. Nastavte požadovanou dávku otočením horní části odměrky tak, aby se kryla stanovená hmotnost zvířete s ukazovatelem na stupnici. </w:t>
      </w:r>
    </w:p>
    <w:p w:rsidR="00A44538" w:rsidRDefault="00A44538" w:rsidP="007023B9">
      <w:pPr>
        <w:ind w:left="0" w:firstLine="0"/>
        <w:jc w:val="both"/>
      </w:pPr>
      <w:r>
        <w:t>V případě, že stanovená hmotnost je mezi dvěma značkami stupnice, použijte vyšší nastavení.</w:t>
      </w:r>
    </w:p>
    <w:p w:rsidR="00A44538" w:rsidRDefault="00A44538" w:rsidP="007023B9">
      <w:pPr>
        <w:ind w:left="0" w:firstLine="0"/>
        <w:jc w:val="both"/>
      </w:pPr>
      <w:r>
        <w:t>Obr.5: Láhev držte svisle a vytlačte požadovanou dávku roztoku s mírným přebytkem požadované dávky jak ji indikují značky na stupnici..</w:t>
      </w:r>
    </w:p>
    <w:p w:rsidR="00A44538" w:rsidRDefault="00A44538" w:rsidP="007023B9">
      <w:pPr>
        <w:ind w:left="0" w:firstLine="0"/>
        <w:jc w:val="both"/>
      </w:pPr>
      <w:r>
        <w:t xml:space="preserve">Obr.6 a 7: Uvolněním tlaku na láhev se dávka automaticky nastaví na požadované množství. Poté odměrku sejměte z láhve a uzavřete ji zašroubováním víčka.   </w:t>
      </w:r>
    </w:p>
    <w:p w:rsidR="00833276" w:rsidRDefault="00833276" w:rsidP="00A44538"/>
    <w:p w:rsidR="00833276" w:rsidRPr="00687B17" w:rsidRDefault="00833276" w:rsidP="00687B17">
      <w:pPr>
        <w:keepNext/>
        <w:ind w:left="2691" w:firstLine="0"/>
        <w:rPr>
          <w:b/>
        </w:rPr>
      </w:pPr>
      <w:r w:rsidRPr="00687B17">
        <w:rPr>
          <w:b/>
        </w:rPr>
        <w:lastRenderedPageBreak/>
        <w:t>1 L</w:t>
      </w:r>
    </w:p>
    <w:p w:rsidR="00A44538" w:rsidRDefault="009E2BDC" w:rsidP="00A44538">
      <w:r>
        <w:rPr>
          <w:noProof/>
          <w:lang w:eastAsia="cs-CZ"/>
        </w:rPr>
        <w:drawing>
          <wp:inline distT="0" distB="0" distL="0" distR="0" wp14:anchorId="788AC88B" wp14:editId="7F3C8742">
            <wp:extent cx="3343910" cy="6577965"/>
            <wp:effectExtent l="0" t="0" r="889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38" w:rsidRDefault="00A44538" w:rsidP="007023B9">
      <w:pPr>
        <w:jc w:val="both"/>
      </w:pPr>
    </w:p>
    <w:p w:rsidR="00A44538" w:rsidRDefault="00A44538" w:rsidP="007023B9">
      <w:pPr>
        <w:ind w:left="0" w:firstLine="0"/>
        <w:jc w:val="both"/>
        <w:rPr>
          <w:b/>
        </w:rPr>
      </w:pPr>
      <w:r>
        <w:rPr>
          <w:b/>
        </w:rPr>
        <w:t xml:space="preserve">Kanystr (kanystr o objemu 2,5 litru a 5 litrů)   </w:t>
      </w:r>
    </w:p>
    <w:p w:rsidR="00A44538" w:rsidRDefault="00A44538" w:rsidP="007023B9">
      <w:pPr>
        <w:jc w:val="both"/>
      </w:pPr>
      <w:r>
        <w:t xml:space="preserve">Připojte vhodný dávkovací automat a spojovací odběrovou hadičku ke kanystru následujícím způsobem. </w:t>
      </w:r>
    </w:p>
    <w:p w:rsidR="00A44538" w:rsidRDefault="00A44538" w:rsidP="007023B9">
      <w:pPr>
        <w:jc w:val="both"/>
      </w:pPr>
      <w:r>
        <w:t xml:space="preserve">Obr.1a2:Odstraňte z láhve ochrannou hliníkovou fólii. </w:t>
      </w:r>
    </w:p>
    <w:p w:rsidR="00A44538" w:rsidRDefault="00A44538" w:rsidP="007023B9">
      <w:pPr>
        <w:ind w:left="0" w:firstLine="0"/>
        <w:jc w:val="both"/>
      </w:pPr>
      <w:r>
        <w:t>Obr. 3: Uzávěr, kterým je lahev vybavena pro přepravu a uchovávání přípravku nahraďte uzávěrem s vývodem pro odběr přípravku.</w:t>
      </w:r>
      <w:r w:rsidR="007023B9">
        <w:t xml:space="preserve"> </w:t>
      </w:r>
      <w:r>
        <w:t xml:space="preserve">Odběrový uzávěr pevně přišroubujte.  </w:t>
      </w:r>
    </w:p>
    <w:p w:rsidR="00A44538" w:rsidRDefault="00A44538" w:rsidP="007023B9">
      <w:pPr>
        <w:ind w:left="0" w:firstLine="0"/>
        <w:jc w:val="both"/>
      </w:pPr>
      <w:r>
        <w:t xml:space="preserve">Obr. 4: Jeden konec hadičky připojte k odběrovému uzávěru a druhý konec k dávkovacímu automatu. </w:t>
      </w:r>
    </w:p>
    <w:p w:rsidR="00A44538" w:rsidRDefault="00A44538" w:rsidP="007023B9">
      <w:pPr>
        <w:ind w:left="0" w:firstLine="0"/>
        <w:jc w:val="both"/>
      </w:pPr>
      <w:r>
        <w:t xml:space="preserve">Obr. 5: Opatrně připravte dávkovací automat k použití; před vlastním použitím se ujistěte, že veškeré spoje jsou řádně spojeny a utaženy. </w:t>
      </w:r>
    </w:p>
    <w:p w:rsidR="00A44538" w:rsidRDefault="00A44538" w:rsidP="007023B9">
      <w:pPr>
        <w:ind w:left="0" w:firstLine="0"/>
        <w:jc w:val="both"/>
      </w:pPr>
      <w:r>
        <w:t>Pro nastavení dávky, správné použití a údržbu dávkovacího automatu a spojovacích odběrových hadiček postupujte podle návodu výrobce dávkovacího automatu</w:t>
      </w:r>
      <w:r w:rsidR="007023B9">
        <w:t>.</w:t>
      </w:r>
    </w:p>
    <w:p w:rsidR="00A44538" w:rsidRDefault="00A44538" w:rsidP="00A44538"/>
    <w:p w:rsidR="00A44538" w:rsidRDefault="00A44538" w:rsidP="00A44538">
      <w:r>
        <w:lastRenderedPageBreak/>
        <w:t xml:space="preserve">V případě, že hmotnost zvířete leží mezi dvěma značkami stupnice, použijte vyšší nastavení. </w:t>
      </w:r>
    </w:p>
    <w:p w:rsidR="00A44538" w:rsidRDefault="00A44538" w:rsidP="00A44538"/>
    <w:p w:rsidR="00A44538" w:rsidRDefault="00833276" w:rsidP="00A44538">
      <w:r>
        <w:rPr>
          <w:noProof/>
          <w:sz w:val="20"/>
          <w:lang w:eastAsia="cs-CZ"/>
        </w:rPr>
        <w:drawing>
          <wp:inline distT="0" distB="0" distL="0" distR="0" wp14:anchorId="7E635D90" wp14:editId="45094EAE">
            <wp:extent cx="2962275" cy="6019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38" w:rsidRDefault="00A44538" w:rsidP="00A44538"/>
    <w:p w:rsidR="00A44538" w:rsidRDefault="00A44538" w:rsidP="00A44538">
      <w:pPr>
        <w:rPr>
          <w:bCs/>
          <w:noProof/>
        </w:rPr>
      </w:pPr>
    </w:p>
    <w:p w:rsidR="00A44538" w:rsidRDefault="00A44538" w:rsidP="00A44538">
      <w:pPr>
        <w:rPr>
          <w:sz w:val="24"/>
          <w:szCs w:val="24"/>
          <w:lang w:val="fr-FR" w:eastAsia="fr-FR"/>
        </w:rPr>
      </w:pPr>
    </w:p>
    <w:p w:rsidR="00A44538" w:rsidRDefault="00A44538" w:rsidP="00A44538"/>
    <w:p w:rsidR="00A44538" w:rsidRDefault="00A44538" w:rsidP="007023B9">
      <w:pPr>
        <w:jc w:val="both"/>
        <w:rPr>
          <w:b/>
        </w:rPr>
      </w:pPr>
      <w:r>
        <w:rPr>
          <w:b/>
        </w:rPr>
        <w:t xml:space="preserve">Flexi </w:t>
      </w:r>
      <w:proofErr w:type="spellStart"/>
      <w:r>
        <w:rPr>
          <w:b/>
        </w:rPr>
        <w:t>bag</w:t>
      </w:r>
      <w:proofErr w:type="spellEnd"/>
      <w:r>
        <w:rPr>
          <w:b/>
        </w:rPr>
        <w:t xml:space="preserve"> (pružný vak o objemu 2,5 litru, 4,5 litru a 8 litrů)    </w:t>
      </w:r>
    </w:p>
    <w:p w:rsidR="00A44538" w:rsidRDefault="00A44538" w:rsidP="007023B9">
      <w:pPr>
        <w:ind w:left="0" w:firstLine="0"/>
        <w:jc w:val="both"/>
      </w:pPr>
      <w:r>
        <w:t xml:space="preserve">K systému </w:t>
      </w:r>
      <w:proofErr w:type="spellStart"/>
      <w:r>
        <w:t>FlexiBag</w:t>
      </w:r>
      <w:proofErr w:type="spellEnd"/>
      <w:r>
        <w:t xml:space="preserve"> připojte vhodný dávkovací automat následujícím způsobem. </w:t>
      </w:r>
    </w:p>
    <w:p w:rsidR="00A44538" w:rsidRDefault="00A44538" w:rsidP="007023B9">
      <w:pPr>
        <w:ind w:left="0" w:firstLine="0"/>
        <w:jc w:val="both"/>
      </w:pPr>
      <w:r>
        <w:t>Obr. 1 až 4: Jeden konec spojovací hadičky připojte k zámkové spojce odběrového systému typu E-</w:t>
      </w:r>
      <w:proofErr w:type="spellStart"/>
      <w:r>
        <w:t>lock</w:t>
      </w:r>
      <w:proofErr w:type="spellEnd"/>
      <w:r>
        <w:t xml:space="preserve"> a druhý konec k dávkovacímu automatu. </w:t>
      </w:r>
    </w:p>
    <w:p w:rsidR="00A44538" w:rsidRDefault="00A44538" w:rsidP="007023B9">
      <w:pPr>
        <w:ind w:left="0" w:firstLine="0"/>
        <w:jc w:val="both"/>
      </w:pPr>
      <w:r>
        <w:t xml:space="preserve">Obr.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6: Zasuňte zámkovou spojku do vnitřního obalu </w:t>
      </w:r>
      <w:proofErr w:type="spellStart"/>
      <w:r>
        <w:t>FlexiBag</w:t>
      </w:r>
      <w:proofErr w:type="spellEnd"/>
      <w:r>
        <w:t xml:space="preserve">. </w:t>
      </w:r>
    </w:p>
    <w:p w:rsidR="00A44538" w:rsidRDefault="00A44538" w:rsidP="007023B9">
      <w:pPr>
        <w:ind w:left="0" w:firstLine="0"/>
        <w:jc w:val="both"/>
      </w:pPr>
      <w:r>
        <w:t xml:space="preserve">Obr. 7: Opatrně připravte dávkovací automat k použití; před vlastním použitím se ujistěte, že veškeré spoje jsou řádně spojeny a utaženy.  </w:t>
      </w:r>
    </w:p>
    <w:p w:rsidR="00A44538" w:rsidRDefault="00A44538" w:rsidP="007023B9">
      <w:pPr>
        <w:ind w:left="0" w:firstLine="0"/>
        <w:jc w:val="both"/>
      </w:pPr>
      <w:r>
        <w:t>Pro nastavení dávky, správné použití a údržbu dávkovacího automatu postupujte podle návodu výrobce dávkovacího automatu</w:t>
      </w:r>
      <w:r w:rsidR="000D7E0E">
        <w:t>.</w:t>
      </w:r>
    </w:p>
    <w:p w:rsidR="00A44538" w:rsidRDefault="00A44538" w:rsidP="007023B9">
      <w:pPr>
        <w:jc w:val="both"/>
      </w:pPr>
      <w:r>
        <w:t xml:space="preserve">V případě, že hmotnost je mezi dvěma značkami stupnice, použijte vyšší nastavení. </w:t>
      </w:r>
    </w:p>
    <w:p w:rsidR="00A44538" w:rsidRDefault="00A44538" w:rsidP="00A44538"/>
    <w:p w:rsidR="00A44538" w:rsidRDefault="007023B9" w:rsidP="00A44538">
      <w:r>
        <w:rPr>
          <w:noProof/>
          <w:szCs w:val="22"/>
          <w:lang w:eastAsia="cs-CZ"/>
        </w:rPr>
        <w:lastRenderedPageBreak/>
        <w:drawing>
          <wp:inline distT="0" distB="0" distL="0" distR="0">
            <wp:extent cx="5760720" cy="5534043"/>
            <wp:effectExtent l="0" t="0" r="0" b="9525"/>
            <wp:docPr id="3" name="Obrázek 3" descr="Neoprinil new pict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prinil new pictogra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38" w:rsidRDefault="00A44538" w:rsidP="00A44538"/>
    <w:p w:rsidR="000D7E0E" w:rsidRDefault="000D7E0E" w:rsidP="00A44538">
      <w:pPr>
        <w:rPr>
          <w:b/>
        </w:rPr>
      </w:pPr>
    </w:p>
    <w:p w:rsidR="000D7E0E" w:rsidRDefault="000D7E0E" w:rsidP="00A44538">
      <w:pPr>
        <w:rPr>
          <w:b/>
        </w:rPr>
      </w:pPr>
    </w:p>
    <w:p w:rsidR="00A44538" w:rsidRDefault="00A44538" w:rsidP="00A44538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A44538" w:rsidRDefault="00A44538" w:rsidP="00A44538">
      <w:pPr>
        <w:rPr>
          <w:iCs/>
        </w:rPr>
      </w:pPr>
    </w:p>
    <w:p w:rsidR="00A44538" w:rsidRDefault="00A44538" w:rsidP="00A44538">
      <w:r>
        <w:t xml:space="preserve">Maso: 15 dnů. </w:t>
      </w:r>
    </w:p>
    <w:p w:rsidR="00A44538" w:rsidRDefault="00A44538" w:rsidP="00A44538">
      <w:pPr>
        <w:rPr>
          <w:b/>
        </w:rPr>
      </w:pPr>
      <w:r>
        <w:t xml:space="preserve">Mléko: Bez ochranných lhůt. </w:t>
      </w:r>
    </w:p>
    <w:p w:rsidR="00A44538" w:rsidRDefault="00A44538" w:rsidP="00A44538">
      <w:pPr>
        <w:rPr>
          <w:iCs/>
        </w:rPr>
      </w:pPr>
    </w:p>
    <w:p w:rsidR="00A44538" w:rsidRDefault="00A44538" w:rsidP="00A44538">
      <w:pPr>
        <w:rPr>
          <w:iCs/>
        </w:rPr>
      </w:pPr>
    </w:p>
    <w:p w:rsidR="00A44538" w:rsidRDefault="00A44538" w:rsidP="00A44538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A44538" w:rsidRDefault="00A44538" w:rsidP="00A44538"/>
    <w:p w:rsidR="00A44538" w:rsidRDefault="00A44538" w:rsidP="00A44538">
      <w:r>
        <w:t>Uchovávat mimo dosah dětí.</w:t>
      </w:r>
    </w:p>
    <w:p w:rsidR="00A44538" w:rsidRDefault="00A44538" w:rsidP="00A44538">
      <w:pPr>
        <w:ind w:right="-318"/>
      </w:pPr>
      <w:r>
        <w:t>Tento veterinární léčivý přípravek nevyžaduje žádné zvláštní podmínky uchovávání.</w:t>
      </w:r>
    </w:p>
    <w:p w:rsidR="00A44538" w:rsidRDefault="00A44538" w:rsidP="00A44538">
      <w:pPr>
        <w:ind w:right="-2"/>
      </w:pPr>
    </w:p>
    <w:p w:rsidR="00A44538" w:rsidRDefault="00A44538" w:rsidP="00A44538">
      <w:pPr>
        <w:ind w:left="0" w:right="-2" w:firstLine="0"/>
      </w:pPr>
      <w:r>
        <w:t xml:space="preserve">Nepoužívejte tento veterinární léčivý přípravek po uplynutí doby použitelnosti uvedené na </w:t>
      </w:r>
      <w:r w:rsidR="009E2BDC">
        <w:t>obalu</w:t>
      </w:r>
      <w:r>
        <w:t>.</w:t>
      </w:r>
    </w:p>
    <w:p w:rsidR="009E2BDC" w:rsidRDefault="009E2BDC" w:rsidP="00A44538">
      <w:pPr>
        <w:ind w:left="0" w:right="-2" w:firstLine="0"/>
      </w:pPr>
      <w:r>
        <w:t>Doba použitelnosti končí posledním dnem v uvedeném měsíci.</w:t>
      </w:r>
    </w:p>
    <w:p w:rsidR="00A44538" w:rsidRDefault="00A44538" w:rsidP="00A44538">
      <w:pPr>
        <w:ind w:left="0" w:right="-2" w:firstLine="0"/>
      </w:pPr>
      <w:r>
        <w:t>Doba použitelnosti po prvním otevření vnitřního obalu</w:t>
      </w:r>
      <w:r w:rsidR="009E2BDC">
        <w:t xml:space="preserve"> (láhve a kanystry)</w:t>
      </w:r>
      <w:r>
        <w:t>: 1 rok.</w:t>
      </w:r>
    </w:p>
    <w:p w:rsidR="009E2BDC" w:rsidRDefault="009E2BDC" w:rsidP="00A44538">
      <w:pPr>
        <w:ind w:left="0" w:right="-2" w:firstLine="0"/>
      </w:pPr>
      <w:r>
        <w:t>Doba použitelnosti po prvním otevření vnitřního obalu (elastické vaky): 2 roky.</w:t>
      </w:r>
    </w:p>
    <w:p w:rsidR="00A44538" w:rsidRDefault="00A44538" w:rsidP="00A44538">
      <w:pPr>
        <w:ind w:left="0" w:right="-318" w:firstLine="0"/>
      </w:pPr>
    </w:p>
    <w:p w:rsidR="00A44538" w:rsidRDefault="00A44538" w:rsidP="00A44538">
      <w:pPr>
        <w:ind w:left="0" w:right="-318" w:firstLine="0"/>
      </w:pPr>
    </w:p>
    <w:p w:rsidR="00A44538" w:rsidRDefault="00A44538" w:rsidP="00A44538">
      <w:pPr>
        <w:rPr>
          <w:b/>
        </w:rPr>
      </w:pPr>
      <w:r>
        <w:rPr>
          <w:b/>
        </w:rPr>
        <w:lastRenderedPageBreak/>
        <w:t>12.</w:t>
      </w:r>
      <w:r>
        <w:rPr>
          <w:b/>
        </w:rPr>
        <w:tab/>
        <w:t>ZVLÁŠTNÍ UPOZORNĚNÍ</w:t>
      </w:r>
    </w:p>
    <w:p w:rsidR="00A44538" w:rsidRDefault="00A44538" w:rsidP="00A44538"/>
    <w:p w:rsidR="00A44538" w:rsidRDefault="00A44538" w:rsidP="000D7E0E">
      <w:pPr>
        <w:jc w:val="both"/>
        <w:rPr>
          <w:b/>
        </w:rPr>
      </w:pPr>
      <w:r>
        <w:rPr>
          <w:b/>
        </w:rPr>
        <w:t>Zvláštní upozornění pro každý cílový druh</w:t>
      </w:r>
    </w:p>
    <w:p w:rsidR="00A44538" w:rsidRDefault="00A44538" w:rsidP="000D7E0E">
      <w:pPr>
        <w:autoSpaceDE w:val="0"/>
        <w:autoSpaceDN w:val="0"/>
        <w:adjustRightInd w:val="0"/>
        <w:ind w:left="0" w:firstLine="0"/>
        <w:jc w:val="both"/>
      </w:pPr>
      <w:r>
        <w:t xml:space="preserve"> Z důvodu zvýšení rizika možného vývoje rezistence, která by mohla vést k neúčinné terapii, je třeba přistupovat k podání přípravku obezřetně a vyhnout se následujícím praktikám:</w:t>
      </w:r>
      <w:r>
        <w:br/>
        <w:t xml:space="preserve">- příliš častému a opakujícímu se používání anthelmintik ze stejné skupiny po delší časové období, </w:t>
      </w:r>
    </w:p>
    <w:p w:rsidR="00A44538" w:rsidRDefault="00A44538" w:rsidP="000D7E0E">
      <w:pPr>
        <w:autoSpaceDE w:val="0"/>
        <w:autoSpaceDN w:val="0"/>
        <w:adjustRightInd w:val="0"/>
        <w:ind w:left="0" w:firstLine="0"/>
        <w:jc w:val="both"/>
      </w:pPr>
      <w:r>
        <w:t>- poddávkování, které může nastat v důsledku podhodnocení živé hmotnosti, chybného podání přípravku nebo absence možnosti nastavení správné dávky u dávkovacího zařízení.</w:t>
      </w:r>
    </w:p>
    <w:p w:rsidR="00A44538" w:rsidRDefault="00A44538" w:rsidP="000D7E0E">
      <w:pPr>
        <w:autoSpaceDE w:val="0"/>
        <w:autoSpaceDN w:val="0"/>
        <w:adjustRightInd w:val="0"/>
        <w:ind w:left="0" w:firstLine="0"/>
        <w:jc w:val="both"/>
      </w:pPr>
    </w:p>
    <w:p w:rsidR="00A44538" w:rsidRDefault="00A44538" w:rsidP="000D7E0E">
      <w:pPr>
        <w:autoSpaceDE w:val="0"/>
        <w:autoSpaceDN w:val="0"/>
        <w:adjustRightInd w:val="0"/>
        <w:ind w:left="0" w:firstLine="0"/>
        <w:jc w:val="both"/>
      </w:pPr>
      <w:r>
        <w:t>Podezřelé klinické případy  rezistence k anthelmintikům mají být vyšetřeny za použití vhodných testů (např. testu redukce počtu vajíček - FECRT). Tam, kde výsledky testu potvrzují rezistenci k určitému anthelmintiku, by mělo být použito anthelmintikum náležející do jiné skupiny a mající jiný způsob účinku.</w:t>
      </w:r>
    </w:p>
    <w:p w:rsidR="00A44538" w:rsidRDefault="00A44538" w:rsidP="000D7E0E">
      <w:pPr>
        <w:ind w:left="0" w:firstLine="0"/>
        <w:jc w:val="both"/>
      </w:pPr>
    </w:p>
    <w:p w:rsidR="00A44538" w:rsidRDefault="00A44538" w:rsidP="000D7E0E">
      <w:pPr>
        <w:autoSpaceDE w:val="0"/>
        <w:autoSpaceDN w:val="0"/>
        <w:adjustRightInd w:val="0"/>
        <w:ind w:left="0" w:firstLine="0"/>
        <w:jc w:val="both"/>
      </w:pPr>
      <w:r>
        <w:t xml:space="preserve">Dosud  nebyl u skotu v EU hlášen žádný případ rezistence na </w:t>
      </w:r>
      <w:proofErr w:type="spellStart"/>
      <w:r>
        <w:t>eprinomektin</w:t>
      </w:r>
      <w:proofErr w:type="spellEnd"/>
      <w:r>
        <w:t xml:space="preserve"> (</w:t>
      </w:r>
      <w:proofErr w:type="spellStart"/>
      <w:r>
        <w:t>makrocylický</w:t>
      </w:r>
      <w:proofErr w:type="spellEnd"/>
      <w:r>
        <w:t xml:space="preserve"> lakton). Avšak u některých druhů parazitů skotu byly v  EU hlášeny případy vzniku rezistence k jiným látkám ze skupiny </w:t>
      </w:r>
      <w:proofErr w:type="spellStart"/>
      <w:r>
        <w:t>makrocyklických</w:t>
      </w:r>
      <w:proofErr w:type="spellEnd"/>
      <w:r>
        <w:t xml:space="preserve"> laktonů. Proto by použití přípravku mělo být založeno na místní epidemiologické informaci o citlivosti </w:t>
      </w:r>
      <w:proofErr w:type="spellStart"/>
      <w:r>
        <w:t>nematod</w:t>
      </w:r>
      <w:proofErr w:type="spellEnd"/>
      <w:r>
        <w:t xml:space="preserve"> (na úrovni regionu či hospodářství) a doporučeních, jak omezit další selekci rezistence k anthelmintikům.</w:t>
      </w:r>
    </w:p>
    <w:p w:rsidR="00A44538" w:rsidRDefault="00A44538" w:rsidP="00A44538">
      <w:r>
        <w:t xml:space="preserve">  </w:t>
      </w:r>
    </w:p>
    <w:p w:rsidR="00A44538" w:rsidRDefault="00A44538" w:rsidP="000D7E0E">
      <w:pPr>
        <w:jc w:val="both"/>
        <w:rPr>
          <w:b/>
        </w:rPr>
      </w:pPr>
      <w:r>
        <w:rPr>
          <w:b/>
        </w:rPr>
        <w:t>Zvláštní opatření pro použití u zvířat</w:t>
      </w:r>
    </w:p>
    <w:p w:rsidR="00A44538" w:rsidRDefault="00A44538" w:rsidP="000D7E0E">
      <w:pPr>
        <w:ind w:left="0" w:firstLine="0"/>
        <w:jc w:val="both"/>
      </w:pPr>
      <w:r>
        <w:t xml:space="preserve">Pouze k zevnímu podání. </w:t>
      </w:r>
    </w:p>
    <w:p w:rsidR="00A44538" w:rsidRDefault="00A44538" w:rsidP="000D7E0E">
      <w:pPr>
        <w:ind w:left="0" w:firstLine="0"/>
        <w:jc w:val="both"/>
      </w:pPr>
      <w:r>
        <w:t xml:space="preserve">K zamezení výskytu nežádoucích účinků v důsledku úhynu larev střečků v jícnu nebo v páteřním kanálu se doporučuje podávat přípravek po náletu střečků, ale předtím, než jejich larvy doputují na predilekční místa v organismu skotu; nejvhodnější období léčby je tak nutné stanovit s ohledem na doporučení veterinárního lékaře. </w:t>
      </w:r>
    </w:p>
    <w:p w:rsidR="00A44538" w:rsidRDefault="00A44538" w:rsidP="000D7E0E">
      <w:pPr>
        <w:ind w:left="0" w:firstLine="0"/>
        <w:jc w:val="both"/>
      </w:pPr>
      <w:r>
        <w:t xml:space="preserve">Přípravek se nesmí používat  u jiných druhů zvířat; </w:t>
      </w:r>
      <w:proofErr w:type="spellStart"/>
      <w:r>
        <w:t>avermektiny</w:t>
      </w:r>
      <w:proofErr w:type="spellEnd"/>
      <w:r>
        <w:t xml:space="preserve"> mohou vyvolat úhyn u psů, zvláště u kolií, staroanglických ovčáků a příbuzných plemen a jejich kříženců, a dále u suchozemských a vodních želv. </w:t>
      </w:r>
    </w:p>
    <w:p w:rsidR="00A44538" w:rsidRDefault="00A44538" w:rsidP="000D7E0E">
      <w:pPr>
        <w:ind w:left="0" w:firstLine="0"/>
        <w:jc w:val="both"/>
      </w:pPr>
      <w:r>
        <w:t xml:space="preserve">Pro účinné použití se nedoporučuje aplikovat přípravek na místa na hřbetu, která jsou znečištěná blátem nebo trusem. Přípravek se smí podávat pouze na zdravou kůži. </w:t>
      </w:r>
    </w:p>
    <w:p w:rsidR="00A44538" w:rsidRDefault="00A44538" w:rsidP="00A44538"/>
    <w:p w:rsidR="00A44538" w:rsidRDefault="00A44538" w:rsidP="000D7E0E">
      <w:pPr>
        <w:jc w:val="both"/>
        <w:rPr>
          <w:b/>
        </w:rPr>
      </w:pPr>
      <w:r>
        <w:rPr>
          <w:b/>
        </w:rPr>
        <w:t>Zvláštní opatření určené osobám, které podávají veterinární léčivý přípravek zvířatům</w:t>
      </w:r>
    </w:p>
    <w:p w:rsidR="00A44538" w:rsidRDefault="00A44538" w:rsidP="000D7E0E">
      <w:pPr>
        <w:ind w:left="0" w:firstLine="0"/>
        <w:jc w:val="both"/>
      </w:pPr>
      <w:r>
        <w:t>Zabraňte přímému kontaktu přípravku s kůží a očima.</w:t>
      </w:r>
    </w:p>
    <w:p w:rsidR="00A44538" w:rsidRDefault="00A44538" w:rsidP="000D7E0E">
      <w:pPr>
        <w:ind w:left="0" w:firstLine="0"/>
        <w:jc w:val="both"/>
      </w:pPr>
      <w:r>
        <w:t xml:space="preserve">Při aplikace přípravku by se měly používat gumové rukavice a ochranný oděv. </w:t>
      </w:r>
    </w:p>
    <w:p w:rsidR="00A44538" w:rsidRDefault="00A44538" w:rsidP="000D7E0E">
      <w:pPr>
        <w:ind w:left="0" w:firstLine="0"/>
        <w:jc w:val="both"/>
      </w:pPr>
      <w:r>
        <w:t xml:space="preserve">V případě náhodného potřísnění kůže omyjte zasažené místo ihned mýdlem a vodou. V případě náhodného zasažení očí je neprodleně vypláchněte vodou. </w:t>
      </w:r>
    </w:p>
    <w:p w:rsidR="00A44538" w:rsidRDefault="00A44538" w:rsidP="000D7E0E">
      <w:pPr>
        <w:jc w:val="both"/>
      </w:pPr>
      <w:r>
        <w:t>Po použití si umyjte ruce.</w:t>
      </w:r>
    </w:p>
    <w:p w:rsidR="00A44538" w:rsidRDefault="00A44538" w:rsidP="000D7E0E">
      <w:pPr>
        <w:jc w:val="both"/>
      </w:pPr>
      <w:r>
        <w:t xml:space="preserve">Při manipulaci s přípravkem nekuřte, nejezte ani nepijte. </w:t>
      </w:r>
    </w:p>
    <w:p w:rsidR="00A44538" w:rsidRDefault="00A44538" w:rsidP="000D7E0E">
      <w:pPr>
        <w:jc w:val="both"/>
      </w:pPr>
      <w:r>
        <w:t xml:space="preserve">Pokud dojte ke kontaminaci oděvu, co nejdříve ho svlékněte a před opětovným použitím vyperte. </w:t>
      </w:r>
    </w:p>
    <w:p w:rsidR="00A44538" w:rsidRDefault="00A44538" w:rsidP="000D7E0E">
      <w:pPr>
        <w:jc w:val="both"/>
      </w:pPr>
      <w:r>
        <w:t xml:space="preserve">V případě náhodného požití přípravku si vypláchněte ústa vodou a vyhledejte lékařskou pomoc. </w:t>
      </w:r>
    </w:p>
    <w:p w:rsidR="00A44538" w:rsidRDefault="00A44538" w:rsidP="000D7E0E">
      <w:pPr>
        <w:ind w:left="0" w:firstLine="0"/>
        <w:jc w:val="both"/>
      </w:pPr>
      <w:r>
        <w:t>Lidé se známou přecitlivělostí na léčivou látku nebo některou z pomocných látek by se měli vyhnout kontaktu s veterinárním léčivým přípravkem.</w:t>
      </w:r>
    </w:p>
    <w:p w:rsidR="00A44538" w:rsidRDefault="00A44538" w:rsidP="00A44538"/>
    <w:p w:rsidR="00A44538" w:rsidRDefault="00A44538" w:rsidP="000D7E0E">
      <w:pPr>
        <w:jc w:val="both"/>
        <w:rPr>
          <w:b/>
        </w:rPr>
      </w:pPr>
      <w:r>
        <w:rPr>
          <w:b/>
        </w:rPr>
        <w:t xml:space="preserve">Další opatření    </w:t>
      </w:r>
    </w:p>
    <w:p w:rsidR="00A44538" w:rsidRDefault="00A44538" w:rsidP="000D7E0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Stejně jako ostatní </w:t>
      </w:r>
      <w:proofErr w:type="spellStart"/>
      <w:r>
        <w:rPr>
          <w:color w:val="000000"/>
          <w:szCs w:val="22"/>
          <w:lang w:eastAsia="cs-CZ"/>
        </w:rPr>
        <w:t>makrocyklické</w:t>
      </w:r>
      <w:proofErr w:type="spellEnd"/>
      <w:r>
        <w:rPr>
          <w:color w:val="000000"/>
          <w:szCs w:val="22"/>
          <w:lang w:eastAsia="cs-CZ"/>
        </w:rPr>
        <w:t xml:space="preserve"> laktony má i </w:t>
      </w:r>
      <w:proofErr w:type="spellStart"/>
      <w:r>
        <w:rPr>
          <w:color w:val="000000"/>
          <w:szCs w:val="22"/>
          <w:lang w:eastAsia="cs-CZ"/>
        </w:rPr>
        <w:t>eprinomektin</w:t>
      </w:r>
      <w:proofErr w:type="spellEnd"/>
      <w:r>
        <w:rPr>
          <w:color w:val="000000"/>
          <w:szCs w:val="22"/>
          <w:lang w:eastAsia="cs-CZ"/>
        </w:rPr>
        <w:t xml:space="preserve"> potenciál nepříznivě ovlivnit jiné než cílové organismy. Po ošetření se mohou po dobu několika týdnů vylučovat potenciálně toxické hladiny </w:t>
      </w:r>
      <w:proofErr w:type="spellStart"/>
      <w:r>
        <w:rPr>
          <w:color w:val="000000"/>
          <w:szCs w:val="22"/>
          <w:lang w:eastAsia="cs-CZ"/>
        </w:rPr>
        <w:t>eprinomektinu</w:t>
      </w:r>
      <w:proofErr w:type="spellEnd"/>
      <w:r>
        <w:rPr>
          <w:color w:val="000000"/>
          <w:szCs w:val="22"/>
          <w:lang w:eastAsia="cs-CZ"/>
        </w:rPr>
        <w:t xml:space="preserve">. Výkaly obsahující </w:t>
      </w:r>
      <w:proofErr w:type="spellStart"/>
      <w:r>
        <w:rPr>
          <w:color w:val="000000"/>
          <w:szCs w:val="22"/>
          <w:lang w:eastAsia="cs-CZ"/>
        </w:rPr>
        <w:t>eprinomektin</w:t>
      </w:r>
      <w:proofErr w:type="spellEnd"/>
      <w:r>
        <w:rPr>
          <w:color w:val="000000"/>
          <w:szCs w:val="22"/>
          <w:lang w:eastAsia="cs-CZ"/>
        </w:rPr>
        <w:t xml:space="preserve"> vyloučené ošetřenými zvířaty na pastvu mohou snížit množství organismů živících se trusem, což může mít dopad na zrání chlévské mrvy a rozklad hnoje. </w:t>
      </w:r>
    </w:p>
    <w:p w:rsidR="00A44538" w:rsidRDefault="00A44538" w:rsidP="000D7E0E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A44538" w:rsidRDefault="00A44538" w:rsidP="000D7E0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proofErr w:type="spellStart"/>
      <w:r>
        <w:rPr>
          <w:color w:val="000000"/>
          <w:szCs w:val="22"/>
          <w:lang w:eastAsia="cs-CZ"/>
        </w:rPr>
        <w:t>Eprinomectin</w:t>
      </w:r>
      <w:proofErr w:type="spellEnd"/>
      <w:r>
        <w:rPr>
          <w:color w:val="000000"/>
          <w:szCs w:val="22"/>
          <w:lang w:eastAsia="cs-CZ"/>
        </w:rPr>
        <w:t xml:space="preserve"> je vysoce toxický pro vodní organismy, přetrvává v půdě a může se akumulovat v sedimentech. </w:t>
      </w:r>
    </w:p>
    <w:p w:rsidR="000D7E0E" w:rsidRDefault="000D7E0E" w:rsidP="000D7E0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:rsidR="00A44538" w:rsidRDefault="00A44538" w:rsidP="000D7E0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Riziko pro vodní ekosystémy a faunu hnoje může být sníženo omezením příliš častého a opakovaného používání </w:t>
      </w:r>
      <w:proofErr w:type="spellStart"/>
      <w:r>
        <w:rPr>
          <w:color w:val="000000"/>
          <w:szCs w:val="22"/>
          <w:lang w:eastAsia="cs-CZ"/>
        </w:rPr>
        <w:t>eprinomektinu</w:t>
      </w:r>
      <w:proofErr w:type="spellEnd"/>
      <w:r>
        <w:rPr>
          <w:color w:val="000000"/>
          <w:szCs w:val="22"/>
          <w:lang w:eastAsia="cs-CZ"/>
        </w:rPr>
        <w:t xml:space="preserve"> (a přípravků stejné skupiny </w:t>
      </w:r>
      <w:proofErr w:type="spellStart"/>
      <w:r>
        <w:rPr>
          <w:color w:val="000000"/>
          <w:szCs w:val="22"/>
          <w:lang w:eastAsia="cs-CZ"/>
        </w:rPr>
        <w:t>antihelmintik</w:t>
      </w:r>
      <w:proofErr w:type="spellEnd"/>
      <w:r>
        <w:rPr>
          <w:color w:val="000000"/>
          <w:szCs w:val="22"/>
          <w:lang w:eastAsia="cs-CZ"/>
        </w:rPr>
        <w:t xml:space="preserve">) u skotu. </w:t>
      </w:r>
    </w:p>
    <w:p w:rsidR="00A44538" w:rsidRDefault="00A44538" w:rsidP="00A4453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lastRenderedPageBreak/>
        <w:t xml:space="preserve">Riziko pro vodní ekosystémy bude dále sníženo zamezením přístupu léčeného skotu k vodním zdrojům po dobu tří týdnů po ošetření. </w:t>
      </w:r>
    </w:p>
    <w:p w:rsidR="00A44538" w:rsidRDefault="00A44538" w:rsidP="00A44538">
      <w:pPr>
        <w:ind w:left="0" w:firstLine="0"/>
      </w:pPr>
    </w:p>
    <w:p w:rsidR="00A44538" w:rsidRDefault="00A44538" w:rsidP="000D7E0E">
      <w:pPr>
        <w:jc w:val="both"/>
      </w:pPr>
      <w:r>
        <w:rPr>
          <w:b/>
        </w:rPr>
        <w:t>Použití v průběhu březosti, laktace nebo snášky</w:t>
      </w:r>
    </w:p>
    <w:p w:rsidR="00A44538" w:rsidRDefault="00A44538" w:rsidP="000D7E0E">
      <w:pPr>
        <w:ind w:left="0" w:firstLine="0"/>
        <w:jc w:val="both"/>
      </w:pPr>
      <w:r>
        <w:t xml:space="preserve">Laboratorní studie (potkan, králíci) nepodaly důkaz  o teratogenních nebo embryotoxických účincích při použití </w:t>
      </w:r>
      <w:proofErr w:type="spellStart"/>
      <w:r>
        <w:t>eprinomektinu</w:t>
      </w:r>
      <w:proofErr w:type="spellEnd"/>
      <w:r>
        <w:t xml:space="preserve"> v terapeutických dávkách. Bezpečnost veterinárního léčivého přípravku byla stanovena pro použití během březosti a laktace a u chovných býků. Přípravek lze použít během březosti, laktace a u chovných býků.  </w:t>
      </w:r>
    </w:p>
    <w:p w:rsidR="00A44538" w:rsidRDefault="00A44538" w:rsidP="000D7E0E">
      <w:pPr>
        <w:ind w:left="0" w:firstLine="0"/>
        <w:jc w:val="both"/>
      </w:pPr>
    </w:p>
    <w:p w:rsidR="00A44538" w:rsidRDefault="00A44538" w:rsidP="000D7E0E">
      <w:pPr>
        <w:jc w:val="both"/>
      </w:pPr>
      <w:r>
        <w:rPr>
          <w:b/>
        </w:rPr>
        <w:t xml:space="preserve">Interakce </w:t>
      </w:r>
    </w:p>
    <w:p w:rsidR="00A44538" w:rsidRDefault="00A44538" w:rsidP="000D7E0E">
      <w:pPr>
        <w:jc w:val="both"/>
      </w:pPr>
      <w:proofErr w:type="spellStart"/>
      <w:r>
        <w:t>Eprinomektin</w:t>
      </w:r>
      <w:proofErr w:type="spellEnd"/>
      <w:r>
        <w:t xml:space="preserve"> se silně váže na plazmatické bílkoviny, což je nutno brát v úvahu při současném použití </w:t>
      </w:r>
    </w:p>
    <w:p w:rsidR="00A44538" w:rsidRDefault="00A44538" w:rsidP="000D7E0E">
      <w:pPr>
        <w:jc w:val="both"/>
      </w:pPr>
      <w:r>
        <w:t xml:space="preserve">jiných léčivých látek se stejnými vlastnostmi. </w:t>
      </w:r>
    </w:p>
    <w:p w:rsidR="00A44538" w:rsidRDefault="00A44538" w:rsidP="000D7E0E">
      <w:pPr>
        <w:jc w:val="both"/>
      </w:pPr>
    </w:p>
    <w:p w:rsidR="00A44538" w:rsidRDefault="00A44538" w:rsidP="000D7E0E">
      <w:pPr>
        <w:jc w:val="both"/>
        <w:rPr>
          <w:b/>
        </w:rPr>
      </w:pPr>
      <w:r>
        <w:rPr>
          <w:b/>
        </w:rPr>
        <w:t xml:space="preserve">Předávkování </w:t>
      </w:r>
    </w:p>
    <w:p w:rsidR="00A44538" w:rsidRDefault="00A44538" w:rsidP="000D7E0E">
      <w:pPr>
        <w:jc w:val="both"/>
      </w:pPr>
      <w:r>
        <w:t xml:space="preserve">Nebyly pozorovány žádné toxické příznaky po podání přípravku v dávce až 5 násobné oproti </w:t>
      </w:r>
    </w:p>
    <w:p w:rsidR="00A44538" w:rsidRDefault="00A44538" w:rsidP="000D7E0E">
      <w:pPr>
        <w:jc w:val="both"/>
      </w:pPr>
      <w:r>
        <w:t xml:space="preserve">doporučenému dávkování. Není známo žádné specifické </w:t>
      </w:r>
      <w:proofErr w:type="spellStart"/>
      <w:r>
        <w:t>antidotum</w:t>
      </w:r>
      <w:proofErr w:type="spellEnd"/>
      <w:r>
        <w:t xml:space="preserve">.    </w:t>
      </w:r>
    </w:p>
    <w:p w:rsidR="00A44538" w:rsidRDefault="00A44538" w:rsidP="000D7E0E">
      <w:pPr>
        <w:ind w:left="0" w:firstLine="0"/>
        <w:jc w:val="both"/>
      </w:pPr>
    </w:p>
    <w:p w:rsidR="00A44538" w:rsidRDefault="00A44538" w:rsidP="000D7E0E">
      <w:pPr>
        <w:ind w:left="0" w:firstLine="0"/>
        <w:jc w:val="both"/>
        <w:rPr>
          <w:b/>
        </w:rPr>
      </w:pPr>
      <w:r>
        <w:rPr>
          <w:b/>
        </w:rPr>
        <w:t>Inkompatibility</w:t>
      </w:r>
    </w:p>
    <w:p w:rsidR="00A44538" w:rsidRDefault="00A44538" w:rsidP="000D7E0E">
      <w:pPr>
        <w:ind w:left="0" w:firstLine="0"/>
        <w:jc w:val="both"/>
      </w:pPr>
      <w:r>
        <w:t>Nemísit s jiným veterinárním léčivým přípravkem.</w:t>
      </w:r>
    </w:p>
    <w:p w:rsidR="00A44538" w:rsidRDefault="00A44538" w:rsidP="00A44538">
      <w:pPr>
        <w:ind w:left="0" w:firstLine="0"/>
      </w:pPr>
    </w:p>
    <w:p w:rsidR="00A44538" w:rsidRDefault="00A44538" w:rsidP="00A44538"/>
    <w:p w:rsidR="00A44538" w:rsidRDefault="00A44538" w:rsidP="00A44538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A44538" w:rsidRDefault="00A44538" w:rsidP="00A44538">
      <w:pPr>
        <w:ind w:right="-318"/>
      </w:pPr>
    </w:p>
    <w:p w:rsidR="00A44538" w:rsidRDefault="00A44538" w:rsidP="00A44538">
      <w:pPr>
        <w:ind w:left="0" w:firstLine="0"/>
        <w:jc w:val="both"/>
      </w:pPr>
      <w:r>
        <w:t>Extrémně nebezpečný pro ryby a vodní organismy. Neznečišťujte vodní nádrže, vodní toky nebo stoky přípravkem nebo prázdným obalem.</w:t>
      </w:r>
    </w:p>
    <w:p w:rsidR="00A44538" w:rsidRDefault="00A44538" w:rsidP="00A44538">
      <w:pPr>
        <w:jc w:val="both"/>
      </w:pPr>
      <w:r>
        <w:t>Všechen nepoužitý veterinární léčivý přípravek nebo odpad, který pochází z tohoto přípravku,</w:t>
      </w:r>
    </w:p>
    <w:p w:rsidR="00A44538" w:rsidRDefault="00A44538" w:rsidP="00A44538">
      <w:pPr>
        <w:jc w:val="both"/>
      </w:pPr>
      <w:r>
        <w:t>musí být likvidován podle místních právních předpisů.</w:t>
      </w:r>
    </w:p>
    <w:p w:rsidR="00A44538" w:rsidRDefault="00A44538" w:rsidP="00A44538">
      <w:pPr>
        <w:jc w:val="both"/>
      </w:pPr>
    </w:p>
    <w:p w:rsidR="00A44538" w:rsidRDefault="00A44538" w:rsidP="00A44538">
      <w:pPr>
        <w:rPr>
          <w:b/>
        </w:rPr>
      </w:pPr>
    </w:p>
    <w:p w:rsidR="00A44538" w:rsidRDefault="00A44538" w:rsidP="00A44538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A44538" w:rsidRDefault="00A44538" w:rsidP="00A44538">
      <w:pPr>
        <w:ind w:right="-318"/>
      </w:pPr>
    </w:p>
    <w:p w:rsidR="00A44538" w:rsidRDefault="000D7E0E" w:rsidP="00A44538">
      <w:pPr>
        <w:ind w:right="-318"/>
      </w:pPr>
      <w:r>
        <w:t>Červenec 2017</w:t>
      </w:r>
    </w:p>
    <w:p w:rsidR="00A44538" w:rsidRDefault="00A44538" w:rsidP="00A44538">
      <w:pPr>
        <w:ind w:right="-318"/>
      </w:pPr>
    </w:p>
    <w:p w:rsidR="000D7E0E" w:rsidRDefault="000D7E0E" w:rsidP="00A44538">
      <w:pPr>
        <w:ind w:right="-318"/>
      </w:pPr>
      <w:bookmarkStart w:id="0" w:name="_GoBack"/>
      <w:bookmarkEnd w:id="0"/>
    </w:p>
    <w:p w:rsidR="00A44538" w:rsidRDefault="00A44538" w:rsidP="00A44538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:rsidR="00A44538" w:rsidRDefault="00A44538" w:rsidP="00A44538">
      <w:pPr>
        <w:rPr>
          <w:b/>
        </w:rPr>
      </w:pPr>
    </w:p>
    <w:p w:rsidR="00A44538" w:rsidRDefault="00A44538" w:rsidP="00A44538">
      <w:r>
        <w:t>Pouze pro zvířata.</w:t>
      </w:r>
    </w:p>
    <w:p w:rsidR="00A44538" w:rsidRDefault="00A44538" w:rsidP="00A44538">
      <w:pPr>
        <w:ind w:left="0" w:firstLine="0"/>
      </w:pPr>
      <w:r>
        <w:t>Veterinární léčivý přípravek je vydáván pouze na předpis.</w:t>
      </w:r>
    </w:p>
    <w:p w:rsidR="00A44538" w:rsidRDefault="00A44538" w:rsidP="00A44538">
      <w:pPr>
        <w:ind w:right="-318"/>
      </w:pPr>
    </w:p>
    <w:p w:rsidR="00A44538" w:rsidRDefault="00A44538" w:rsidP="00A44538">
      <w:pPr>
        <w:ind w:right="-318"/>
      </w:pPr>
      <w:r>
        <w:t xml:space="preserve">1l lahve s odměrkou </w:t>
      </w:r>
    </w:p>
    <w:p w:rsidR="00A44538" w:rsidRDefault="00A44538" w:rsidP="00A44538">
      <w:pPr>
        <w:ind w:right="-318"/>
      </w:pPr>
      <w:smartTag w:uri="urn:schemas-microsoft-com:office:smarttags" w:element="metricconverter">
        <w:smartTagPr>
          <w:attr w:name="ProductID" w:val="2,5 a"/>
        </w:smartTagPr>
        <w:r>
          <w:t>2,5 a</w:t>
        </w:r>
      </w:smartTag>
      <w:r>
        <w:t xml:space="preserve"> 5l kanystr</w:t>
      </w:r>
    </w:p>
    <w:p w:rsidR="00A44538" w:rsidRDefault="00A44538" w:rsidP="00A44538">
      <w:pPr>
        <w:ind w:right="-318"/>
      </w:pPr>
      <w:r>
        <w:t>2,5l, 4,5l a 8l vak.</w:t>
      </w:r>
    </w:p>
    <w:p w:rsidR="00A44538" w:rsidRDefault="00A44538" w:rsidP="00A44538"/>
    <w:p w:rsidR="00A44538" w:rsidRDefault="00A44538" w:rsidP="00A44538">
      <w:r>
        <w:t>Na trhu nemusí být všechny velikosti balení.</w:t>
      </w:r>
    </w:p>
    <w:p w:rsidR="00A44538" w:rsidRDefault="00A44538" w:rsidP="00A44538">
      <w:pPr>
        <w:ind w:right="-2"/>
      </w:pPr>
    </w:p>
    <w:p w:rsidR="00A44538" w:rsidRDefault="00A44538" w:rsidP="00A44538">
      <w:r>
        <w:t>EXP: {měsíc/rok}</w:t>
      </w:r>
    </w:p>
    <w:p w:rsidR="00A44538" w:rsidRDefault="00A44538" w:rsidP="00A44538">
      <w:r>
        <w:t>Šarže: {číslo}</w:t>
      </w:r>
    </w:p>
    <w:p w:rsidR="00A44538" w:rsidRDefault="00A44538" w:rsidP="00A44538"/>
    <w:p w:rsidR="00A44538" w:rsidRDefault="00A44538" w:rsidP="00A44538"/>
    <w:p w:rsidR="00A44538" w:rsidRDefault="00A44538" w:rsidP="00A44538"/>
    <w:p w:rsidR="005B4739" w:rsidRDefault="005B4739"/>
    <w:sectPr w:rsidR="005B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B"/>
    <w:rsid w:val="000D7E0E"/>
    <w:rsid w:val="001D3FAF"/>
    <w:rsid w:val="00552BED"/>
    <w:rsid w:val="005B4739"/>
    <w:rsid w:val="0063688D"/>
    <w:rsid w:val="00687B17"/>
    <w:rsid w:val="007023B9"/>
    <w:rsid w:val="00833276"/>
    <w:rsid w:val="009E2BDC"/>
    <w:rsid w:val="00A44538"/>
    <w:rsid w:val="00C7543C"/>
    <w:rsid w:val="00D07BBC"/>
    <w:rsid w:val="00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53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5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53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1672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Wojtylová Jana</cp:lastModifiedBy>
  <cp:revision>4</cp:revision>
  <dcterms:created xsi:type="dcterms:W3CDTF">2017-07-13T09:57:00Z</dcterms:created>
  <dcterms:modified xsi:type="dcterms:W3CDTF">2017-07-13T10:34:00Z</dcterms:modified>
</cp:coreProperties>
</file>