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D500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7C78404E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C47F257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5F28ACC6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36791879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5EACAD0D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177B66C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089E19E4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11259FC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5812E57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67FB27E1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2935CE6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03C6CA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921530D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E7C1AC1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A1B097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A482D80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E062B3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DB5B5A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5F06901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9D3E7E8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1745F4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879441A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F364A38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60CA500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C6E4A42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3E2394A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60A99DD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FBDB344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B92F47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FB9855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  <w:r>
        <w:rPr>
          <w:b/>
        </w:rPr>
        <w:t>B. PŘÍBALOVÁ INFORMACE</w:t>
      </w:r>
    </w:p>
    <w:p w14:paraId="1B3D7496" w14:textId="7EAF9158" w:rsidR="00786538" w:rsidRDefault="00786538">
      <w:pPr>
        <w:tabs>
          <w:tab w:val="clear" w:pos="567"/>
        </w:tabs>
        <w:spacing w:line="240" w:lineRule="auto"/>
        <w:ind w:right="113"/>
        <w:jc w:val="center"/>
      </w:pPr>
      <w:r>
        <w:br w:type="page"/>
      </w:r>
      <w:r>
        <w:rPr>
          <w:b/>
        </w:rPr>
        <w:lastRenderedPageBreak/>
        <w:t>PŘÍBALOVÁ INFORMACE</w:t>
      </w:r>
      <w:r w:rsidR="00DF1FF9">
        <w:rPr>
          <w:b/>
        </w:rPr>
        <w:t xml:space="preserve"> PRO</w:t>
      </w:r>
      <w:r>
        <w:rPr>
          <w:b/>
        </w:rPr>
        <w:t>:</w:t>
      </w:r>
    </w:p>
    <w:p w14:paraId="1FAE5C63" w14:textId="6295671D" w:rsidR="001F507F" w:rsidRDefault="001731EB" w:rsidP="009F4A68">
      <w:pPr>
        <w:tabs>
          <w:tab w:val="clear" w:pos="567"/>
        </w:tabs>
        <w:spacing w:line="240" w:lineRule="auto"/>
        <w:ind w:left="567" w:hanging="567"/>
        <w:jc w:val="center"/>
      </w:pPr>
      <w:r>
        <w:t xml:space="preserve">Revozyn </w:t>
      </w:r>
      <w:r w:rsidR="00362098">
        <w:t>RTU 400 mg/ml</w:t>
      </w:r>
    </w:p>
    <w:p w14:paraId="7F1AF6C9" w14:textId="77777777" w:rsidR="00786538" w:rsidRDefault="001F507F" w:rsidP="009F4A68">
      <w:pPr>
        <w:tabs>
          <w:tab w:val="clear" w:pos="567"/>
        </w:tabs>
        <w:spacing w:line="240" w:lineRule="auto"/>
        <w:ind w:left="567" w:hanging="567"/>
        <w:jc w:val="center"/>
      </w:pPr>
      <w:r>
        <w:t>Injekční suspenze pro skot</w:t>
      </w:r>
    </w:p>
    <w:p w14:paraId="487A7F65" w14:textId="77777777" w:rsidR="00786538" w:rsidRDefault="00786538">
      <w:pPr>
        <w:tabs>
          <w:tab w:val="clear" w:pos="567"/>
        </w:tabs>
        <w:spacing w:line="240" w:lineRule="auto"/>
        <w:ind w:left="567" w:hanging="567"/>
      </w:pPr>
    </w:p>
    <w:p w14:paraId="1E7621A1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1.</w:t>
      </w:r>
      <w:r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34F4F275" w14:textId="77777777" w:rsidR="00786538" w:rsidRDefault="00786538">
      <w:pPr>
        <w:tabs>
          <w:tab w:val="clear" w:pos="567"/>
        </w:tabs>
        <w:spacing w:line="240" w:lineRule="auto"/>
      </w:pPr>
    </w:p>
    <w:p w14:paraId="34064B98" w14:textId="77777777" w:rsidR="00786538" w:rsidRPr="009F4A68" w:rsidRDefault="00786538">
      <w:pPr>
        <w:tabs>
          <w:tab w:val="clear" w:pos="567"/>
        </w:tabs>
        <w:spacing w:line="240" w:lineRule="auto"/>
        <w:rPr>
          <w:iCs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708EDEEE" w14:textId="77777777" w:rsidR="00786538" w:rsidRPr="00464A56" w:rsidRDefault="00115361">
      <w:pPr>
        <w:tabs>
          <w:tab w:val="clear" w:pos="567"/>
        </w:tabs>
        <w:spacing w:line="240" w:lineRule="auto"/>
      </w:pPr>
      <w:r>
        <w:t xml:space="preserve">Eurovet Animal </w:t>
      </w:r>
      <w:proofErr w:type="gramStart"/>
      <w:r>
        <w:t>Health B.V.</w:t>
      </w:r>
      <w:proofErr w:type="gramEnd"/>
    </w:p>
    <w:p w14:paraId="340B5310" w14:textId="77777777" w:rsidR="001C3E78" w:rsidRPr="00464A56" w:rsidRDefault="001C3E78" w:rsidP="001C3E78">
      <w:pPr>
        <w:tabs>
          <w:tab w:val="clear" w:pos="567"/>
        </w:tabs>
        <w:spacing w:line="240" w:lineRule="auto"/>
      </w:pPr>
      <w:r>
        <w:t xml:space="preserve">Handelsweg 25 </w:t>
      </w:r>
    </w:p>
    <w:p w14:paraId="317E575E" w14:textId="77777777" w:rsidR="004911F3" w:rsidRPr="00464A56" w:rsidRDefault="001C3E78" w:rsidP="001C3E78">
      <w:pPr>
        <w:tabs>
          <w:tab w:val="clear" w:pos="567"/>
        </w:tabs>
        <w:spacing w:line="240" w:lineRule="auto"/>
      </w:pPr>
      <w:r>
        <w:t xml:space="preserve">5531 AE Bladel </w:t>
      </w:r>
    </w:p>
    <w:p w14:paraId="56EA80B9" w14:textId="77777777" w:rsidR="00115361" w:rsidRDefault="001C3E78" w:rsidP="001C3E78">
      <w:pPr>
        <w:tabs>
          <w:tab w:val="clear" w:pos="567"/>
        </w:tabs>
        <w:spacing w:line="240" w:lineRule="auto"/>
      </w:pPr>
      <w:r>
        <w:t>Nizozemsko</w:t>
      </w:r>
    </w:p>
    <w:p w14:paraId="7D590F4C" w14:textId="77777777" w:rsidR="001C3E78" w:rsidRDefault="001C3E78" w:rsidP="001C3E78">
      <w:pPr>
        <w:tabs>
          <w:tab w:val="clear" w:pos="567"/>
        </w:tabs>
        <w:spacing w:line="240" w:lineRule="auto"/>
      </w:pPr>
    </w:p>
    <w:p w14:paraId="5CACCB7F" w14:textId="77777777" w:rsidR="00786538" w:rsidRDefault="00786538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C07AEC3" w14:textId="77777777" w:rsidR="00786538" w:rsidRDefault="00786538">
      <w:pPr>
        <w:tabs>
          <w:tab w:val="clear" w:pos="567"/>
        </w:tabs>
        <w:spacing w:line="240" w:lineRule="auto"/>
      </w:pPr>
    </w:p>
    <w:p w14:paraId="7DC850B1" w14:textId="18A19F06" w:rsidR="001C3E78" w:rsidRDefault="001731EB" w:rsidP="001C3E78">
      <w:pPr>
        <w:tabs>
          <w:tab w:val="clear" w:pos="567"/>
        </w:tabs>
        <w:spacing w:line="240" w:lineRule="auto"/>
      </w:pPr>
      <w:r>
        <w:t xml:space="preserve">Revozyn </w:t>
      </w:r>
      <w:r w:rsidR="00362098">
        <w:t>RTU 400 mg/ml injekční suspenze pro skot</w:t>
      </w:r>
    </w:p>
    <w:p w14:paraId="08CC9F33" w14:textId="42868BFF" w:rsidR="00786538" w:rsidRDefault="00377220">
      <w:pPr>
        <w:tabs>
          <w:tab w:val="clear" w:pos="567"/>
        </w:tabs>
        <w:spacing w:line="240" w:lineRule="auto"/>
      </w:pPr>
      <w:proofErr w:type="spellStart"/>
      <w:r>
        <w:t>Penethacillini</w:t>
      </w:r>
      <w:proofErr w:type="spellEnd"/>
      <w:r>
        <w:t xml:space="preserve"> </w:t>
      </w:r>
      <w:proofErr w:type="spellStart"/>
      <w:r w:rsidR="00115361">
        <w:t>hydroiodidum</w:t>
      </w:r>
      <w:proofErr w:type="spellEnd"/>
    </w:p>
    <w:p w14:paraId="414E62AC" w14:textId="77777777" w:rsidR="00E16513" w:rsidRDefault="00E16513">
      <w:pPr>
        <w:tabs>
          <w:tab w:val="clear" w:pos="567"/>
        </w:tabs>
        <w:spacing w:line="240" w:lineRule="auto"/>
      </w:pPr>
    </w:p>
    <w:p w14:paraId="10BDD05A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5CEEB588" w14:textId="77777777" w:rsidR="004B2E0F" w:rsidRDefault="004B2E0F" w:rsidP="004B2E0F">
      <w:pPr>
        <w:tabs>
          <w:tab w:val="clear" w:pos="567"/>
        </w:tabs>
        <w:spacing w:line="240" w:lineRule="auto"/>
        <w:rPr>
          <w:iCs/>
        </w:rPr>
      </w:pPr>
    </w:p>
    <w:p w14:paraId="4CB6FC05" w14:textId="77777777" w:rsidR="004B2E0F" w:rsidRPr="009D6C5E" w:rsidRDefault="005359F2" w:rsidP="004B2E0F">
      <w:pPr>
        <w:tabs>
          <w:tab w:val="clear" w:pos="567"/>
        </w:tabs>
        <w:spacing w:line="240" w:lineRule="auto"/>
        <w:rPr>
          <w:iCs/>
          <w:u w:val="single"/>
        </w:rPr>
      </w:pPr>
      <w:r>
        <w:rPr>
          <w:iCs/>
          <w:u w:val="single"/>
        </w:rPr>
        <w:t>1 ml suspenze obsahuje:</w:t>
      </w:r>
    </w:p>
    <w:p w14:paraId="22EF2EF3" w14:textId="77777777" w:rsidR="004B2E0F" w:rsidRPr="009D6C5E" w:rsidRDefault="004B2E0F" w:rsidP="004B2E0F">
      <w:pPr>
        <w:tabs>
          <w:tab w:val="clear" w:pos="567"/>
        </w:tabs>
        <w:spacing w:line="240" w:lineRule="auto"/>
        <w:rPr>
          <w:iCs/>
        </w:rPr>
      </w:pPr>
      <w:r>
        <w:t>Léčivá látka:</w:t>
      </w:r>
    </w:p>
    <w:p w14:paraId="4CE8DFAB" w14:textId="0F03F0B0" w:rsidR="004B2E0F" w:rsidRPr="004B2E0F" w:rsidRDefault="00377220" w:rsidP="0039221D">
      <w:pPr>
        <w:tabs>
          <w:tab w:val="clear" w:pos="567"/>
          <w:tab w:val="left" w:pos="2977"/>
        </w:tabs>
        <w:spacing w:line="240" w:lineRule="auto"/>
        <w:rPr>
          <w:iCs/>
        </w:rPr>
      </w:pPr>
      <w:proofErr w:type="spellStart"/>
      <w:r>
        <w:t>Penethacillini</w:t>
      </w:r>
      <w:proofErr w:type="spellEnd"/>
      <w:r>
        <w:t xml:space="preserve"> </w:t>
      </w:r>
      <w:proofErr w:type="spellStart"/>
      <w:r w:rsidR="004B2E0F">
        <w:t>hydroiodidum</w:t>
      </w:r>
      <w:proofErr w:type="spellEnd"/>
      <w:r w:rsidR="004B2E0F">
        <w:tab/>
        <w:t>400 mg (odpovídá 30</w:t>
      </w:r>
      <w:r w:rsidR="001731EB">
        <w:t>8</w:t>
      </w:r>
      <w:r w:rsidR="00EE2B94">
        <w:t>,</w:t>
      </w:r>
      <w:r w:rsidR="001731EB">
        <w:t>8</w:t>
      </w:r>
      <w:r w:rsidR="004B2E0F">
        <w:t xml:space="preserve"> mg </w:t>
      </w:r>
      <w:proofErr w:type="spellStart"/>
      <w:r>
        <w:t>penethacillinum</w:t>
      </w:r>
      <w:proofErr w:type="spellEnd"/>
      <w:r w:rsidR="004B2E0F">
        <w:t>)</w:t>
      </w:r>
    </w:p>
    <w:p w14:paraId="1CD9703A" w14:textId="77777777" w:rsidR="00786538" w:rsidRDefault="00786538">
      <w:pPr>
        <w:tabs>
          <w:tab w:val="clear" w:pos="567"/>
        </w:tabs>
        <w:spacing w:line="240" w:lineRule="auto"/>
      </w:pPr>
    </w:p>
    <w:p w14:paraId="5CB31106" w14:textId="2A1B7BF0" w:rsidR="009F0C67" w:rsidRDefault="009F0C67" w:rsidP="009F0C67">
      <w:pPr>
        <w:tabs>
          <w:tab w:val="clear" w:pos="567"/>
        </w:tabs>
        <w:spacing w:line="240" w:lineRule="auto"/>
      </w:pPr>
      <w:r>
        <w:t>Bílá až nažloutle bílá olejová suspenze.</w:t>
      </w:r>
    </w:p>
    <w:p w14:paraId="5CA0F69C" w14:textId="77777777" w:rsidR="009F0C67" w:rsidRDefault="009F0C67">
      <w:pPr>
        <w:tabs>
          <w:tab w:val="clear" w:pos="567"/>
        </w:tabs>
        <w:spacing w:line="240" w:lineRule="auto"/>
      </w:pPr>
    </w:p>
    <w:p w14:paraId="262199F0" w14:textId="77777777" w:rsidR="00786538" w:rsidRDefault="00786538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 xml:space="preserve">INDIKACE </w:t>
      </w:r>
    </w:p>
    <w:p w14:paraId="721B48CD" w14:textId="77777777" w:rsidR="009F4A68" w:rsidRDefault="009F4A68">
      <w:pPr>
        <w:tabs>
          <w:tab w:val="clear" w:pos="567"/>
        </w:tabs>
        <w:spacing w:line="240" w:lineRule="auto"/>
      </w:pPr>
    </w:p>
    <w:p w14:paraId="1BC4DEA8" w14:textId="079BC8DB" w:rsidR="00786538" w:rsidRDefault="005228F1">
      <w:pPr>
        <w:tabs>
          <w:tab w:val="clear" w:pos="567"/>
        </w:tabs>
        <w:spacing w:line="240" w:lineRule="auto"/>
      </w:pPr>
      <w:r>
        <w:t xml:space="preserve">Léčba klinických a subklinických mastitid u laktujících dojnic vyvolaných stafylokoky a streptokoky citlivými </w:t>
      </w:r>
      <w:r w:rsidR="00585AD3">
        <w:t xml:space="preserve">k </w:t>
      </w:r>
      <w:r>
        <w:t>penicil</w:t>
      </w:r>
      <w:r w:rsidR="00585AD3">
        <w:t>i</w:t>
      </w:r>
      <w:r>
        <w:t>n</w:t>
      </w:r>
      <w:r w:rsidR="00585AD3">
        <w:t>u</w:t>
      </w:r>
      <w:r>
        <w:t>.</w:t>
      </w:r>
    </w:p>
    <w:p w14:paraId="6A9E8202" w14:textId="77777777" w:rsidR="005228F1" w:rsidRDefault="005228F1">
      <w:pPr>
        <w:tabs>
          <w:tab w:val="clear" w:pos="567"/>
        </w:tabs>
        <w:spacing w:line="240" w:lineRule="auto"/>
      </w:pPr>
    </w:p>
    <w:p w14:paraId="5DEE82A8" w14:textId="77777777" w:rsidR="00786538" w:rsidRDefault="00786538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22175182" w14:textId="77777777" w:rsidR="002C1593" w:rsidRDefault="002C1593">
      <w:pPr>
        <w:tabs>
          <w:tab w:val="clear" w:pos="567"/>
        </w:tabs>
        <w:spacing w:line="240" w:lineRule="auto"/>
      </w:pPr>
    </w:p>
    <w:p w14:paraId="739E9FF8" w14:textId="2D52EA09" w:rsidR="00BE0367" w:rsidRPr="00EC6170" w:rsidRDefault="00BE0367" w:rsidP="00BE0367">
      <w:pPr>
        <w:tabs>
          <w:tab w:val="clear" w:pos="567"/>
        </w:tabs>
        <w:spacing w:line="240" w:lineRule="auto"/>
        <w:rPr>
          <w:bCs/>
        </w:rPr>
      </w:pPr>
      <w:r>
        <w:t>Nepoužívat v případě známé přecitlivělosti na léčivou látku nebo na některou z pomocných látek.</w:t>
      </w:r>
    </w:p>
    <w:p w14:paraId="46622894" w14:textId="7E752F21" w:rsidR="001556A4" w:rsidRDefault="00585AD3">
      <w:pPr>
        <w:tabs>
          <w:tab w:val="clear" w:pos="567"/>
        </w:tabs>
        <w:spacing w:line="240" w:lineRule="auto"/>
      </w:pPr>
      <w:r>
        <w:t xml:space="preserve">Nepoužívat </w:t>
      </w:r>
      <w:r w:rsidR="005B53CF">
        <w:t>intravenózně</w:t>
      </w:r>
      <w:r>
        <w:t>.</w:t>
      </w:r>
    </w:p>
    <w:p w14:paraId="734A450B" w14:textId="77777777" w:rsidR="00786538" w:rsidRDefault="00786538">
      <w:pPr>
        <w:tabs>
          <w:tab w:val="clear" w:pos="567"/>
        </w:tabs>
        <w:spacing w:line="240" w:lineRule="auto"/>
      </w:pPr>
    </w:p>
    <w:p w14:paraId="0347A18C" w14:textId="77777777" w:rsidR="00786538" w:rsidRDefault="00786538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6E0D36B9" w14:textId="77777777" w:rsidR="00786538" w:rsidRDefault="00786538">
      <w:pPr>
        <w:tabs>
          <w:tab w:val="clear" w:pos="567"/>
        </w:tabs>
        <w:spacing w:line="240" w:lineRule="auto"/>
      </w:pPr>
    </w:p>
    <w:p w14:paraId="0BF94043" w14:textId="40A22B48" w:rsidR="00A65AFB" w:rsidRPr="003077AA" w:rsidRDefault="00A65AFB" w:rsidP="00B87472">
      <w:pPr>
        <w:spacing w:line="240" w:lineRule="auto"/>
      </w:pPr>
      <w:r>
        <w:t xml:space="preserve">Projevy nežádoucích účinků mohou zahrnovat </w:t>
      </w:r>
      <w:r w:rsidR="001556A4">
        <w:t xml:space="preserve">širokou </w:t>
      </w:r>
      <w:r>
        <w:t>škálu příznaků od mírných kožních reakcí jako je kopřivka a dermatitida až k závažným reakcím, jako je anafylaktický šok (velmi vzácný, méně než 1 z</w:t>
      </w:r>
      <w:r w:rsidR="00901FE8">
        <w:t> </w:t>
      </w:r>
      <w:r>
        <w:t>10</w:t>
      </w:r>
      <w:r w:rsidR="00901FE8">
        <w:t xml:space="preserve"> </w:t>
      </w:r>
      <w:r>
        <w:t xml:space="preserve">000 ošetřených zvířat), který může </w:t>
      </w:r>
      <w:r w:rsidR="00A5552B">
        <w:t xml:space="preserve">být </w:t>
      </w:r>
      <w:r>
        <w:t xml:space="preserve">velmi vzácně smrtelný. Navíc se může vyskytnout </w:t>
      </w:r>
      <w:r w:rsidR="00901FE8">
        <w:t xml:space="preserve">senzibilizace </w:t>
      </w:r>
      <w:r w:rsidR="00585AD3">
        <w:t xml:space="preserve">k </w:t>
      </w:r>
      <w:r>
        <w:t>penicil</w:t>
      </w:r>
      <w:r w:rsidR="00585AD3">
        <w:t>i</w:t>
      </w:r>
      <w:r>
        <w:t>nům.</w:t>
      </w:r>
    </w:p>
    <w:p w14:paraId="742307DA" w14:textId="77777777" w:rsidR="009D6C5E" w:rsidRPr="00B10387" w:rsidRDefault="009D6C5E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eastAsia="nl-NL"/>
        </w:rPr>
      </w:pPr>
    </w:p>
    <w:p w14:paraId="5CAD8E77" w14:textId="77777777" w:rsidR="0039221D" w:rsidRPr="00654C49" w:rsidRDefault="0039221D" w:rsidP="0039221D">
      <w:pPr>
        <w:spacing w:line="240" w:lineRule="auto"/>
      </w:pPr>
      <w:r>
        <w:t>Četnost nežádoucích účinků je charakterizována podle následujících pravidel:</w:t>
      </w:r>
    </w:p>
    <w:p w14:paraId="093F4EE4" w14:textId="7CDA6449" w:rsidR="0039221D" w:rsidRPr="00654C49" w:rsidRDefault="0039221D" w:rsidP="0039221D">
      <w:pPr>
        <w:spacing w:line="240" w:lineRule="auto"/>
      </w:pPr>
      <w:r>
        <w:t>- velmi časté (nežádoucí účinky se projevily u více než 1 z 10 ošetřených zvířat)</w:t>
      </w:r>
    </w:p>
    <w:p w14:paraId="5CC22445" w14:textId="77777777" w:rsidR="0039221D" w:rsidRPr="00654C49" w:rsidRDefault="0039221D" w:rsidP="0039221D">
      <w:pPr>
        <w:spacing w:line="240" w:lineRule="auto"/>
      </w:pPr>
      <w:r>
        <w:t>- časté (u více než 1, ale méně než 10 ze 100 ošetřených zvířat)</w:t>
      </w:r>
    </w:p>
    <w:p w14:paraId="1EF641B0" w14:textId="77777777" w:rsidR="0039221D" w:rsidRPr="00654C49" w:rsidRDefault="0039221D" w:rsidP="0039221D">
      <w:pPr>
        <w:spacing w:line="240" w:lineRule="auto"/>
      </w:pPr>
      <w:r>
        <w:t>- neobvyklé (u více než 1, ale méně než 10 z 1000 ošetřených zvířat)</w:t>
      </w:r>
    </w:p>
    <w:p w14:paraId="6842AF83" w14:textId="61464360" w:rsidR="0039221D" w:rsidRPr="00654C49" w:rsidRDefault="0039221D" w:rsidP="0039221D">
      <w:pPr>
        <w:spacing w:line="240" w:lineRule="auto"/>
      </w:pPr>
      <w:r>
        <w:t>- vzácné (u více než 1, ale méně než 10 z</w:t>
      </w:r>
      <w:r w:rsidR="00A5552B">
        <w:t> </w:t>
      </w:r>
      <w:r>
        <w:t>10</w:t>
      </w:r>
      <w:r w:rsidR="00A5552B">
        <w:t xml:space="preserve"> </w:t>
      </w:r>
      <w:r>
        <w:t>000 ošetřených zvířat)</w:t>
      </w:r>
    </w:p>
    <w:p w14:paraId="5D10AE75" w14:textId="5F939835" w:rsidR="0039221D" w:rsidRDefault="0039221D" w:rsidP="0039221D">
      <w:pPr>
        <w:tabs>
          <w:tab w:val="clear" w:pos="567"/>
        </w:tabs>
        <w:spacing w:line="240" w:lineRule="auto"/>
      </w:pPr>
      <w:r>
        <w:t>- velmi vzácné (u méně než 1 z</w:t>
      </w:r>
      <w:r w:rsidR="00A5552B">
        <w:t> </w:t>
      </w:r>
      <w:r>
        <w:t>10</w:t>
      </w:r>
      <w:r w:rsidR="00A5552B">
        <w:t xml:space="preserve"> </w:t>
      </w:r>
      <w:r>
        <w:t>000 ošetřených zvířat včetně ojedinělých hlášení).</w:t>
      </w:r>
    </w:p>
    <w:p w14:paraId="61FD4EC7" w14:textId="77777777" w:rsidR="0039221D" w:rsidRPr="00B10387" w:rsidRDefault="0039221D" w:rsidP="0039221D">
      <w:pPr>
        <w:tabs>
          <w:tab w:val="clear" w:pos="567"/>
        </w:tabs>
        <w:spacing w:line="240" w:lineRule="auto"/>
      </w:pPr>
    </w:p>
    <w:p w14:paraId="7EF13B44" w14:textId="7DCD4BCD" w:rsidR="00786538" w:rsidRDefault="00A65AFB" w:rsidP="0039221D">
      <w:pPr>
        <w:tabs>
          <w:tab w:val="clear" w:pos="567"/>
        </w:tabs>
        <w:spacing w:line="240" w:lineRule="auto"/>
      </w:pPr>
      <w:r>
        <w:t xml:space="preserve">Jestliže zaznamenáte </w:t>
      </w:r>
      <w:r w:rsidR="00585AD3">
        <w:t>jakékoliv</w:t>
      </w:r>
      <w:r>
        <w:t xml:space="preserve"> nežádoucí účink</w:t>
      </w:r>
      <w:r w:rsidR="00585AD3">
        <w:t>y</w:t>
      </w:r>
      <w:r>
        <w:t xml:space="preserve"> a to i takové, které nejsou uvedeny v této příbalové informaci</w:t>
      </w:r>
      <w:r w:rsidR="00585AD3">
        <w:t xml:space="preserve">, </w:t>
      </w:r>
      <w:r>
        <w:t xml:space="preserve">nebo si myslíte, že </w:t>
      </w:r>
      <w:r w:rsidR="00585AD3">
        <w:t>léčivý přípravek není účinný</w:t>
      </w:r>
      <w:r>
        <w:t xml:space="preserve">, oznamte to, prosím, </w:t>
      </w:r>
      <w:r w:rsidR="00A5552B">
        <w:t>V</w:t>
      </w:r>
      <w:r>
        <w:t>ašemu veterinárnímu lékaři.</w:t>
      </w:r>
    </w:p>
    <w:p w14:paraId="05783F6D" w14:textId="77777777" w:rsidR="001556A4" w:rsidRDefault="001556A4" w:rsidP="0039221D">
      <w:pPr>
        <w:tabs>
          <w:tab w:val="clear" w:pos="567"/>
        </w:tabs>
        <w:spacing w:line="240" w:lineRule="auto"/>
      </w:pPr>
    </w:p>
    <w:p w14:paraId="7125DCC9" w14:textId="77777777" w:rsidR="001556A4" w:rsidRDefault="001556A4" w:rsidP="0039221D">
      <w:pPr>
        <w:tabs>
          <w:tab w:val="clear" w:pos="567"/>
        </w:tabs>
        <w:spacing w:line="240" w:lineRule="auto"/>
      </w:pPr>
    </w:p>
    <w:p w14:paraId="077B9053" w14:textId="77777777" w:rsidR="00A65AFB" w:rsidRDefault="00A65AFB">
      <w:pPr>
        <w:tabs>
          <w:tab w:val="clear" w:pos="567"/>
        </w:tabs>
        <w:spacing w:line="240" w:lineRule="auto"/>
      </w:pPr>
    </w:p>
    <w:p w14:paraId="2A5C73EE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CÍLOVÝ DRUH ZVÍŘAT</w:t>
      </w:r>
    </w:p>
    <w:p w14:paraId="37D838A5" w14:textId="77777777" w:rsidR="005F266A" w:rsidRDefault="005F266A">
      <w:pPr>
        <w:spacing w:line="240" w:lineRule="auto"/>
        <w:ind w:left="567" w:hanging="567"/>
        <w:rPr>
          <w:b/>
        </w:rPr>
      </w:pPr>
    </w:p>
    <w:p w14:paraId="7D01DAD8" w14:textId="47E1EE62" w:rsidR="00786538" w:rsidRDefault="005F266A" w:rsidP="00BD022C">
      <w:pPr>
        <w:spacing w:line="240" w:lineRule="auto"/>
        <w:ind w:left="567" w:hanging="567"/>
      </w:pPr>
      <w:r>
        <w:t>Skot (dojnice</w:t>
      </w:r>
      <w:r w:rsidR="00FC4C83">
        <w:t xml:space="preserve"> v laktaci</w:t>
      </w:r>
      <w:r>
        <w:t>).</w:t>
      </w:r>
    </w:p>
    <w:p w14:paraId="4B35868E" w14:textId="77777777" w:rsidR="00786538" w:rsidRDefault="00786538">
      <w:pPr>
        <w:tabs>
          <w:tab w:val="clear" w:pos="567"/>
        </w:tabs>
        <w:spacing w:line="240" w:lineRule="auto"/>
      </w:pPr>
    </w:p>
    <w:p w14:paraId="5F77D99D" w14:textId="77777777" w:rsidR="00786538" w:rsidRDefault="00786538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>DÁVKOVÁNÍ PRO KAŽDÝ DRUH, CESTA A ZPŮSOB PODÁNÍ</w:t>
      </w:r>
    </w:p>
    <w:p w14:paraId="13E448AF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37C52396" w14:textId="77777777" w:rsidR="00A4586D" w:rsidRDefault="00A4586D" w:rsidP="005F266A">
      <w:pPr>
        <w:tabs>
          <w:tab w:val="clear" w:pos="567"/>
        </w:tabs>
        <w:spacing w:line="240" w:lineRule="auto"/>
        <w:rPr>
          <w:noProof/>
        </w:rPr>
      </w:pPr>
      <w:r>
        <w:t>Před použitím dobře protřepejte</w:t>
      </w:r>
    </w:p>
    <w:p w14:paraId="20F30C4F" w14:textId="418309A2" w:rsidR="00A4586D" w:rsidRDefault="005F266A" w:rsidP="005F266A">
      <w:pPr>
        <w:tabs>
          <w:tab w:val="clear" w:pos="567"/>
        </w:tabs>
        <w:spacing w:line="240" w:lineRule="auto"/>
        <w:rPr>
          <w:iCs/>
        </w:rPr>
      </w:pPr>
      <w:r>
        <w:t>Pouze</w:t>
      </w:r>
      <w:r w:rsidR="001556A4">
        <w:t xml:space="preserve"> pro</w:t>
      </w:r>
      <w:r>
        <w:t xml:space="preserve"> intramuskulární podání, </w:t>
      </w:r>
      <w:r w:rsidR="001556A4">
        <w:t xml:space="preserve">přednostně </w:t>
      </w:r>
      <w:r>
        <w:t xml:space="preserve">do </w:t>
      </w:r>
      <w:r w:rsidR="0020761E">
        <w:t xml:space="preserve">svaloviny </w:t>
      </w:r>
      <w:r>
        <w:t xml:space="preserve">krku. </w:t>
      </w:r>
    </w:p>
    <w:p w14:paraId="272BEBDF" w14:textId="77777777" w:rsidR="005F266A" w:rsidRPr="005F266A" w:rsidRDefault="000017D0" w:rsidP="005F266A">
      <w:pPr>
        <w:tabs>
          <w:tab w:val="clear" w:pos="567"/>
        </w:tabs>
        <w:spacing w:line="240" w:lineRule="auto"/>
        <w:rPr>
          <w:iCs/>
        </w:rPr>
      </w:pPr>
      <w:r>
        <w:t>Podávejte střídavě na levou a pravou stranu.</w:t>
      </w:r>
    </w:p>
    <w:p w14:paraId="5B049430" w14:textId="77777777" w:rsidR="005F266A" w:rsidRPr="005F266A" w:rsidRDefault="005F266A" w:rsidP="005F266A">
      <w:pPr>
        <w:tabs>
          <w:tab w:val="clear" w:pos="567"/>
        </w:tabs>
        <w:spacing w:line="240" w:lineRule="auto"/>
        <w:rPr>
          <w:iCs/>
        </w:rPr>
      </w:pPr>
    </w:p>
    <w:p w14:paraId="59B5EEE5" w14:textId="7D5AF7E4" w:rsidR="00786538" w:rsidRDefault="005F266A" w:rsidP="005F266A">
      <w:pPr>
        <w:tabs>
          <w:tab w:val="clear" w:pos="567"/>
        </w:tabs>
        <w:spacing w:line="240" w:lineRule="auto"/>
        <w:rPr>
          <w:iCs/>
        </w:rPr>
      </w:pPr>
      <w:r>
        <w:t xml:space="preserve">10–15 mg </w:t>
      </w:r>
      <w:proofErr w:type="spellStart"/>
      <w:r w:rsidR="00585AD3">
        <w:t>penethacilinu</w:t>
      </w:r>
      <w:proofErr w:type="spellEnd"/>
      <w:r w:rsidR="00585AD3">
        <w:t xml:space="preserve"> </w:t>
      </w:r>
      <w:proofErr w:type="spellStart"/>
      <w:r>
        <w:t>hydrojodidu</w:t>
      </w:r>
      <w:proofErr w:type="spellEnd"/>
      <w:r>
        <w:t xml:space="preserve"> na kg </w:t>
      </w:r>
      <w:r w:rsidR="00585AD3">
        <w:t xml:space="preserve">živé </w:t>
      </w:r>
      <w:r>
        <w:t xml:space="preserve">hmotnosti za den, jednou denně po 3 po sobě </w:t>
      </w:r>
      <w:r w:rsidR="008F3C2D">
        <w:t xml:space="preserve">následující </w:t>
      </w:r>
      <w:r>
        <w:t xml:space="preserve">dny, což odpovídá 2,5–3,75 ml přípravku na 100 kg </w:t>
      </w:r>
      <w:r w:rsidR="00585AD3">
        <w:t xml:space="preserve">živé </w:t>
      </w:r>
      <w:r>
        <w:t xml:space="preserve">hmotnosti za den, jednou denně po 3 po sobě </w:t>
      </w:r>
      <w:r w:rsidR="00B376CE">
        <w:t xml:space="preserve">následující </w:t>
      </w:r>
      <w:r>
        <w:t>dny.</w:t>
      </w:r>
    </w:p>
    <w:p w14:paraId="4C7AEAD1" w14:textId="77777777" w:rsidR="009E1524" w:rsidRDefault="009E1524" w:rsidP="005F266A">
      <w:pPr>
        <w:tabs>
          <w:tab w:val="clear" w:pos="567"/>
        </w:tabs>
        <w:spacing w:line="240" w:lineRule="auto"/>
        <w:rPr>
          <w:iCs/>
        </w:rPr>
      </w:pPr>
    </w:p>
    <w:p w14:paraId="339AB1E4" w14:textId="5856DE4B" w:rsidR="001F507F" w:rsidRDefault="009E1524" w:rsidP="005F266A">
      <w:pPr>
        <w:tabs>
          <w:tab w:val="clear" w:pos="567"/>
        </w:tabs>
        <w:spacing w:line="240" w:lineRule="auto"/>
      </w:pPr>
      <w:r>
        <w:t xml:space="preserve">Pro zajištění správného dávkování je třeba co nejpřesněji určit </w:t>
      </w:r>
      <w:r w:rsidR="00585AD3">
        <w:t xml:space="preserve">živou </w:t>
      </w:r>
      <w:r>
        <w:t xml:space="preserve">hmotnost, aby se zabránilo </w:t>
      </w:r>
      <w:r w:rsidR="007E4B28">
        <w:t>pod</w:t>
      </w:r>
      <w:r>
        <w:t>dávkování.</w:t>
      </w:r>
    </w:p>
    <w:p w14:paraId="2C3050AE" w14:textId="77777777" w:rsidR="009E1524" w:rsidRDefault="009E1524" w:rsidP="005F266A">
      <w:pPr>
        <w:tabs>
          <w:tab w:val="clear" w:pos="567"/>
        </w:tabs>
        <w:spacing w:line="240" w:lineRule="auto"/>
        <w:rPr>
          <w:iCs/>
        </w:rPr>
      </w:pPr>
    </w:p>
    <w:p w14:paraId="50A7447B" w14:textId="77777777" w:rsidR="00786538" w:rsidRDefault="00786538">
      <w:pPr>
        <w:spacing w:line="240" w:lineRule="auto"/>
        <w:ind w:left="567" w:hanging="567"/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3BFAF58E" w14:textId="77777777" w:rsidR="00786538" w:rsidRDefault="00786538">
      <w:pPr>
        <w:tabs>
          <w:tab w:val="clear" w:pos="567"/>
        </w:tabs>
        <w:spacing w:line="240" w:lineRule="auto"/>
      </w:pPr>
    </w:p>
    <w:p w14:paraId="25AB1E61" w14:textId="77777777" w:rsidR="00786538" w:rsidRDefault="002C1593">
      <w:pPr>
        <w:tabs>
          <w:tab w:val="clear" w:pos="567"/>
        </w:tabs>
        <w:spacing w:line="240" w:lineRule="auto"/>
      </w:pPr>
      <w:r>
        <w:rPr>
          <w:highlight w:val="lightGray"/>
        </w:rPr>
        <w:t>Nejsou.</w:t>
      </w:r>
    </w:p>
    <w:p w14:paraId="30B94841" w14:textId="77777777" w:rsidR="002A12F6" w:rsidRDefault="002A12F6">
      <w:pPr>
        <w:spacing w:line="240" w:lineRule="auto"/>
        <w:ind w:left="567" w:hanging="567"/>
        <w:rPr>
          <w:b/>
        </w:rPr>
      </w:pPr>
    </w:p>
    <w:p w14:paraId="4F15B75C" w14:textId="157C55C5" w:rsidR="00786538" w:rsidRDefault="00786538">
      <w:pPr>
        <w:spacing w:line="240" w:lineRule="auto"/>
        <w:ind w:left="567" w:hanging="567"/>
      </w:pPr>
      <w:r>
        <w:rPr>
          <w:b/>
        </w:rPr>
        <w:t>10.</w:t>
      </w:r>
      <w:r>
        <w:rPr>
          <w:b/>
        </w:rPr>
        <w:tab/>
        <w:t>OCHRANNÁ</w:t>
      </w:r>
      <w:r w:rsidR="00275D79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275D79">
        <w:rPr>
          <w:b/>
        </w:rPr>
        <w:t>(Y)</w:t>
      </w:r>
      <w:proofErr w:type="gramEnd"/>
    </w:p>
    <w:p w14:paraId="0F2824C8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1217D6C3" w14:textId="6664109F" w:rsidR="002C1593" w:rsidRDefault="002C1593">
      <w:pPr>
        <w:tabs>
          <w:tab w:val="clear" w:pos="567"/>
        </w:tabs>
        <w:spacing w:line="240" w:lineRule="auto"/>
        <w:rPr>
          <w:iCs/>
        </w:rPr>
      </w:pPr>
      <w:r>
        <w:t>Mléko:</w:t>
      </w:r>
      <w:r w:rsidR="00921156">
        <w:t xml:space="preserve"> </w:t>
      </w:r>
      <w:r>
        <w:t>4 dn</w:t>
      </w:r>
      <w:r w:rsidR="00794CAF">
        <w:t>y</w:t>
      </w:r>
    </w:p>
    <w:p w14:paraId="3796C2F8" w14:textId="5DF3140C" w:rsidR="002C1593" w:rsidRDefault="002C1593">
      <w:pPr>
        <w:tabs>
          <w:tab w:val="clear" w:pos="567"/>
        </w:tabs>
        <w:spacing w:line="240" w:lineRule="auto"/>
        <w:rPr>
          <w:iCs/>
        </w:rPr>
      </w:pPr>
      <w:r>
        <w:t>Maso:</w:t>
      </w:r>
      <w:r>
        <w:tab/>
      </w:r>
      <w:r w:rsidR="00DD256A">
        <w:t xml:space="preserve"> </w:t>
      </w:r>
      <w:r>
        <w:t>10 dnů</w:t>
      </w:r>
    </w:p>
    <w:p w14:paraId="2DC26C8D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16CB2981" w14:textId="77777777" w:rsidR="00786538" w:rsidRDefault="00786538">
      <w:pPr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0B03E9E5" w14:textId="77777777" w:rsidR="00786538" w:rsidRDefault="00786538">
      <w:pPr>
        <w:numPr>
          <w:ilvl w:val="12"/>
          <w:numId w:val="0"/>
        </w:numPr>
        <w:ind w:right="-2"/>
        <w:rPr>
          <w:noProof/>
        </w:rPr>
      </w:pPr>
    </w:p>
    <w:p w14:paraId="3030BA3A" w14:textId="77777777" w:rsidR="00786538" w:rsidRDefault="00786538">
      <w:pPr>
        <w:numPr>
          <w:ilvl w:val="12"/>
          <w:numId w:val="0"/>
        </w:numPr>
        <w:ind w:right="-2"/>
        <w:rPr>
          <w:noProof/>
        </w:rPr>
      </w:pPr>
      <w:r>
        <w:t>Uchovávat mimo dohled a dosah dětí.</w:t>
      </w:r>
    </w:p>
    <w:p w14:paraId="58651A36" w14:textId="77777777" w:rsidR="001F507F" w:rsidRPr="00F21139" w:rsidRDefault="00786538">
      <w:pPr>
        <w:numPr>
          <w:ilvl w:val="12"/>
          <w:numId w:val="0"/>
        </w:numPr>
        <w:ind w:right="-2"/>
        <w:rPr>
          <w:noProof/>
        </w:rPr>
      </w:pPr>
      <w:r>
        <w:t>Uchovávejte při teplotě do 30 </w:t>
      </w:r>
      <w:r>
        <w:sym w:font="Symbol" w:char="F0B0"/>
      </w:r>
      <w:r>
        <w:t>C.</w:t>
      </w:r>
    </w:p>
    <w:p w14:paraId="39AB6CF9" w14:textId="77777777" w:rsidR="00786538" w:rsidRDefault="001F507F">
      <w:pPr>
        <w:numPr>
          <w:ilvl w:val="12"/>
          <w:numId w:val="0"/>
        </w:numPr>
        <w:ind w:right="-2"/>
        <w:rPr>
          <w:noProof/>
        </w:rPr>
      </w:pPr>
      <w:r>
        <w:t xml:space="preserve">Uchovávejte ve svislé poloze. </w:t>
      </w:r>
    </w:p>
    <w:p w14:paraId="008060C1" w14:textId="56737DC8" w:rsidR="00786538" w:rsidRDefault="00C32215">
      <w:pPr>
        <w:numPr>
          <w:ilvl w:val="12"/>
          <w:numId w:val="0"/>
        </w:numPr>
        <w:ind w:right="-2"/>
        <w:rPr>
          <w:noProof/>
        </w:rPr>
      </w:pPr>
      <w:r>
        <w:t xml:space="preserve">Nepoužívejte tento veterinární léčivý přípravek po uplynutí doby použitelnosti uvedené na krabičce a lahvičce </w:t>
      </w:r>
      <w:r w:rsidR="007603A4">
        <w:t xml:space="preserve">po </w:t>
      </w:r>
      <w:r>
        <w:t xml:space="preserve">EXP. Doba použitelnosti </w:t>
      </w:r>
      <w:r w:rsidR="007603A4">
        <w:t>končí</w:t>
      </w:r>
      <w:r>
        <w:t xml:space="preserve"> posledním </w:t>
      </w:r>
      <w:r w:rsidR="007603A4">
        <w:t>dnem v uvedeném měsíci</w:t>
      </w:r>
      <w:r>
        <w:t>.</w:t>
      </w:r>
    </w:p>
    <w:p w14:paraId="580C8CDA" w14:textId="6B95A342" w:rsidR="00786538" w:rsidRDefault="00786538">
      <w:pPr>
        <w:numPr>
          <w:ilvl w:val="12"/>
          <w:numId w:val="0"/>
        </w:numPr>
        <w:ind w:right="-2"/>
        <w:rPr>
          <w:noProof/>
        </w:rPr>
      </w:pPr>
      <w:r>
        <w:t>Doba použitelnosti po prvním otevření vnitřního obalu: 28 dnů.</w:t>
      </w:r>
    </w:p>
    <w:p w14:paraId="74845EA3" w14:textId="77777777" w:rsidR="00786538" w:rsidRDefault="00786538">
      <w:pPr>
        <w:tabs>
          <w:tab w:val="clear" w:pos="567"/>
        </w:tabs>
        <w:spacing w:line="240" w:lineRule="auto"/>
      </w:pPr>
    </w:p>
    <w:p w14:paraId="152F778C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5909F1BA" w14:textId="77777777" w:rsidR="00786538" w:rsidRDefault="00786538">
      <w:pPr>
        <w:tabs>
          <w:tab w:val="clear" w:pos="567"/>
        </w:tabs>
        <w:spacing w:line="240" w:lineRule="auto"/>
      </w:pPr>
    </w:p>
    <w:p w14:paraId="6D8B4B6D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13D99328" w14:textId="27AD40BE" w:rsidR="00A4586D" w:rsidRDefault="00A4586D" w:rsidP="00A4586D">
      <w:pPr>
        <w:spacing w:line="240" w:lineRule="auto"/>
      </w:pPr>
      <w:r>
        <w:t xml:space="preserve">Použití veterinárního léčivého přípravku by mělo být založeno na testování citlivosti </w:t>
      </w:r>
      <w:r w:rsidR="001B7722">
        <w:t xml:space="preserve">mikroorganismů </w:t>
      </w:r>
      <w:r>
        <w:t xml:space="preserve">izolovaných ze zvířete.  </w:t>
      </w:r>
    </w:p>
    <w:p w14:paraId="1CEF1111" w14:textId="67C6FAEF" w:rsidR="00A4586D" w:rsidRPr="00A4360E" w:rsidRDefault="00A4586D" w:rsidP="00A4586D">
      <w:pPr>
        <w:spacing w:line="240" w:lineRule="auto"/>
      </w:pPr>
      <w:r>
        <w:t xml:space="preserve">Pokud to není možné, je nutné založit terapii na místních (regionální, na úrovni farmy) epidemiologických informacích o citlivosti </w:t>
      </w:r>
      <w:r w:rsidR="00E61721">
        <w:t>cílových mikroorganismů</w:t>
      </w:r>
      <w:r>
        <w:t>.</w:t>
      </w:r>
    </w:p>
    <w:p w14:paraId="1A6E811C" w14:textId="1F0CDE37" w:rsidR="00A4586D" w:rsidRDefault="00A4586D" w:rsidP="00A4586D">
      <w:pPr>
        <w:spacing w:line="240" w:lineRule="auto"/>
      </w:pPr>
      <w:r>
        <w:t xml:space="preserve">Při použití přípravku je nutno </w:t>
      </w:r>
      <w:r w:rsidR="002831AA">
        <w:t xml:space="preserve">vzít v úvahu </w:t>
      </w:r>
      <w:r>
        <w:t xml:space="preserve">oficiální a místní </w:t>
      </w:r>
      <w:r w:rsidR="002831AA">
        <w:t>pravidla antibiotické politiky</w:t>
      </w:r>
      <w:r>
        <w:t>.</w:t>
      </w:r>
    </w:p>
    <w:p w14:paraId="1C5BD109" w14:textId="35A65D0E" w:rsidR="00A4586D" w:rsidRDefault="00A4586D" w:rsidP="00A4586D">
      <w:pPr>
        <w:spacing w:line="240" w:lineRule="auto"/>
      </w:pPr>
      <w:r>
        <w:t>Použití přípravku</w:t>
      </w:r>
      <w:r w:rsidR="002831AA">
        <w:t xml:space="preserve">, které je odlišné od pokynů uvedených </w:t>
      </w:r>
      <w:r>
        <w:t>v </w:t>
      </w:r>
      <w:r w:rsidR="00FC440A">
        <w:t>t</w:t>
      </w:r>
      <w:r w:rsidR="00E61721">
        <w:t>éto</w:t>
      </w:r>
      <w:r w:rsidR="00FC440A">
        <w:t xml:space="preserve"> příbalové </w:t>
      </w:r>
      <w:r>
        <w:t xml:space="preserve">informaci, může zvýšit prevalenci bakterií rezistentních </w:t>
      </w:r>
      <w:r w:rsidR="002831AA">
        <w:t xml:space="preserve">na </w:t>
      </w:r>
      <w:proofErr w:type="spellStart"/>
      <w:r>
        <w:t>benzylpenicil</w:t>
      </w:r>
      <w:r w:rsidR="002831AA">
        <w:t>i</w:t>
      </w:r>
      <w:r>
        <w:t>n</w:t>
      </w:r>
      <w:proofErr w:type="spellEnd"/>
      <w:r>
        <w:t xml:space="preserve"> a </w:t>
      </w:r>
      <w:r w:rsidR="00E61721">
        <w:t>s</w:t>
      </w:r>
      <w:r>
        <w:t xml:space="preserve">nížit účinnost </w:t>
      </w:r>
      <w:r w:rsidR="002831AA">
        <w:t>terapie ostatními</w:t>
      </w:r>
      <w:r>
        <w:t xml:space="preserve"> beta-</w:t>
      </w:r>
      <w:proofErr w:type="spellStart"/>
      <w:r>
        <w:t>laktamovými</w:t>
      </w:r>
      <w:proofErr w:type="spellEnd"/>
      <w:r>
        <w:t xml:space="preserve"> antibiotiky </w:t>
      </w:r>
      <w:r w:rsidR="002831AA">
        <w:t xml:space="preserve">z důvodu možné </w:t>
      </w:r>
      <w:r w:rsidR="00E61721">
        <w:t>zkřížené</w:t>
      </w:r>
      <w:r>
        <w:t xml:space="preserve"> rezistenc</w:t>
      </w:r>
      <w:r w:rsidR="00FC440A">
        <w:t>e</w:t>
      </w:r>
    </w:p>
    <w:p w14:paraId="387E40DA" w14:textId="41605E19" w:rsidR="00571AED" w:rsidRDefault="00FC440A" w:rsidP="00C32215">
      <w:pPr>
        <w:tabs>
          <w:tab w:val="clear" w:pos="567"/>
        </w:tabs>
        <w:spacing w:line="240" w:lineRule="auto"/>
      </w:pPr>
      <w:r w:rsidRPr="00FC440A">
        <w:t xml:space="preserve">Je nutno zabránit </w:t>
      </w:r>
      <w:r w:rsidR="00571AED">
        <w:t>zkrmování mléka</w:t>
      </w:r>
      <w:r w:rsidRPr="00FC440A">
        <w:t xml:space="preserve"> obsahující</w:t>
      </w:r>
      <w:r w:rsidR="00571AED">
        <w:t>ho</w:t>
      </w:r>
      <w:r w:rsidRPr="00FC440A">
        <w:t xml:space="preserve"> rezidua penicilinu</w:t>
      </w:r>
      <w:r w:rsidR="00571AED">
        <w:t xml:space="preserve"> </w:t>
      </w:r>
      <w:r w:rsidR="00571AED" w:rsidRPr="00FC440A">
        <w:t>telat</w:t>
      </w:r>
      <w:r w:rsidR="00571AED">
        <w:t>ům</w:t>
      </w:r>
      <w:r w:rsidRPr="00FC440A">
        <w:t xml:space="preserve">, protože by mohlo dojít k selekci bakterií rezistentních na antibiotika (např. ESBL) v trávicím traktu telat. </w:t>
      </w:r>
    </w:p>
    <w:p w14:paraId="096F1326" w14:textId="77777777" w:rsidR="005359F2" w:rsidRDefault="005359F2" w:rsidP="00C32215">
      <w:pPr>
        <w:tabs>
          <w:tab w:val="clear" w:pos="567"/>
        </w:tabs>
        <w:spacing w:line="240" w:lineRule="auto"/>
      </w:pPr>
    </w:p>
    <w:p w14:paraId="053E5A39" w14:textId="77777777" w:rsidR="005359F2" w:rsidRDefault="005359F2" w:rsidP="00FD476E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1893ED2F" w14:textId="597A8069" w:rsidR="00577BCD" w:rsidRPr="00E463F4" w:rsidRDefault="00577BCD" w:rsidP="00577BCD">
      <w:pPr>
        <w:jc w:val="both"/>
        <w:rPr>
          <w:bCs/>
        </w:rPr>
      </w:pPr>
      <w:r>
        <w:t xml:space="preserve">Tento přípravek může způsobit </w:t>
      </w:r>
      <w:proofErr w:type="spellStart"/>
      <w:r w:rsidR="00376516">
        <w:t>senzitizaci</w:t>
      </w:r>
      <w:proofErr w:type="spellEnd"/>
      <w:r w:rsidR="00376516">
        <w:t xml:space="preserve"> </w:t>
      </w:r>
      <w:r>
        <w:t xml:space="preserve">a kontaktní dermatitidu. </w:t>
      </w:r>
    </w:p>
    <w:p w14:paraId="7DFEDFB7" w14:textId="77777777" w:rsidR="00577BCD" w:rsidRPr="008D4388" w:rsidRDefault="00577BCD" w:rsidP="00577BCD">
      <w:pPr>
        <w:tabs>
          <w:tab w:val="clear" w:pos="567"/>
        </w:tabs>
        <w:spacing w:line="240" w:lineRule="auto"/>
        <w:jc w:val="both"/>
      </w:pPr>
      <w:r w:rsidRPr="008D4388">
        <w:t xml:space="preserve">Přecitlivělost na peniciliny může </w:t>
      </w:r>
      <w:r w:rsidRPr="00B279FA">
        <w:t>vést ke zkříženým reakcím s cefalosporiny a naopak</w:t>
      </w:r>
      <w:r w:rsidRPr="008D4388">
        <w:t>.</w:t>
      </w:r>
    </w:p>
    <w:p w14:paraId="35D95FCD" w14:textId="77777777" w:rsidR="00577BCD" w:rsidRDefault="00577BCD" w:rsidP="00577BCD">
      <w:pPr>
        <w:tabs>
          <w:tab w:val="clear" w:pos="567"/>
        </w:tabs>
        <w:spacing w:line="240" w:lineRule="auto"/>
        <w:jc w:val="both"/>
      </w:pPr>
      <w:r>
        <w:t xml:space="preserve">Alergické reakce na tyto látky mohou být v některých případech vážné. </w:t>
      </w:r>
    </w:p>
    <w:p w14:paraId="6F3CF9BC" w14:textId="2010B043" w:rsidR="00577BCD" w:rsidRDefault="00577BCD" w:rsidP="00577BCD">
      <w:pPr>
        <w:tabs>
          <w:tab w:val="clear" w:pos="567"/>
        </w:tabs>
        <w:spacing w:line="240" w:lineRule="auto"/>
        <w:jc w:val="both"/>
        <w:rPr>
          <w:b/>
        </w:rPr>
      </w:pPr>
      <w:r>
        <w:t xml:space="preserve">Zabraňte kontaktu přípravku s kůží nebo </w:t>
      </w:r>
      <w:r w:rsidRPr="00C30728">
        <w:t>sebepoškození injekčně aplikovaným přípravkem</w:t>
      </w:r>
      <w:r w:rsidR="00C30728">
        <w:t>.</w:t>
      </w:r>
      <w:r>
        <w:br/>
        <w:t>Při nakládání s veterinárním léčivým přípravkem by se měly používat rukavice.</w:t>
      </w:r>
    </w:p>
    <w:p w14:paraId="11459F54" w14:textId="68778724" w:rsidR="00577BCD" w:rsidRDefault="00577BCD" w:rsidP="00577BCD">
      <w:pPr>
        <w:jc w:val="both"/>
      </w:pPr>
      <w:r w:rsidRPr="00B279FA">
        <w:t xml:space="preserve">Nemanipulujte s přípravkem, pokud víte, že jste přecitlivělí, nebo pokud </w:t>
      </w:r>
      <w:r w:rsidR="00376516">
        <w:t>v</w:t>
      </w:r>
      <w:r w:rsidR="00376516" w:rsidRPr="00B279FA">
        <w:t xml:space="preserve">ám </w:t>
      </w:r>
      <w:r w:rsidRPr="00B279FA">
        <w:t xml:space="preserve">bylo doporučeno </w:t>
      </w:r>
      <w:r>
        <w:br/>
      </w:r>
      <w:r w:rsidRPr="00B279FA">
        <w:t>s přípravky tohoto typu nepracovat</w:t>
      </w:r>
      <w:r>
        <w:t>.</w:t>
      </w:r>
    </w:p>
    <w:p w14:paraId="36FE20EC" w14:textId="77777777" w:rsidR="00577BCD" w:rsidRPr="00E463F4" w:rsidRDefault="00577BCD" w:rsidP="00577BCD">
      <w:pPr>
        <w:jc w:val="both"/>
        <w:rPr>
          <w:bCs/>
        </w:rPr>
      </w:pPr>
      <w:r>
        <w:lastRenderedPageBreak/>
        <w:t xml:space="preserve">Po použití si umyjte ruce. </w:t>
      </w:r>
    </w:p>
    <w:p w14:paraId="4E41DB8B" w14:textId="2AD6D527" w:rsidR="00577BCD" w:rsidRDefault="00577BCD" w:rsidP="00577BCD">
      <w:pPr>
        <w:jc w:val="both"/>
        <w:rPr>
          <w:bCs/>
        </w:rPr>
      </w:pPr>
      <w:r>
        <w:t xml:space="preserve">V případě kontaktu přípravku s kůží opláchněte ihned velkým množstvím vody. </w:t>
      </w:r>
      <w:r w:rsidRPr="008E1084">
        <w:t xml:space="preserve">Pokud se po přímém kontaktu s přípravkem objeví příznaky, jako například kožní vyrážka, </w:t>
      </w:r>
      <w:r>
        <w:t xml:space="preserve">nebo v případě </w:t>
      </w:r>
      <w:r w:rsidRPr="00C30728">
        <w:t>sebepoškození injekčně aplikovaným přípravkem</w:t>
      </w:r>
      <w:r>
        <w:t xml:space="preserve">, </w:t>
      </w:r>
      <w:r w:rsidRPr="008E1084">
        <w:t xml:space="preserve">vyhledejte lékařskou pomoc a ukažte lékaři </w:t>
      </w:r>
      <w:r>
        <w:t>příbalovou informaci</w:t>
      </w:r>
      <w:r w:rsidRPr="008E1084">
        <w:t xml:space="preserve">. Otok obličeje, rtů či očí nebo potíže s dýcháním jsou vážné příznaky a vyžadují okamžitou lékařskou péči. </w:t>
      </w:r>
    </w:p>
    <w:p w14:paraId="36FA4B03" w14:textId="77777777" w:rsidR="005359F2" w:rsidRDefault="005359F2">
      <w:pPr>
        <w:tabs>
          <w:tab w:val="clear" w:pos="567"/>
        </w:tabs>
        <w:spacing w:line="240" w:lineRule="auto"/>
      </w:pPr>
    </w:p>
    <w:p w14:paraId="3B1C741A" w14:textId="77777777" w:rsidR="005359F2" w:rsidRPr="005359F2" w:rsidRDefault="005359F2" w:rsidP="005359F2">
      <w:pPr>
        <w:tabs>
          <w:tab w:val="clear" w:pos="567"/>
        </w:tabs>
        <w:spacing w:line="240" w:lineRule="auto"/>
        <w:ind w:left="567" w:hanging="567"/>
      </w:pPr>
      <w:r>
        <w:rPr>
          <w:u w:val="single"/>
        </w:rPr>
        <w:t>Použití v průběhu březosti a laktace</w:t>
      </w:r>
      <w:r>
        <w:t>:</w:t>
      </w:r>
    </w:p>
    <w:p w14:paraId="4D9EE442" w14:textId="77777777" w:rsidR="005359F2" w:rsidRDefault="005359F2" w:rsidP="005359F2">
      <w:pPr>
        <w:tabs>
          <w:tab w:val="clear" w:pos="567"/>
        </w:tabs>
        <w:spacing w:line="240" w:lineRule="auto"/>
      </w:pPr>
      <w:r>
        <w:t>Lze použít během březosti nebo laktace.</w:t>
      </w:r>
    </w:p>
    <w:p w14:paraId="63A79782" w14:textId="77777777" w:rsidR="005359F2" w:rsidRDefault="005359F2">
      <w:pPr>
        <w:tabs>
          <w:tab w:val="clear" w:pos="567"/>
        </w:tabs>
        <w:spacing w:line="240" w:lineRule="auto"/>
      </w:pPr>
    </w:p>
    <w:p w14:paraId="2F6C46C5" w14:textId="77777777" w:rsidR="001F507F" w:rsidRPr="00B87472" w:rsidRDefault="001F507F" w:rsidP="001F507F">
      <w:pPr>
        <w:tabs>
          <w:tab w:val="clear" w:pos="567"/>
        </w:tabs>
        <w:spacing w:line="240" w:lineRule="auto"/>
      </w:pPr>
      <w:r>
        <w:rPr>
          <w:u w:val="single"/>
        </w:rPr>
        <w:t>Interakce s dalšími léčivými přípravky a další formy interakce</w:t>
      </w:r>
      <w:r>
        <w:t>:</w:t>
      </w:r>
    </w:p>
    <w:p w14:paraId="67E3C6A9" w14:textId="4A673DB2" w:rsidR="001F507F" w:rsidRDefault="00A4586D">
      <w:pPr>
        <w:tabs>
          <w:tab w:val="clear" w:pos="567"/>
        </w:tabs>
        <w:spacing w:line="240" w:lineRule="auto"/>
      </w:pPr>
      <w:r>
        <w:t>Penicil</w:t>
      </w:r>
      <w:r w:rsidR="002831AA">
        <w:t>i</w:t>
      </w:r>
      <w:r>
        <w:t>ny by se neměly současně podávat s antibiotiky s bakteriostatickým účinkem.</w:t>
      </w:r>
    </w:p>
    <w:p w14:paraId="28492C18" w14:textId="77777777" w:rsidR="00A4586D" w:rsidRDefault="00A4586D">
      <w:pPr>
        <w:tabs>
          <w:tab w:val="clear" w:pos="567"/>
        </w:tabs>
        <w:spacing w:line="240" w:lineRule="auto"/>
      </w:pPr>
    </w:p>
    <w:p w14:paraId="1A2D615F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59FD4C62" w14:textId="77777777" w:rsidR="005359F2" w:rsidRDefault="005359F2" w:rsidP="005359F2">
      <w:pPr>
        <w:tabs>
          <w:tab w:val="clear" w:pos="567"/>
        </w:tabs>
        <w:spacing w:line="240" w:lineRule="auto"/>
      </w:pPr>
      <w:r>
        <w:t>V případě předávkování se neočekávají žádné jiné nežádoucí účinky než účinky uvedené v bodě „Nežádoucí účinky“.</w:t>
      </w:r>
    </w:p>
    <w:p w14:paraId="65682164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</w:p>
    <w:p w14:paraId="66D5F8B4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39B30980" w14:textId="75B6A23D" w:rsidR="00786538" w:rsidRDefault="007603A4">
      <w:pPr>
        <w:tabs>
          <w:tab w:val="clear" w:pos="567"/>
        </w:tabs>
        <w:spacing w:line="240" w:lineRule="auto"/>
      </w:pPr>
      <w:r>
        <w:t xml:space="preserve">Nemísit </w:t>
      </w:r>
      <w:r w:rsidR="00C32215">
        <w:t>s jiným veterinárním léčivým přípravkem.</w:t>
      </w:r>
    </w:p>
    <w:p w14:paraId="248053DC" w14:textId="77777777" w:rsidR="00786538" w:rsidRDefault="00786538">
      <w:pPr>
        <w:tabs>
          <w:tab w:val="clear" w:pos="567"/>
        </w:tabs>
        <w:spacing w:line="240" w:lineRule="auto"/>
      </w:pPr>
    </w:p>
    <w:p w14:paraId="6A1DE906" w14:textId="59665F96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</w:t>
      </w:r>
      <w:r w:rsidR="00577BCD">
        <w:rPr>
          <w:b/>
        </w:rPr>
        <w:t xml:space="preserve">NEPOUŽITÝCH PŘÍPRAVKŮ </w:t>
      </w:r>
      <w:r>
        <w:rPr>
          <w:b/>
        </w:rPr>
        <w:t>NEBO ODPADU, POKUD JE JICH TŘEBA</w:t>
      </w:r>
    </w:p>
    <w:p w14:paraId="18817DAC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3ABEF7F1" w14:textId="5CCADF76" w:rsidR="00BF1C48" w:rsidRDefault="00577BCD">
      <w:pPr>
        <w:tabs>
          <w:tab w:val="clear" w:pos="567"/>
        </w:tabs>
        <w:spacing w:line="240" w:lineRule="auto"/>
        <w:ind w:right="-318"/>
      </w:pPr>
      <w:r>
        <w:t>Všechen nepoužitý veterinární léčivý přípravek nebo odpad, který pochází z tohoto přípravku, musí být likvidován podle místních právních předpisů</w:t>
      </w:r>
      <w:r w:rsidR="00BF1C48">
        <w:t>.</w:t>
      </w:r>
    </w:p>
    <w:p w14:paraId="4B3AA4D4" w14:textId="77777777" w:rsidR="00BF1C48" w:rsidRDefault="00BF1C48">
      <w:pPr>
        <w:tabs>
          <w:tab w:val="clear" w:pos="567"/>
        </w:tabs>
        <w:spacing w:line="240" w:lineRule="auto"/>
        <w:ind w:right="-318"/>
      </w:pPr>
    </w:p>
    <w:p w14:paraId="23D22F69" w14:textId="77777777" w:rsidR="00786538" w:rsidRDefault="00786538">
      <w:pPr>
        <w:spacing w:line="240" w:lineRule="auto"/>
        <w:ind w:left="567" w:hanging="567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171932E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0D2822DB" w14:textId="6EA401DD" w:rsidR="00BF1C48" w:rsidRDefault="004E3C8C">
      <w:pPr>
        <w:tabs>
          <w:tab w:val="clear" w:pos="567"/>
        </w:tabs>
        <w:spacing w:line="240" w:lineRule="auto"/>
        <w:ind w:right="-318"/>
      </w:pPr>
      <w:r>
        <w:t>Duben</w:t>
      </w:r>
      <w:bookmarkStart w:id="0" w:name="_GoBack"/>
      <w:bookmarkEnd w:id="0"/>
      <w:r w:rsidR="00ED629C">
        <w:t xml:space="preserve"> 2018</w:t>
      </w:r>
    </w:p>
    <w:p w14:paraId="525B824F" w14:textId="77777777" w:rsidR="00ED629C" w:rsidRDefault="00ED629C">
      <w:pPr>
        <w:tabs>
          <w:tab w:val="clear" w:pos="567"/>
        </w:tabs>
        <w:spacing w:line="240" w:lineRule="auto"/>
        <w:ind w:right="-318"/>
      </w:pPr>
    </w:p>
    <w:p w14:paraId="57CDE88D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55BBAE68" w14:textId="77777777" w:rsidR="00ED629C" w:rsidRDefault="00ED629C">
      <w:pPr>
        <w:spacing w:line="240" w:lineRule="auto"/>
        <w:ind w:left="567" w:hanging="567"/>
        <w:rPr>
          <w:b/>
        </w:rPr>
      </w:pPr>
    </w:p>
    <w:p w14:paraId="1C1EA0D4" w14:textId="7723A2BA" w:rsidR="00ED629C" w:rsidRDefault="00ED629C">
      <w:pPr>
        <w:spacing w:line="240" w:lineRule="auto"/>
        <w:ind w:left="567" w:hanging="567"/>
      </w:pPr>
      <w:r w:rsidRPr="00FD476E">
        <w:t>Pouze pro zvířata</w:t>
      </w:r>
      <w:r>
        <w:t>.</w:t>
      </w:r>
    </w:p>
    <w:p w14:paraId="253180B7" w14:textId="2D26A6E4" w:rsidR="00ED629C" w:rsidRPr="00420255" w:rsidRDefault="00ED629C">
      <w:pPr>
        <w:spacing w:line="240" w:lineRule="auto"/>
        <w:ind w:left="567" w:hanging="567"/>
      </w:pPr>
      <w:r>
        <w:t>Veterinární léčivý přípravek je vydáván pouze na předpis.</w:t>
      </w:r>
    </w:p>
    <w:p w14:paraId="115F3D85" w14:textId="77777777" w:rsidR="00786538" w:rsidRDefault="00786538">
      <w:pPr>
        <w:tabs>
          <w:tab w:val="clear" w:pos="567"/>
        </w:tabs>
        <w:spacing w:line="240" w:lineRule="auto"/>
        <w:ind w:right="-2"/>
      </w:pPr>
    </w:p>
    <w:p w14:paraId="0DC7D80F" w14:textId="77777777" w:rsidR="00786538" w:rsidRDefault="00BF1C48">
      <w:pPr>
        <w:tabs>
          <w:tab w:val="clear" w:pos="567"/>
        </w:tabs>
        <w:spacing w:line="240" w:lineRule="auto"/>
        <w:ind w:right="-2"/>
      </w:pPr>
      <w:r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46B86887" w14:textId="77777777" w:rsidR="00BF1C48" w:rsidRDefault="00BF1C48">
      <w:pPr>
        <w:tabs>
          <w:tab w:val="clear" w:pos="567"/>
        </w:tabs>
        <w:spacing w:line="240" w:lineRule="auto"/>
        <w:ind w:right="-2"/>
      </w:pPr>
    </w:p>
    <w:p w14:paraId="2B8EDBE9" w14:textId="77777777" w:rsidR="002F1181" w:rsidRDefault="002F1181">
      <w:pPr>
        <w:tabs>
          <w:tab w:val="clear" w:pos="567"/>
        </w:tabs>
        <w:spacing w:line="240" w:lineRule="auto"/>
        <w:ind w:right="-2"/>
      </w:pPr>
      <w:r>
        <w:t>Velikost balení: 50 ml.</w:t>
      </w:r>
    </w:p>
    <w:sectPr w:rsidR="002F1181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13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7FCC" w14:textId="77777777" w:rsidR="00B02010" w:rsidRDefault="00B02010">
      <w:r>
        <w:separator/>
      </w:r>
    </w:p>
  </w:endnote>
  <w:endnote w:type="continuationSeparator" w:id="0">
    <w:p w14:paraId="37738CB5" w14:textId="77777777" w:rsidR="00B02010" w:rsidRDefault="00B02010">
      <w:r>
        <w:continuationSeparator/>
      </w:r>
    </w:p>
  </w:endnote>
  <w:endnote w:type="continuationNotice" w:id="1">
    <w:p w14:paraId="315B34EC" w14:textId="77777777" w:rsidR="00B02010" w:rsidRDefault="00B020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3D75" w14:textId="77777777" w:rsidR="00352297" w:rsidRDefault="0035229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F1D73BE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E3C8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A169" w14:textId="77777777" w:rsidR="00352297" w:rsidRDefault="00352297">
    <w:pPr>
      <w:pStyle w:val="Zpat"/>
      <w:tabs>
        <w:tab w:val="clear" w:pos="8930"/>
        <w:tab w:val="right" w:pos="8931"/>
      </w:tabs>
    </w:pPr>
  </w:p>
  <w:p w14:paraId="713F0472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E3C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3F5C0" w14:textId="77777777" w:rsidR="00B02010" w:rsidRDefault="00B02010">
      <w:r>
        <w:separator/>
      </w:r>
    </w:p>
  </w:footnote>
  <w:footnote w:type="continuationSeparator" w:id="0">
    <w:p w14:paraId="697D7A9E" w14:textId="77777777" w:rsidR="00B02010" w:rsidRDefault="00B02010">
      <w:r>
        <w:continuationSeparator/>
      </w:r>
    </w:p>
  </w:footnote>
  <w:footnote w:type="continuationNotice" w:id="1">
    <w:p w14:paraId="61A537B1" w14:textId="77777777" w:rsidR="00B02010" w:rsidRDefault="00B020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 de Laat">
    <w15:presenceInfo w15:providerId="AD" w15:userId="S-1-5-21-866424155-3593848799-2785557441-1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17D0"/>
    <w:rsid w:val="0000241E"/>
    <w:rsid w:val="00006620"/>
    <w:rsid w:val="00006CC6"/>
    <w:rsid w:val="0001489E"/>
    <w:rsid w:val="00043012"/>
    <w:rsid w:val="000724B5"/>
    <w:rsid w:val="00083BDF"/>
    <w:rsid w:val="000852B4"/>
    <w:rsid w:val="000B540E"/>
    <w:rsid w:val="000C0E70"/>
    <w:rsid w:val="000C405F"/>
    <w:rsid w:val="000D2896"/>
    <w:rsid w:val="000E65BD"/>
    <w:rsid w:val="000F32F4"/>
    <w:rsid w:val="000F786E"/>
    <w:rsid w:val="000F7FDA"/>
    <w:rsid w:val="001123EC"/>
    <w:rsid w:val="00115361"/>
    <w:rsid w:val="0012565E"/>
    <w:rsid w:val="001509C9"/>
    <w:rsid w:val="001556A4"/>
    <w:rsid w:val="001728B9"/>
    <w:rsid w:val="001731EB"/>
    <w:rsid w:val="00174547"/>
    <w:rsid w:val="001779CC"/>
    <w:rsid w:val="00182322"/>
    <w:rsid w:val="00184125"/>
    <w:rsid w:val="001846B8"/>
    <w:rsid w:val="0019276A"/>
    <w:rsid w:val="001B7722"/>
    <w:rsid w:val="001C3E78"/>
    <w:rsid w:val="001F507F"/>
    <w:rsid w:val="00201C02"/>
    <w:rsid w:val="00203540"/>
    <w:rsid w:val="0020761E"/>
    <w:rsid w:val="002179E3"/>
    <w:rsid w:val="00237125"/>
    <w:rsid w:val="00244626"/>
    <w:rsid w:val="002666C3"/>
    <w:rsid w:val="00275D79"/>
    <w:rsid w:val="002831AA"/>
    <w:rsid w:val="002A12F6"/>
    <w:rsid w:val="002A4A74"/>
    <w:rsid w:val="002C1593"/>
    <w:rsid w:val="002C26AC"/>
    <w:rsid w:val="002E3F99"/>
    <w:rsid w:val="002E47C2"/>
    <w:rsid w:val="002F1181"/>
    <w:rsid w:val="002F352E"/>
    <w:rsid w:val="003077AA"/>
    <w:rsid w:val="00334390"/>
    <w:rsid w:val="00346437"/>
    <w:rsid w:val="00352297"/>
    <w:rsid w:val="00362098"/>
    <w:rsid w:val="00371A79"/>
    <w:rsid w:val="00376516"/>
    <w:rsid w:val="00377220"/>
    <w:rsid w:val="003823E1"/>
    <w:rsid w:val="0039221D"/>
    <w:rsid w:val="00394294"/>
    <w:rsid w:val="00394F11"/>
    <w:rsid w:val="003A174A"/>
    <w:rsid w:val="003C1463"/>
    <w:rsid w:val="003C4EF9"/>
    <w:rsid w:val="003E3090"/>
    <w:rsid w:val="003E7257"/>
    <w:rsid w:val="00400BDA"/>
    <w:rsid w:val="004034A8"/>
    <w:rsid w:val="0040721D"/>
    <w:rsid w:val="004144F9"/>
    <w:rsid w:val="00414AED"/>
    <w:rsid w:val="00416486"/>
    <w:rsid w:val="00420255"/>
    <w:rsid w:val="00423DAC"/>
    <w:rsid w:val="0042645F"/>
    <w:rsid w:val="004305BC"/>
    <w:rsid w:val="0043738A"/>
    <w:rsid w:val="00450435"/>
    <w:rsid w:val="00464A56"/>
    <w:rsid w:val="00467FFE"/>
    <w:rsid w:val="004746D0"/>
    <w:rsid w:val="004774DC"/>
    <w:rsid w:val="004911F3"/>
    <w:rsid w:val="00492677"/>
    <w:rsid w:val="00496D67"/>
    <w:rsid w:val="004A6A9D"/>
    <w:rsid w:val="004B2E0F"/>
    <w:rsid w:val="004B66AA"/>
    <w:rsid w:val="004B6F7E"/>
    <w:rsid w:val="004D1135"/>
    <w:rsid w:val="004E0B11"/>
    <w:rsid w:val="004E3C8C"/>
    <w:rsid w:val="004F588A"/>
    <w:rsid w:val="00502209"/>
    <w:rsid w:val="00512E55"/>
    <w:rsid w:val="00520A1E"/>
    <w:rsid w:val="005228F1"/>
    <w:rsid w:val="005276D1"/>
    <w:rsid w:val="005303F0"/>
    <w:rsid w:val="005359F2"/>
    <w:rsid w:val="0054366E"/>
    <w:rsid w:val="005573EC"/>
    <w:rsid w:val="005601D8"/>
    <w:rsid w:val="00571AED"/>
    <w:rsid w:val="00572F3A"/>
    <w:rsid w:val="00577BCD"/>
    <w:rsid w:val="00581C03"/>
    <w:rsid w:val="0058417A"/>
    <w:rsid w:val="00585AD3"/>
    <w:rsid w:val="005B53CF"/>
    <w:rsid w:val="005F266A"/>
    <w:rsid w:val="00606DC5"/>
    <w:rsid w:val="00610267"/>
    <w:rsid w:val="006275CC"/>
    <w:rsid w:val="00651479"/>
    <w:rsid w:val="006540FB"/>
    <w:rsid w:val="006637E4"/>
    <w:rsid w:val="00675032"/>
    <w:rsid w:val="0069165C"/>
    <w:rsid w:val="006A06E8"/>
    <w:rsid w:val="006A20C0"/>
    <w:rsid w:val="006A2E81"/>
    <w:rsid w:val="006B7216"/>
    <w:rsid w:val="006E1D79"/>
    <w:rsid w:val="006E2CA9"/>
    <w:rsid w:val="006E5BC3"/>
    <w:rsid w:val="006E659B"/>
    <w:rsid w:val="007219C0"/>
    <w:rsid w:val="00730DAA"/>
    <w:rsid w:val="00746DE8"/>
    <w:rsid w:val="007603A4"/>
    <w:rsid w:val="00765509"/>
    <w:rsid w:val="00780E0F"/>
    <w:rsid w:val="0078454E"/>
    <w:rsid w:val="00786538"/>
    <w:rsid w:val="00794CAF"/>
    <w:rsid w:val="007C0531"/>
    <w:rsid w:val="007C2F3E"/>
    <w:rsid w:val="007C72EC"/>
    <w:rsid w:val="007E35EB"/>
    <w:rsid w:val="007E4B28"/>
    <w:rsid w:val="007E5D0F"/>
    <w:rsid w:val="007F2273"/>
    <w:rsid w:val="00805E40"/>
    <w:rsid w:val="00821075"/>
    <w:rsid w:val="00846D25"/>
    <w:rsid w:val="00872A1A"/>
    <w:rsid w:val="00874BF8"/>
    <w:rsid w:val="00891269"/>
    <w:rsid w:val="008C34CA"/>
    <w:rsid w:val="008C62D5"/>
    <w:rsid w:val="008D0698"/>
    <w:rsid w:val="008D76BD"/>
    <w:rsid w:val="008E250C"/>
    <w:rsid w:val="008E40B0"/>
    <w:rsid w:val="008F3C2D"/>
    <w:rsid w:val="008F47A8"/>
    <w:rsid w:val="00901FE8"/>
    <w:rsid w:val="00902552"/>
    <w:rsid w:val="00921156"/>
    <w:rsid w:val="00927270"/>
    <w:rsid w:val="009406E8"/>
    <w:rsid w:val="00964BE8"/>
    <w:rsid w:val="00967B3B"/>
    <w:rsid w:val="009817CE"/>
    <w:rsid w:val="00994A1E"/>
    <w:rsid w:val="009A1317"/>
    <w:rsid w:val="009C4BD1"/>
    <w:rsid w:val="009D4D49"/>
    <w:rsid w:val="009D6C5E"/>
    <w:rsid w:val="009E0CCD"/>
    <w:rsid w:val="009E1524"/>
    <w:rsid w:val="009E365A"/>
    <w:rsid w:val="009F0C67"/>
    <w:rsid w:val="009F0C70"/>
    <w:rsid w:val="009F4A68"/>
    <w:rsid w:val="009F7C16"/>
    <w:rsid w:val="00A03980"/>
    <w:rsid w:val="00A0622D"/>
    <w:rsid w:val="00A16F23"/>
    <w:rsid w:val="00A2760F"/>
    <w:rsid w:val="00A351CD"/>
    <w:rsid w:val="00A4586D"/>
    <w:rsid w:val="00A5552B"/>
    <w:rsid w:val="00A65AFB"/>
    <w:rsid w:val="00A6701F"/>
    <w:rsid w:val="00A93634"/>
    <w:rsid w:val="00AA4242"/>
    <w:rsid w:val="00AC004A"/>
    <w:rsid w:val="00AC2267"/>
    <w:rsid w:val="00AF0DFA"/>
    <w:rsid w:val="00B02010"/>
    <w:rsid w:val="00B10387"/>
    <w:rsid w:val="00B10B66"/>
    <w:rsid w:val="00B218EA"/>
    <w:rsid w:val="00B22D3C"/>
    <w:rsid w:val="00B363CC"/>
    <w:rsid w:val="00B376CE"/>
    <w:rsid w:val="00B440A7"/>
    <w:rsid w:val="00B45ECE"/>
    <w:rsid w:val="00B464E6"/>
    <w:rsid w:val="00B46FBA"/>
    <w:rsid w:val="00B474BD"/>
    <w:rsid w:val="00B476CE"/>
    <w:rsid w:val="00B536B6"/>
    <w:rsid w:val="00B87472"/>
    <w:rsid w:val="00B92784"/>
    <w:rsid w:val="00BA23FD"/>
    <w:rsid w:val="00BA7576"/>
    <w:rsid w:val="00BA78E5"/>
    <w:rsid w:val="00BB2AFF"/>
    <w:rsid w:val="00BB768D"/>
    <w:rsid w:val="00BC435A"/>
    <w:rsid w:val="00BD022C"/>
    <w:rsid w:val="00BD06E2"/>
    <w:rsid w:val="00BE0367"/>
    <w:rsid w:val="00BE257C"/>
    <w:rsid w:val="00BF1C48"/>
    <w:rsid w:val="00C01ADF"/>
    <w:rsid w:val="00C07CD2"/>
    <w:rsid w:val="00C138D8"/>
    <w:rsid w:val="00C20312"/>
    <w:rsid w:val="00C260C8"/>
    <w:rsid w:val="00C30728"/>
    <w:rsid w:val="00C32215"/>
    <w:rsid w:val="00C45A61"/>
    <w:rsid w:val="00C61F68"/>
    <w:rsid w:val="00C635FD"/>
    <w:rsid w:val="00C703D9"/>
    <w:rsid w:val="00C72E26"/>
    <w:rsid w:val="00C839A5"/>
    <w:rsid w:val="00C937A0"/>
    <w:rsid w:val="00CB1887"/>
    <w:rsid w:val="00CB2A28"/>
    <w:rsid w:val="00CB728E"/>
    <w:rsid w:val="00CC1930"/>
    <w:rsid w:val="00CD23D9"/>
    <w:rsid w:val="00CD32CD"/>
    <w:rsid w:val="00CD6A60"/>
    <w:rsid w:val="00CF524D"/>
    <w:rsid w:val="00CF5EE3"/>
    <w:rsid w:val="00CF76B4"/>
    <w:rsid w:val="00D0629E"/>
    <w:rsid w:val="00D23E64"/>
    <w:rsid w:val="00D2737A"/>
    <w:rsid w:val="00D4634F"/>
    <w:rsid w:val="00D47584"/>
    <w:rsid w:val="00D63C86"/>
    <w:rsid w:val="00DC7A5B"/>
    <w:rsid w:val="00DD256A"/>
    <w:rsid w:val="00DD5987"/>
    <w:rsid w:val="00DE6A46"/>
    <w:rsid w:val="00DE780B"/>
    <w:rsid w:val="00DF1D07"/>
    <w:rsid w:val="00DF1FF9"/>
    <w:rsid w:val="00DF309A"/>
    <w:rsid w:val="00DF4090"/>
    <w:rsid w:val="00DF5ED0"/>
    <w:rsid w:val="00DF67F8"/>
    <w:rsid w:val="00E064A2"/>
    <w:rsid w:val="00E16513"/>
    <w:rsid w:val="00E2275D"/>
    <w:rsid w:val="00E264EF"/>
    <w:rsid w:val="00E3233D"/>
    <w:rsid w:val="00E36CA8"/>
    <w:rsid w:val="00E46372"/>
    <w:rsid w:val="00E55314"/>
    <w:rsid w:val="00E61721"/>
    <w:rsid w:val="00EA5E58"/>
    <w:rsid w:val="00EC6170"/>
    <w:rsid w:val="00ED629C"/>
    <w:rsid w:val="00EE2B94"/>
    <w:rsid w:val="00EE5293"/>
    <w:rsid w:val="00F0271F"/>
    <w:rsid w:val="00F21139"/>
    <w:rsid w:val="00F31354"/>
    <w:rsid w:val="00F53F61"/>
    <w:rsid w:val="00F63DEE"/>
    <w:rsid w:val="00F73221"/>
    <w:rsid w:val="00F76D86"/>
    <w:rsid w:val="00F83E4F"/>
    <w:rsid w:val="00FA4A99"/>
    <w:rsid w:val="00FC440A"/>
    <w:rsid w:val="00FC4C83"/>
    <w:rsid w:val="00FC69E8"/>
    <w:rsid w:val="00FD2AE4"/>
    <w:rsid w:val="00FD476E"/>
    <w:rsid w:val="00FD6AA0"/>
    <w:rsid w:val="00FE289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4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0C67"/>
    <w:rPr>
      <w:lang w:val="cs-CZ" w:eastAsia="en-US"/>
    </w:rPr>
  </w:style>
  <w:style w:type="paragraph" w:styleId="Podtitul">
    <w:name w:val="Subtitle"/>
    <w:basedOn w:val="Normln"/>
    <w:link w:val="PodtitulChar"/>
    <w:qFormat/>
    <w:rsid w:val="006E1D79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titulChar">
    <w:name w:val="Podtitul Char"/>
    <w:basedOn w:val="Standardnpsmoodstavce"/>
    <w:link w:val="Podtitul"/>
    <w:rsid w:val="006E1D79"/>
    <w:rPr>
      <w:i/>
      <w:kern w:val="14"/>
      <w:sz w:val="24"/>
      <w:szCs w:val="22"/>
      <w:lang w:val="cs-CZ"/>
    </w:rPr>
  </w:style>
  <w:style w:type="paragraph" w:styleId="Revize">
    <w:name w:val="Revision"/>
    <w:hidden/>
    <w:uiPriority w:val="99"/>
    <w:semiHidden/>
    <w:rsid w:val="00B87472"/>
    <w:rPr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D23D9"/>
    <w:rPr>
      <w:rFonts w:ascii="Helvetica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4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0C67"/>
    <w:rPr>
      <w:lang w:val="cs-CZ" w:eastAsia="en-US"/>
    </w:rPr>
  </w:style>
  <w:style w:type="paragraph" w:styleId="Podtitul">
    <w:name w:val="Subtitle"/>
    <w:basedOn w:val="Normln"/>
    <w:link w:val="PodtitulChar"/>
    <w:qFormat/>
    <w:rsid w:val="006E1D79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titulChar">
    <w:name w:val="Podtitul Char"/>
    <w:basedOn w:val="Standardnpsmoodstavce"/>
    <w:link w:val="Podtitul"/>
    <w:rsid w:val="006E1D79"/>
    <w:rPr>
      <w:i/>
      <w:kern w:val="14"/>
      <w:sz w:val="24"/>
      <w:szCs w:val="22"/>
      <w:lang w:val="cs-CZ"/>
    </w:rPr>
  </w:style>
  <w:style w:type="paragraph" w:styleId="Revize">
    <w:name w:val="Revision"/>
    <w:hidden/>
    <w:uiPriority w:val="99"/>
    <w:semiHidden/>
    <w:rsid w:val="00B87472"/>
    <w:rPr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D23D9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868</Words>
  <Characters>5122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Vqrdtemplatecleanen</vt:lpstr>
      <vt:lpstr>Vqrdtemplatecleanen</vt:lpstr>
      <vt:lpstr>Vqrdtemplatecleanen</vt:lpstr>
    </vt:vector>
  </TitlesOfParts>
  <Company>EMEA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Vqrdtemplatecleanen</dc:title>
  <dc:subject>General-EMEA/297562/2008</dc:subject>
  <dc:creator>Mieke Fiers</dc:creator>
  <cp:lastModifiedBy>Neugebauerová Kateřina</cp:lastModifiedBy>
  <cp:revision>49</cp:revision>
  <cp:lastPrinted>2018-04-12T12:01:00Z</cp:lastPrinted>
  <dcterms:created xsi:type="dcterms:W3CDTF">2017-12-22T00:18:00Z</dcterms:created>
  <dcterms:modified xsi:type="dcterms:W3CDTF">2018-04-12T12:01:00Z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CURRENT,2.0</vt:lpwstr>
  </property>
  <property fmtid="{D5CDD505-2E9C-101B-9397-08002B2CF9AE}" pid="53" name="DM_Name">
    <vt:lpwstr>Vqrdtemplatecleanen</vt:lpwstr>
  </property>
  <property fmtid="{D5CDD505-2E9C-101B-9397-08002B2CF9AE}" pid="54" name="DM_Creation_Date">
    <vt:lpwstr>11/10/2011 10:18:17</vt:lpwstr>
  </property>
  <property fmtid="{D5CDD505-2E9C-101B-9397-08002B2CF9AE}" pid="55" name="DM_Modify_Date">
    <vt:lpwstr>11/10/2011 10:18:17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EMA/796956/2011</vt:lpwstr>
  </property>
  <property fmtid="{D5CDD505-2E9C-101B-9397-08002B2CF9AE}" pid="60" name="DM_Category">
    <vt:lpwstr>Templates and Form</vt:lpwstr>
  </property>
  <property fmtid="{D5CDD505-2E9C-101B-9397-08002B2CF9AE}" pid="61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62" name="DM_emea_doc_ref_id">
    <vt:lpwstr>EMA/796956/2011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11/10/2011 10:18:17</vt:lpwstr>
  </property>
</Properties>
</file>