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59" w:rsidRDefault="00871F59">
      <w:pPr>
        <w:rPr>
          <w:bCs/>
        </w:rPr>
      </w:pPr>
    </w:p>
    <w:p w:rsidR="00871F59" w:rsidRDefault="00871F59">
      <w:pPr>
        <w:rPr>
          <w:bCs/>
        </w:rPr>
      </w:pPr>
    </w:p>
    <w:p w:rsidR="00563922" w:rsidRDefault="00563922">
      <w:pPr>
        <w:rPr>
          <w:bCs/>
        </w:rPr>
      </w:pPr>
    </w:p>
    <w:p w:rsidR="00563922" w:rsidRDefault="00563922">
      <w:pPr>
        <w:rPr>
          <w:bCs/>
        </w:rPr>
      </w:pPr>
    </w:p>
    <w:p w:rsidR="00563922" w:rsidRDefault="00563922">
      <w:pPr>
        <w:rPr>
          <w:bCs/>
        </w:rPr>
      </w:pPr>
    </w:p>
    <w:p w:rsidR="00FD3BD1" w:rsidRDefault="00FD3BD1" w:rsidP="00FD3BD1">
      <w:pPr>
        <w:ind w:right="113"/>
        <w:jc w:val="center"/>
        <w:rPr>
          <w:bCs/>
        </w:rPr>
      </w:pPr>
      <w:r>
        <w:rPr>
          <w:bCs/>
        </w:rPr>
        <w:t>PŘÍBALOVÁ INFORMACE</w:t>
      </w:r>
    </w:p>
    <w:p w:rsidR="00871F59" w:rsidRDefault="00FD3BD1" w:rsidP="00FD3BD1">
      <w:pPr>
        <w:jc w:val="center"/>
        <w:rPr>
          <w:bCs/>
        </w:rPr>
      </w:pPr>
      <w:r>
        <w:rPr>
          <w:bCs/>
        </w:rPr>
        <w:t>PI=</w:t>
      </w:r>
      <w:r w:rsidR="00651C4C">
        <w:rPr>
          <w:bCs/>
        </w:rPr>
        <w:t>papírový přebal</w:t>
      </w:r>
    </w:p>
    <w:p w:rsidR="00FD3BD1" w:rsidRDefault="00FD3BD1" w:rsidP="00FD3BD1">
      <w:pPr>
        <w:jc w:val="center"/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1.</w:t>
      </w:r>
      <w:r>
        <w:rPr>
          <w:bCs/>
        </w:rPr>
        <w:tab/>
        <w:t>NÁZEV VETERINÁRNÍHO LÉČIVÉHO PŘÍPRAVKU</w:t>
      </w:r>
    </w:p>
    <w:p w:rsidR="00871F59" w:rsidRDefault="00871F59">
      <w:pPr>
        <w:rPr>
          <w:bCs/>
        </w:rPr>
      </w:pPr>
    </w:p>
    <w:p w:rsidR="00D56D28" w:rsidRDefault="00D56D28" w:rsidP="00D56D28">
      <w:pPr>
        <w:pStyle w:val="Zkladntext"/>
      </w:pPr>
      <w:r>
        <w:t>NOROSTREP injekční suspenze</w:t>
      </w:r>
    </w:p>
    <w:p w:rsidR="003271E0" w:rsidRDefault="003271E0" w:rsidP="00D56D28">
      <w:pPr>
        <w:rPr>
          <w:b w:val="0"/>
          <w:bCs/>
        </w:rPr>
      </w:pPr>
      <w:proofErr w:type="spellStart"/>
      <w:r>
        <w:rPr>
          <w:b w:val="0"/>
          <w:bCs/>
        </w:rPr>
        <w:t>P</w:t>
      </w:r>
      <w:r w:rsidR="00D56D28">
        <w:rPr>
          <w:b w:val="0"/>
          <w:bCs/>
        </w:rPr>
        <w:t>rocaini</w:t>
      </w:r>
      <w:proofErr w:type="spellEnd"/>
      <w:r w:rsidR="00D56D28">
        <w:rPr>
          <w:b w:val="0"/>
          <w:bCs/>
        </w:rPr>
        <w:t xml:space="preserve"> </w:t>
      </w:r>
      <w:proofErr w:type="spellStart"/>
      <w:r w:rsidR="00D56D28">
        <w:rPr>
          <w:b w:val="0"/>
          <w:bCs/>
        </w:rPr>
        <w:t>benzylpenicillinum</w:t>
      </w:r>
      <w:proofErr w:type="spellEnd"/>
      <w:r w:rsidR="00D56D28">
        <w:rPr>
          <w:b w:val="0"/>
          <w:bCs/>
        </w:rPr>
        <w:t xml:space="preserve"> </w:t>
      </w:r>
      <w:proofErr w:type="spellStart"/>
      <w:r w:rsidR="00D56D28">
        <w:rPr>
          <w:b w:val="0"/>
          <w:bCs/>
        </w:rPr>
        <w:t>monohydricum</w:t>
      </w:r>
      <w:proofErr w:type="spellEnd"/>
    </w:p>
    <w:p w:rsidR="00D56D28" w:rsidRDefault="003271E0" w:rsidP="00D56D28">
      <w:pPr>
        <w:rPr>
          <w:b w:val="0"/>
          <w:bCs/>
        </w:rPr>
      </w:pPr>
      <w:proofErr w:type="spellStart"/>
      <w:r>
        <w:rPr>
          <w:b w:val="0"/>
          <w:bCs/>
        </w:rPr>
        <w:t>D</w:t>
      </w:r>
      <w:r w:rsidR="00D56D28">
        <w:rPr>
          <w:b w:val="0"/>
          <w:bCs/>
        </w:rPr>
        <w:t>ihydrostreptomycini</w:t>
      </w:r>
      <w:proofErr w:type="spellEnd"/>
      <w:r w:rsidR="00D56D28">
        <w:rPr>
          <w:b w:val="0"/>
          <w:bCs/>
        </w:rPr>
        <w:t xml:space="preserve"> </w:t>
      </w:r>
      <w:proofErr w:type="spellStart"/>
      <w:r w:rsidR="00D56D28">
        <w:rPr>
          <w:b w:val="0"/>
          <w:bCs/>
        </w:rPr>
        <w:t>sulfas</w:t>
      </w:r>
      <w:proofErr w:type="spellEnd"/>
      <w:r w:rsidR="00D56D28">
        <w:rPr>
          <w:b w:val="0"/>
          <w:bCs/>
        </w:rPr>
        <w:t xml:space="preserve">   </w:t>
      </w:r>
    </w:p>
    <w:p w:rsidR="00871F59" w:rsidRDefault="00A50F45">
      <w:pPr>
        <w:rPr>
          <w:bCs/>
        </w:rPr>
      </w:pPr>
      <w:r w:rsidRPr="00DD047A">
        <w:rPr>
          <w:b w:val="0"/>
          <w:szCs w:val="22"/>
        </w:rPr>
        <w:t xml:space="preserve">   </w:t>
      </w:r>
    </w:p>
    <w:p w:rsidR="00871F59" w:rsidRDefault="00871F59">
      <w:pPr>
        <w:rPr>
          <w:bCs/>
        </w:rPr>
      </w:pPr>
      <w:r>
        <w:rPr>
          <w:bCs/>
        </w:rPr>
        <w:t>2.</w:t>
      </w:r>
      <w:r>
        <w:rPr>
          <w:bCs/>
        </w:rPr>
        <w:tab/>
        <w:t>OBSAH LÉČIVÝCH A OSTATNÍCH LÁTEK</w:t>
      </w:r>
    </w:p>
    <w:p w:rsidR="00871F59" w:rsidRDefault="00871F59">
      <w:pPr>
        <w:rPr>
          <w:bCs/>
        </w:rPr>
      </w:pPr>
    </w:p>
    <w:p w:rsidR="003271E0" w:rsidRPr="001121F1" w:rsidRDefault="003271E0" w:rsidP="003271E0">
      <w:pPr>
        <w:rPr>
          <w:b w:val="0"/>
          <w:bCs/>
        </w:rPr>
      </w:pPr>
      <w:r>
        <w:rPr>
          <w:b w:val="0"/>
          <w:bCs/>
        </w:rPr>
        <w:t>1 ml bílé až našedlé injekční suspenze obsahuje:</w:t>
      </w:r>
    </w:p>
    <w:p w:rsidR="003271E0" w:rsidRDefault="003271E0" w:rsidP="003271E0">
      <w:pPr>
        <w:rPr>
          <w:bCs/>
        </w:rPr>
      </w:pPr>
    </w:p>
    <w:p w:rsidR="003271E0" w:rsidRPr="001121F1" w:rsidRDefault="003271E0" w:rsidP="003271E0">
      <w:pPr>
        <w:tabs>
          <w:tab w:val="left" w:pos="4253"/>
        </w:tabs>
        <w:rPr>
          <w:bCs/>
        </w:rPr>
      </w:pPr>
      <w:r>
        <w:rPr>
          <w:bCs/>
        </w:rPr>
        <w:t>Léčiv</w:t>
      </w:r>
      <w:r w:rsidR="001A61B9">
        <w:rPr>
          <w:bCs/>
        </w:rPr>
        <w:t>é</w:t>
      </w:r>
      <w:r>
        <w:rPr>
          <w:bCs/>
        </w:rPr>
        <w:t xml:space="preserve"> látk</w:t>
      </w:r>
      <w:r w:rsidR="001A61B9">
        <w:rPr>
          <w:bCs/>
        </w:rPr>
        <w:t>y</w:t>
      </w:r>
      <w:r>
        <w:rPr>
          <w:bCs/>
        </w:rPr>
        <w:t>:</w:t>
      </w:r>
    </w:p>
    <w:p w:rsidR="003271E0" w:rsidRDefault="003271E0" w:rsidP="00C4766A">
      <w:pPr>
        <w:tabs>
          <w:tab w:val="left" w:pos="4962"/>
        </w:tabs>
        <w:rPr>
          <w:b w:val="0"/>
          <w:bCs/>
        </w:rPr>
      </w:pPr>
      <w:proofErr w:type="spellStart"/>
      <w:r>
        <w:rPr>
          <w:b w:val="0"/>
          <w:bCs/>
        </w:rPr>
        <w:t>Procaini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benzylpenicillinum</w:t>
      </w:r>
      <w:proofErr w:type="spellEnd"/>
      <w:r>
        <w:rPr>
          <w:b w:val="0"/>
          <w:bCs/>
        </w:rPr>
        <w:t xml:space="preserve"> </w:t>
      </w:r>
      <w:r w:rsidR="001A61B9">
        <w:rPr>
          <w:b w:val="0"/>
          <w:bCs/>
        </w:rPr>
        <w:t>(</w:t>
      </w:r>
      <w:proofErr w:type="spellStart"/>
      <w:r w:rsidR="00C4766A">
        <w:rPr>
          <w:b w:val="0"/>
          <w:bCs/>
        </w:rPr>
        <w:t>ut</w:t>
      </w:r>
      <w:proofErr w:type="spellEnd"/>
      <w:r w:rsidR="00C4766A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monohydricum</w:t>
      </w:r>
      <w:proofErr w:type="spellEnd"/>
      <w:r w:rsidR="001A61B9">
        <w:rPr>
          <w:b w:val="0"/>
          <w:bCs/>
        </w:rPr>
        <w:t>)</w:t>
      </w:r>
      <w:r>
        <w:rPr>
          <w:b w:val="0"/>
          <w:bCs/>
        </w:rPr>
        <w:tab/>
        <w:t>200 mg</w:t>
      </w:r>
    </w:p>
    <w:p w:rsidR="003271E0" w:rsidRDefault="003271E0" w:rsidP="00C4766A">
      <w:pPr>
        <w:tabs>
          <w:tab w:val="left" w:pos="4962"/>
        </w:tabs>
        <w:rPr>
          <w:b w:val="0"/>
          <w:bCs/>
        </w:rPr>
      </w:pPr>
      <w:proofErr w:type="spellStart"/>
      <w:r>
        <w:rPr>
          <w:b w:val="0"/>
          <w:bCs/>
        </w:rPr>
        <w:t>Dihydrostreptomycini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sulfas</w:t>
      </w:r>
      <w:proofErr w:type="spellEnd"/>
      <w:r>
        <w:rPr>
          <w:b w:val="0"/>
          <w:bCs/>
        </w:rPr>
        <w:tab/>
        <w:t xml:space="preserve">250 mg   </w:t>
      </w:r>
    </w:p>
    <w:p w:rsidR="003271E0" w:rsidRDefault="003271E0" w:rsidP="00C4766A">
      <w:pPr>
        <w:tabs>
          <w:tab w:val="decimal" w:pos="4678"/>
          <w:tab w:val="left" w:pos="4962"/>
        </w:tabs>
        <w:rPr>
          <w:b w:val="0"/>
          <w:bCs/>
        </w:rPr>
      </w:pPr>
    </w:p>
    <w:p w:rsidR="003271E0" w:rsidRDefault="003271E0" w:rsidP="00C4766A">
      <w:pPr>
        <w:tabs>
          <w:tab w:val="left" w:pos="4962"/>
        </w:tabs>
        <w:rPr>
          <w:b w:val="0"/>
          <w:bCs/>
        </w:rPr>
      </w:pPr>
      <w:r>
        <w:t>Pomocné látky:</w:t>
      </w:r>
      <w:r>
        <w:rPr>
          <w:b w:val="0"/>
          <w:bCs/>
        </w:rPr>
        <w:t xml:space="preserve"> </w:t>
      </w:r>
    </w:p>
    <w:p w:rsidR="003271E0" w:rsidRDefault="003271E0" w:rsidP="00C4766A">
      <w:pPr>
        <w:tabs>
          <w:tab w:val="left" w:pos="4962"/>
        </w:tabs>
        <w:rPr>
          <w:b w:val="0"/>
          <w:bCs/>
        </w:rPr>
      </w:pPr>
      <w:r>
        <w:rPr>
          <w:b w:val="0"/>
          <w:bCs/>
        </w:rPr>
        <w:t>Natrium-</w:t>
      </w:r>
      <w:proofErr w:type="spellStart"/>
      <w:r>
        <w:rPr>
          <w:b w:val="0"/>
          <w:bCs/>
        </w:rPr>
        <w:t>hydroxymethansulfinát</w:t>
      </w:r>
      <w:proofErr w:type="spellEnd"/>
      <w:r>
        <w:rPr>
          <w:b w:val="0"/>
          <w:bCs/>
        </w:rPr>
        <w:tab/>
        <w:t>1,25 mg</w:t>
      </w:r>
    </w:p>
    <w:p w:rsidR="003271E0" w:rsidRDefault="003271E0" w:rsidP="00C4766A">
      <w:pPr>
        <w:tabs>
          <w:tab w:val="left" w:pos="4962"/>
        </w:tabs>
        <w:rPr>
          <w:b w:val="0"/>
          <w:bCs/>
        </w:rPr>
      </w:pPr>
      <w:r>
        <w:rPr>
          <w:b w:val="0"/>
          <w:bCs/>
        </w:rPr>
        <w:t>Směs</w:t>
      </w:r>
      <w:r w:rsidR="001A61B9">
        <w:rPr>
          <w:b w:val="0"/>
          <w:bCs/>
        </w:rPr>
        <w:t xml:space="preserve"> sodných solí</w:t>
      </w:r>
      <w:r>
        <w:rPr>
          <w:b w:val="0"/>
          <w:bCs/>
        </w:rPr>
        <w:t xml:space="preserve"> parabenů</w:t>
      </w:r>
      <w:r>
        <w:rPr>
          <w:b w:val="0"/>
          <w:bCs/>
        </w:rPr>
        <w:tab/>
        <w:t>1,5 mg</w:t>
      </w:r>
    </w:p>
    <w:p w:rsidR="003271E0" w:rsidRDefault="003271E0" w:rsidP="00C4766A">
      <w:pPr>
        <w:tabs>
          <w:tab w:val="left" w:pos="4962"/>
        </w:tabs>
        <w:rPr>
          <w:bCs/>
        </w:rPr>
      </w:pPr>
    </w:p>
    <w:p w:rsidR="00871F59" w:rsidRDefault="00871F59" w:rsidP="000B4B03">
      <w:pPr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3.</w:t>
      </w:r>
      <w:r>
        <w:rPr>
          <w:bCs/>
        </w:rPr>
        <w:tab/>
        <w:t>JMÉNO A ADRESA DRŽITELE ROZHODNUTÍ O REGISTRACI A DRŽITELE POVOLENÍ K VÝROBĚ, POKUD SE NESHODUJE</w:t>
      </w:r>
    </w:p>
    <w:p w:rsidR="00871F59" w:rsidRDefault="00871F59">
      <w:pPr>
        <w:rPr>
          <w:bCs/>
        </w:rPr>
      </w:pPr>
    </w:p>
    <w:p w:rsidR="00871F59" w:rsidRDefault="00871F59">
      <w:pPr>
        <w:pStyle w:val="Zkladntext"/>
      </w:pPr>
      <w:proofErr w:type="spellStart"/>
      <w:r>
        <w:t>Norbrook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Limited, Station Works, </w:t>
      </w:r>
      <w:proofErr w:type="spellStart"/>
      <w:r>
        <w:t>Newry</w:t>
      </w:r>
      <w:proofErr w:type="spellEnd"/>
      <w:r>
        <w:t>, Severní Irsko BT35 6 JP.</w:t>
      </w:r>
    </w:p>
    <w:p w:rsidR="00871F59" w:rsidRDefault="00871F59">
      <w:pPr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4.</w:t>
      </w:r>
      <w:r>
        <w:rPr>
          <w:bCs/>
        </w:rPr>
        <w:tab/>
        <w:t>CÍLOVÝ DRUH ZVÍŘAT</w:t>
      </w:r>
    </w:p>
    <w:p w:rsidR="00871F59" w:rsidRDefault="00871F59">
      <w:pPr>
        <w:rPr>
          <w:b w:val="0"/>
          <w:bCs/>
        </w:rPr>
      </w:pPr>
    </w:p>
    <w:p w:rsidR="00A50B1D" w:rsidRDefault="00D56D28" w:rsidP="00A50B1D">
      <w:pPr>
        <w:rPr>
          <w:b w:val="0"/>
          <w:bCs/>
        </w:rPr>
      </w:pPr>
      <w:r>
        <w:rPr>
          <w:b w:val="0"/>
          <w:bCs/>
        </w:rPr>
        <w:t>Skot, koně, ovce, prasata</w:t>
      </w:r>
      <w:r w:rsidR="00601022">
        <w:rPr>
          <w:b w:val="0"/>
          <w:bCs/>
        </w:rPr>
        <w:t xml:space="preserve"> </w:t>
      </w:r>
      <w:r w:rsidR="00A50B1D">
        <w:rPr>
          <w:b w:val="0"/>
          <w:bCs/>
        </w:rPr>
        <w:t>(selata, odstávčata, výkrmová prasata)</w:t>
      </w:r>
    </w:p>
    <w:p w:rsidR="00D56D28" w:rsidRDefault="00A50B1D" w:rsidP="00D56D28">
      <w:pPr>
        <w:rPr>
          <w:b w:val="0"/>
          <w:bCs/>
        </w:rPr>
      </w:pPr>
      <w:r>
        <w:rPr>
          <w:b w:val="0"/>
          <w:bCs/>
        </w:rPr>
        <w:t>.</w:t>
      </w:r>
    </w:p>
    <w:p w:rsidR="00871F59" w:rsidRDefault="00871F59">
      <w:pPr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5.</w:t>
      </w:r>
      <w:r>
        <w:rPr>
          <w:bCs/>
        </w:rPr>
        <w:tab/>
        <w:t>INDIKACE</w:t>
      </w:r>
    </w:p>
    <w:p w:rsidR="00871F59" w:rsidRDefault="00871F59">
      <w:pPr>
        <w:rPr>
          <w:bCs/>
        </w:rPr>
      </w:pPr>
    </w:p>
    <w:p w:rsidR="00A20339" w:rsidRPr="00563922" w:rsidRDefault="00A20339" w:rsidP="00563922">
      <w:pPr>
        <w:rPr>
          <w:b w:val="0"/>
        </w:rPr>
      </w:pPr>
      <w:r w:rsidRPr="00563922">
        <w:rPr>
          <w:b w:val="0"/>
        </w:rPr>
        <w:t>Léčba systémových infekcí u skotu, koní, ovcí a prasat</w:t>
      </w:r>
      <w:r w:rsidR="001F207A">
        <w:t xml:space="preserve"> </w:t>
      </w:r>
      <w:r w:rsidR="006B67D2">
        <w:rPr>
          <w:b w:val="0"/>
          <w:bCs/>
        </w:rPr>
        <w:t>(selata, odstávčata, výkrmová prasata)</w:t>
      </w:r>
      <w:r>
        <w:t xml:space="preserve"> </w:t>
      </w:r>
      <w:r w:rsidRPr="00563922">
        <w:rPr>
          <w:b w:val="0"/>
        </w:rPr>
        <w:t>zapříčiněných nebo provázených penicilin a/nebo streptomycin - citlivými mikroorganismy (</w:t>
      </w:r>
      <w:proofErr w:type="spellStart"/>
      <w:r w:rsidRPr="00563922">
        <w:rPr>
          <w:b w:val="0"/>
          <w:i/>
          <w:iCs/>
        </w:rPr>
        <w:t>Erysipelothrix</w:t>
      </w:r>
      <w:proofErr w:type="spellEnd"/>
      <w:r w:rsidRPr="00563922">
        <w:rPr>
          <w:b w:val="0"/>
          <w:i/>
          <w:iCs/>
        </w:rPr>
        <w:t xml:space="preserve"> </w:t>
      </w:r>
      <w:proofErr w:type="spellStart"/>
      <w:r w:rsidRPr="00563922">
        <w:rPr>
          <w:b w:val="0"/>
          <w:i/>
          <w:iCs/>
        </w:rPr>
        <w:t>rhusiopatiae</w:t>
      </w:r>
      <w:proofErr w:type="spellEnd"/>
      <w:r w:rsidRPr="00563922">
        <w:rPr>
          <w:b w:val="0"/>
          <w:i/>
          <w:iCs/>
        </w:rPr>
        <w:t xml:space="preserve">, </w:t>
      </w:r>
      <w:proofErr w:type="spellStart"/>
      <w:r w:rsidRPr="00563922">
        <w:rPr>
          <w:b w:val="0"/>
          <w:i/>
          <w:iCs/>
        </w:rPr>
        <w:t>Listeria</w:t>
      </w:r>
      <w:proofErr w:type="spellEnd"/>
      <w:r w:rsidRPr="00563922">
        <w:rPr>
          <w:b w:val="0"/>
          <w:i/>
          <w:iCs/>
        </w:rPr>
        <w:t xml:space="preserve"> </w:t>
      </w:r>
      <w:proofErr w:type="spellStart"/>
      <w:r w:rsidRPr="00563922">
        <w:rPr>
          <w:b w:val="0"/>
        </w:rPr>
        <w:t>spp</w:t>
      </w:r>
      <w:proofErr w:type="spellEnd"/>
      <w:r w:rsidRPr="00563922">
        <w:rPr>
          <w:b w:val="0"/>
        </w:rPr>
        <w:t>.,</w:t>
      </w:r>
      <w:r w:rsidRPr="00563922">
        <w:rPr>
          <w:b w:val="0"/>
          <w:i/>
          <w:iCs/>
        </w:rPr>
        <w:t xml:space="preserve"> </w:t>
      </w:r>
      <w:proofErr w:type="spellStart"/>
      <w:r w:rsidRPr="00563922">
        <w:rPr>
          <w:b w:val="0"/>
          <w:i/>
          <w:iCs/>
        </w:rPr>
        <w:t>Staphylococcus</w:t>
      </w:r>
      <w:proofErr w:type="spellEnd"/>
      <w:r w:rsidRPr="00563922">
        <w:rPr>
          <w:b w:val="0"/>
          <w:i/>
          <w:iCs/>
        </w:rPr>
        <w:t xml:space="preserve"> </w:t>
      </w:r>
      <w:proofErr w:type="spellStart"/>
      <w:r w:rsidRPr="00563922">
        <w:rPr>
          <w:b w:val="0"/>
        </w:rPr>
        <w:t>spp</w:t>
      </w:r>
      <w:proofErr w:type="spellEnd"/>
      <w:r w:rsidRPr="00563922">
        <w:rPr>
          <w:b w:val="0"/>
          <w:i/>
          <w:iCs/>
        </w:rPr>
        <w:t xml:space="preserve">. (neprodukující </w:t>
      </w:r>
      <w:proofErr w:type="spellStart"/>
      <w:r w:rsidRPr="00563922">
        <w:rPr>
          <w:b w:val="0"/>
          <w:i/>
          <w:iCs/>
        </w:rPr>
        <w:t>penicilinázu</w:t>
      </w:r>
      <w:proofErr w:type="spellEnd"/>
      <w:r w:rsidRPr="00563922">
        <w:rPr>
          <w:b w:val="0"/>
          <w:i/>
          <w:iCs/>
        </w:rPr>
        <w:t xml:space="preserve">), </w:t>
      </w:r>
      <w:proofErr w:type="spellStart"/>
      <w:r w:rsidRPr="00563922">
        <w:rPr>
          <w:b w:val="0"/>
          <w:i/>
          <w:iCs/>
        </w:rPr>
        <w:t>Streptococcus</w:t>
      </w:r>
      <w:proofErr w:type="spellEnd"/>
      <w:r w:rsidRPr="00563922">
        <w:rPr>
          <w:b w:val="0"/>
          <w:i/>
          <w:iCs/>
        </w:rPr>
        <w:t xml:space="preserve"> </w:t>
      </w:r>
      <w:proofErr w:type="spellStart"/>
      <w:r w:rsidRPr="00563922">
        <w:rPr>
          <w:b w:val="0"/>
        </w:rPr>
        <w:t>spp</w:t>
      </w:r>
      <w:proofErr w:type="spellEnd"/>
      <w:r w:rsidRPr="00563922">
        <w:rPr>
          <w:b w:val="0"/>
          <w:i/>
          <w:iCs/>
        </w:rPr>
        <w:t xml:space="preserve">., </w:t>
      </w:r>
      <w:proofErr w:type="spellStart"/>
      <w:r w:rsidRPr="00563922">
        <w:rPr>
          <w:b w:val="0"/>
          <w:i/>
          <w:iCs/>
        </w:rPr>
        <w:t>Trueperella</w:t>
      </w:r>
      <w:proofErr w:type="spellEnd"/>
      <w:r w:rsidRPr="00563922">
        <w:rPr>
          <w:b w:val="0"/>
          <w:i/>
          <w:iCs/>
        </w:rPr>
        <w:t xml:space="preserve"> </w:t>
      </w:r>
      <w:proofErr w:type="spellStart"/>
      <w:r w:rsidRPr="00563922">
        <w:rPr>
          <w:b w:val="0"/>
          <w:i/>
          <w:iCs/>
        </w:rPr>
        <w:t>pyogenes</w:t>
      </w:r>
      <w:proofErr w:type="spellEnd"/>
      <w:r w:rsidRPr="00563922">
        <w:rPr>
          <w:b w:val="0"/>
          <w:i/>
          <w:iCs/>
        </w:rPr>
        <w:t xml:space="preserve">, </w:t>
      </w:r>
      <w:proofErr w:type="spellStart"/>
      <w:r w:rsidRPr="00563922">
        <w:rPr>
          <w:b w:val="0"/>
          <w:i/>
          <w:iCs/>
        </w:rPr>
        <w:t>Mannheimia</w:t>
      </w:r>
      <w:proofErr w:type="spellEnd"/>
      <w:r w:rsidRPr="00563922">
        <w:rPr>
          <w:b w:val="0"/>
          <w:i/>
          <w:iCs/>
        </w:rPr>
        <w:t xml:space="preserve"> </w:t>
      </w:r>
      <w:proofErr w:type="spellStart"/>
      <w:r w:rsidRPr="00563922">
        <w:rPr>
          <w:b w:val="0"/>
          <w:i/>
          <w:iCs/>
        </w:rPr>
        <w:t>haemolytica</w:t>
      </w:r>
      <w:proofErr w:type="spellEnd"/>
      <w:r w:rsidRPr="00563922">
        <w:rPr>
          <w:b w:val="0"/>
          <w:i/>
          <w:iCs/>
        </w:rPr>
        <w:t xml:space="preserve">, </w:t>
      </w:r>
      <w:proofErr w:type="spellStart"/>
      <w:r w:rsidRPr="00563922">
        <w:rPr>
          <w:b w:val="0"/>
          <w:i/>
          <w:iCs/>
        </w:rPr>
        <w:t>Pasteurella</w:t>
      </w:r>
      <w:proofErr w:type="spellEnd"/>
      <w:r w:rsidRPr="00563922">
        <w:rPr>
          <w:b w:val="0"/>
          <w:i/>
          <w:iCs/>
        </w:rPr>
        <w:t xml:space="preserve"> </w:t>
      </w:r>
      <w:proofErr w:type="spellStart"/>
      <w:r w:rsidRPr="00563922">
        <w:rPr>
          <w:b w:val="0"/>
          <w:i/>
          <w:iCs/>
        </w:rPr>
        <w:t>multocida</w:t>
      </w:r>
      <w:proofErr w:type="spellEnd"/>
      <w:r w:rsidRPr="00563922">
        <w:rPr>
          <w:b w:val="0"/>
        </w:rPr>
        <w:t>).</w:t>
      </w:r>
    </w:p>
    <w:p w:rsidR="00871F59" w:rsidRPr="00563922" w:rsidRDefault="00871F59">
      <w:pPr>
        <w:rPr>
          <w:b w:val="0"/>
          <w:bCs/>
        </w:rPr>
      </w:pPr>
    </w:p>
    <w:p w:rsidR="00871F59" w:rsidRDefault="00871F59">
      <w:pPr>
        <w:rPr>
          <w:bCs/>
        </w:rPr>
      </w:pPr>
      <w:r>
        <w:rPr>
          <w:bCs/>
        </w:rPr>
        <w:t>6.</w:t>
      </w:r>
      <w:r>
        <w:rPr>
          <w:bCs/>
        </w:rPr>
        <w:tab/>
        <w:t>DÁVKOVÁNÍ PRO KAŽDÝ DRUH</w:t>
      </w:r>
    </w:p>
    <w:p w:rsidR="00871F59" w:rsidRDefault="00871F59">
      <w:pPr>
        <w:ind w:left="426" w:hanging="1841"/>
        <w:rPr>
          <w:bCs/>
        </w:rPr>
      </w:pPr>
      <w:r>
        <w:rPr>
          <w:b w:val="0"/>
          <w:bCs/>
        </w:rPr>
        <w:t xml:space="preserve">                      </w:t>
      </w:r>
    </w:p>
    <w:p w:rsidR="00871F59" w:rsidRDefault="00871F59">
      <w:pPr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ZPŮSOB A </w:t>
      </w:r>
      <w:proofErr w:type="gramStart"/>
      <w:r>
        <w:rPr>
          <w:bCs/>
        </w:rPr>
        <w:t>CESTA(Y) PODÁNÍ</w:t>
      </w:r>
      <w:proofErr w:type="gramEnd"/>
    </w:p>
    <w:p w:rsidR="00871F59" w:rsidRDefault="00871F59">
      <w:pPr>
        <w:ind w:left="2124" w:hanging="2124"/>
        <w:rPr>
          <w:b w:val="0"/>
          <w:bCs/>
        </w:rPr>
      </w:pPr>
      <w:r>
        <w:rPr>
          <w:b w:val="0"/>
          <w:bCs/>
        </w:rPr>
        <w:t xml:space="preserve">                          </w:t>
      </w:r>
    </w:p>
    <w:p w:rsidR="000B4B03" w:rsidRPr="00F21A4F" w:rsidRDefault="000B4B03" w:rsidP="00563922">
      <w:pPr>
        <w:pStyle w:val="Zkladntextodsazen2"/>
        <w:ind w:left="0"/>
        <w:jc w:val="both"/>
        <w:rPr>
          <w:b w:val="0"/>
          <w:szCs w:val="22"/>
        </w:rPr>
      </w:pPr>
      <w:r w:rsidRPr="00563922">
        <w:rPr>
          <w:b w:val="0"/>
          <w:szCs w:val="22"/>
        </w:rPr>
        <w:t>Hluboké intramuskulární podání.</w:t>
      </w:r>
    </w:p>
    <w:p w:rsidR="000B4B03" w:rsidRDefault="000B4B03" w:rsidP="000B4B03">
      <w:pPr>
        <w:jc w:val="both"/>
        <w:rPr>
          <w:b w:val="0"/>
          <w:bCs/>
          <w:szCs w:val="22"/>
        </w:rPr>
      </w:pPr>
      <w:r w:rsidRPr="00F21A4F">
        <w:rPr>
          <w:b w:val="0"/>
          <w:bCs/>
          <w:szCs w:val="22"/>
        </w:rPr>
        <w:t>Obecná dávka je 8 mg pro</w:t>
      </w:r>
      <w:r w:rsidR="00DB2AFE">
        <w:rPr>
          <w:b w:val="0"/>
          <w:bCs/>
          <w:szCs w:val="22"/>
        </w:rPr>
        <w:t>k</w:t>
      </w:r>
      <w:r w:rsidRPr="00F21A4F">
        <w:rPr>
          <w:b w:val="0"/>
          <w:bCs/>
          <w:szCs w:val="22"/>
        </w:rPr>
        <w:t xml:space="preserve">ain penicilinu a 10 mg </w:t>
      </w:r>
      <w:proofErr w:type="spellStart"/>
      <w:r w:rsidRPr="00F21A4F">
        <w:rPr>
          <w:b w:val="0"/>
          <w:bCs/>
          <w:szCs w:val="22"/>
        </w:rPr>
        <w:t>dihydrostreptomycin</w:t>
      </w:r>
      <w:proofErr w:type="spellEnd"/>
      <w:r w:rsidRPr="00F21A4F">
        <w:rPr>
          <w:b w:val="0"/>
          <w:bCs/>
          <w:szCs w:val="22"/>
        </w:rPr>
        <w:t xml:space="preserve"> sulfátu na </w:t>
      </w:r>
      <w:smartTag w:uri="urn:schemas-microsoft-com:office:smarttags" w:element="metricconverter">
        <w:smartTagPr>
          <w:attr w:name="ProductID" w:val="1 kg"/>
        </w:smartTagPr>
        <w:r w:rsidRPr="00F21A4F">
          <w:rPr>
            <w:b w:val="0"/>
            <w:bCs/>
            <w:szCs w:val="22"/>
          </w:rPr>
          <w:t>1 kg</w:t>
        </w:r>
      </w:smartTag>
      <w:r w:rsidRPr="00F21A4F">
        <w:rPr>
          <w:b w:val="0"/>
          <w:bCs/>
          <w:szCs w:val="22"/>
        </w:rPr>
        <w:t xml:space="preserve"> živé hmotnosti (</w:t>
      </w:r>
      <w:proofErr w:type="gramStart"/>
      <w:r w:rsidRPr="00F21A4F">
        <w:rPr>
          <w:b w:val="0"/>
          <w:bCs/>
          <w:szCs w:val="22"/>
        </w:rPr>
        <w:t>t.j.</w:t>
      </w:r>
      <w:proofErr w:type="gramEnd"/>
      <w:r w:rsidRPr="00F21A4F">
        <w:rPr>
          <w:b w:val="0"/>
          <w:bCs/>
          <w:szCs w:val="22"/>
        </w:rPr>
        <w:t xml:space="preserve"> 1 ml </w:t>
      </w:r>
      <w:r>
        <w:rPr>
          <w:b w:val="0"/>
          <w:bCs/>
          <w:szCs w:val="22"/>
        </w:rPr>
        <w:t xml:space="preserve">přípravku </w:t>
      </w:r>
      <w:r w:rsidRPr="00F21A4F">
        <w:rPr>
          <w:b w:val="0"/>
          <w:bCs/>
          <w:szCs w:val="22"/>
        </w:rPr>
        <w:t xml:space="preserve">na </w:t>
      </w:r>
      <w:smartTag w:uri="urn:schemas-microsoft-com:office:smarttags" w:element="metricconverter">
        <w:smartTagPr>
          <w:attr w:name="ProductID" w:val="25 kg"/>
        </w:smartTagPr>
        <w:r w:rsidRPr="00F21A4F">
          <w:rPr>
            <w:b w:val="0"/>
            <w:bCs/>
            <w:szCs w:val="22"/>
          </w:rPr>
          <w:t>25 kg</w:t>
        </w:r>
      </w:smartTag>
      <w:r w:rsidRPr="00F21A4F">
        <w:rPr>
          <w:b w:val="0"/>
          <w:bCs/>
          <w:szCs w:val="22"/>
        </w:rPr>
        <w:t xml:space="preserve"> živé hmotnosti) při </w:t>
      </w:r>
      <w:r>
        <w:rPr>
          <w:b w:val="0"/>
          <w:bCs/>
          <w:szCs w:val="22"/>
        </w:rPr>
        <w:t xml:space="preserve">hlubokém </w:t>
      </w:r>
      <w:r w:rsidRPr="00F21A4F">
        <w:rPr>
          <w:b w:val="0"/>
          <w:bCs/>
          <w:szCs w:val="22"/>
        </w:rPr>
        <w:t xml:space="preserve">intramuskulárním podání denně po </w:t>
      </w:r>
      <w:r>
        <w:rPr>
          <w:b w:val="0"/>
          <w:bCs/>
          <w:szCs w:val="22"/>
        </w:rPr>
        <w:t xml:space="preserve">dobu </w:t>
      </w:r>
      <w:r w:rsidRPr="00F21A4F">
        <w:rPr>
          <w:b w:val="0"/>
          <w:bCs/>
          <w:szCs w:val="22"/>
        </w:rPr>
        <w:t>3</w:t>
      </w:r>
      <w:r>
        <w:rPr>
          <w:b w:val="0"/>
          <w:bCs/>
          <w:szCs w:val="22"/>
        </w:rPr>
        <w:t xml:space="preserve"> po sobě jdoucích </w:t>
      </w:r>
      <w:r w:rsidRPr="00F21A4F">
        <w:rPr>
          <w:b w:val="0"/>
          <w:bCs/>
          <w:szCs w:val="22"/>
        </w:rPr>
        <w:t>dn</w:t>
      </w:r>
      <w:r>
        <w:rPr>
          <w:b w:val="0"/>
          <w:bCs/>
          <w:szCs w:val="22"/>
        </w:rPr>
        <w:t>í</w:t>
      </w:r>
      <w:r w:rsidRPr="00F21A4F">
        <w:rPr>
          <w:b w:val="0"/>
          <w:bCs/>
          <w:szCs w:val="22"/>
        </w:rPr>
        <w:t xml:space="preserve">. </w:t>
      </w:r>
    </w:p>
    <w:p w:rsidR="00871F59" w:rsidRDefault="00871F59">
      <w:pPr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8.</w:t>
      </w:r>
      <w:r>
        <w:rPr>
          <w:bCs/>
        </w:rPr>
        <w:tab/>
        <w:t>POKYN PRO SPRÁVNÉ PODÁNÍ</w:t>
      </w:r>
    </w:p>
    <w:p w:rsidR="00A50B1D" w:rsidRDefault="00A50B1D" w:rsidP="00563922">
      <w:pPr>
        <w:pStyle w:val="Zkladntextodsazen2"/>
        <w:ind w:left="0"/>
        <w:jc w:val="both"/>
        <w:rPr>
          <w:b w:val="0"/>
          <w:bCs/>
          <w:szCs w:val="22"/>
        </w:rPr>
      </w:pPr>
    </w:p>
    <w:p w:rsidR="00A50B1D" w:rsidRPr="00563922" w:rsidRDefault="00A50B1D" w:rsidP="00563922">
      <w:pPr>
        <w:pStyle w:val="Zkladntextodsazen2"/>
        <w:ind w:left="0"/>
        <w:jc w:val="both"/>
        <w:rPr>
          <w:b w:val="0"/>
          <w:bCs/>
          <w:szCs w:val="22"/>
        </w:rPr>
      </w:pPr>
      <w:r w:rsidRPr="00563922">
        <w:rPr>
          <w:b w:val="0"/>
          <w:bCs/>
          <w:szCs w:val="22"/>
        </w:rPr>
        <w:t>Před použitím je nutno lahvičku důkladně protřepat.</w:t>
      </w:r>
    </w:p>
    <w:p w:rsidR="00871F59" w:rsidRDefault="00871F59">
      <w:pPr>
        <w:rPr>
          <w:bCs/>
        </w:rPr>
      </w:pPr>
    </w:p>
    <w:p w:rsidR="00A50B1D" w:rsidRDefault="00A50B1D" w:rsidP="00C762CE">
      <w:pPr>
        <w:jc w:val="both"/>
        <w:rPr>
          <w:bCs/>
        </w:rPr>
      </w:pPr>
    </w:p>
    <w:p w:rsidR="000B4B03" w:rsidRDefault="000B4B03" w:rsidP="00C762CE">
      <w:pPr>
        <w:jc w:val="both"/>
        <w:rPr>
          <w:b w:val="0"/>
          <w:bCs/>
          <w:szCs w:val="22"/>
        </w:rPr>
      </w:pPr>
      <w:r w:rsidRPr="00F21A4F">
        <w:rPr>
          <w:b w:val="0"/>
          <w:bCs/>
          <w:szCs w:val="22"/>
        </w:rPr>
        <w:t xml:space="preserve">Maximální objem přípravku </w:t>
      </w:r>
      <w:r>
        <w:rPr>
          <w:b w:val="0"/>
          <w:bCs/>
          <w:szCs w:val="22"/>
        </w:rPr>
        <w:t xml:space="preserve">podaný </w:t>
      </w:r>
      <w:r w:rsidRPr="00F21A4F">
        <w:rPr>
          <w:b w:val="0"/>
          <w:bCs/>
          <w:szCs w:val="22"/>
        </w:rPr>
        <w:t xml:space="preserve">na jedno místo nesmí u </w:t>
      </w:r>
      <w:r>
        <w:rPr>
          <w:b w:val="0"/>
          <w:bCs/>
          <w:szCs w:val="22"/>
        </w:rPr>
        <w:t xml:space="preserve">skotu </w:t>
      </w:r>
      <w:r w:rsidRPr="00F21A4F">
        <w:rPr>
          <w:b w:val="0"/>
          <w:bCs/>
          <w:szCs w:val="22"/>
        </w:rPr>
        <w:t xml:space="preserve">překročit </w:t>
      </w:r>
      <w:r>
        <w:rPr>
          <w:b w:val="0"/>
          <w:bCs/>
          <w:szCs w:val="22"/>
        </w:rPr>
        <w:t>8</w:t>
      </w:r>
      <w:r w:rsidRPr="00F21A4F">
        <w:rPr>
          <w:b w:val="0"/>
          <w:bCs/>
          <w:szCs w:val="22"/>
        </w:rPr>
        <w:t>,5 ml</w:t>
      </w:r>
      <w:r>
        <w:rPr>
          <w:b w:val="0"/>
          <w:bCs/>
          <w:szCs w:val="22"/>
        </w:rPr>
        <w:t>, u koní 15 ml, u ovcí 3,5 ml a u prasat nesmí překročit 1,5 ml.</w:t>
      </w:r>
    </w:p>
    <w:p w:rsidR="000B4B03" w:rsidRPr="00F21A4F" w:rsidRDefault="000B4B03" w:rsidP="00C762CE">
      <w:pPr>
        <w:jc w:val="both"/>
        <w:rPr>
          <w:b w:val="0"/>
          <w:bCs/>
          <w:szCs w:val="22"/>
        </w:rPr>
      </w:pPr>
    </w:p>
    <w:p w:rsidR="000B4B03" w:rsidRPr="00F21A4F" w:rsidRDefault="000B4B03" w:rsidP="00C762CE">
      <w:pPr>
        <w:jc w:val="both"/>
        <w:rPr>
          <w:b w:val="0"/>
          <w:bCs/>
          <w:szCs w:val="22"/>
          <w:lang w:val="hr-HR"/>
        </w:rPr>
      </w:pPr>
      <w:r w:rsidRPr="00F21A4F">
        <w:rPr>
          <w:b w:val="0"/>
          <w:bCs/>
          <w:szCs w:val="22"/>
        </w:rPr>
        <w:t xml:space="preserve">Pro zajištění správného dávkování by měla být živá hmotnost stanovena co nejpřesněji, aby se zabránilo </w:t>
      </w:r>
      <w:proofErr w:type="spellStart"/>
      <w:r w:rsidRPr="00F21A4F">
        <w:rPr>
          <w:b w:val="0"/>
          <w:bCs/>
          <w:szCs w:val="22"/>
        </w:rPr>
        <w:t>poddávkování</w:t>
      </w:r>
      <w:proofErr w:type="spellEnd"/>
      <w:r w:rsidRPr="00F21A4F">
        <w:rPr>
          <w:b w:val="0"/>
          <w:bCs/>
          <w:szCs w:val="22"/>
        </w:rPr>
        <w:t>.</w:t>
      </w:r>
    </w:p>
    <w:p w:rsidR="000B4B03" w:rsidRPr="00F21A4F" w:rsidRDefault="000B4B03" w:rsidP="00C762CE">
      <w:pPr>
        <w:jc w:val="both"/>
        <w:rPr>
          <w:bCs/>
          <w:lang w:val="hr-HR"/>
        </w:rPr>
      </w:pPr>
    </w:p>
    <w:p w:rsidR="00DE1514" w:rsidRDefault="00DE1514" w:rsidP="00C762CE">
      <w:pPr>
        <w:jc w:val="both"/>
        <w:rPr>
          <w:b w:val="0"/>
          <w:bCs/>
        </w:rPr>
      </w:pPr>
      <w:r w:rsidRPr="00B33BAD">
        <w:rPr>
          <w:b w:val="0"/>
          <w:bCs/>
        </w:rPr>
        <w:t xml:space="preserve">Během širokého klinického použití byly </w:t>
      </w:r>
      <w:r w:rsidRPr="009F2922">
        <w:rPr>
          <w:b w:val="0"/>
          <w:bCs/>
        </w:rPr>
        <w:t xml:space="preserve">po použití přípravku u těžších hmotnostních kategorií prasat (prasnice) opakovaně zaznamenány hladiny reziduí </w:t>
      </w:r>
      <w:proofErr w:type="spellStart"/>
      <w:r w:rsidRPr="009F2922">
        <w:rPr>
          <w:b w:val="0"/>
          <w:bCs/>
        </w:rPr>
        <w:t>dihydrostreptomycinu</w:t>
      </w:r>
      <w:proofErr w:type="spellEnd"/>
      <w:r w:rsidRPr="009F2922">
        <w:rPr>
          <w:b w:val="0"/>
          <w:bCs/>
        </w:rPr>
        <w:t xml:space="preserve"> překračující povolené maximální limity </w:t>
      </w:r>
      <w:r w:rsidR="00FE59BC">
        <w:rPr>
          <w:b w:val="0"/>
          <w:bCs/>
        </w:rPr>
        <w:t xml:space="preserve">v tkáních </w:t>
      </w:r>
      <w:r w:rsidRPr="009F2922">
        <w:rPr>
          <w:b w:val="0"/>
          <w:bCs/>
        </w:rPr>
        <w:t>a to</w:t>
      </w:r>
      <w:r w:rsidR="00FE59BC">
        <w:rPr>
          <w:b w:val="0"/>
          <w:bCs/>
        </w:rPr>
        <w:t xml:space="preserve"> i více než</w:t>
      </w:r>
      <w:r w:rsidRPr="009F2922">
        <w:rPr>
          <w:b w:val="0"/>
          <w:bCs/>
        </w:rPr>
        <w:t xml:space="preserve"> 50 dnů od posledního podání přípravku.</w:t>
      </w:r>
      <w:r w:rsidRPr="00B33BAD">
        <w:rPr>
          <w:b w:val="0"/>
          <w:bCs/>
        </w:rPr>
        <w:t xml:space="preserve"> </w:t>
      </w:r>
      <w:r w:rsidRPr="009F2922">
        <w:rPr>
          <w:b w:val="0"/>
          <w:bCs/>
        </w:rPr>
        <w:t>U uvedených kategorií prasat přípravek použít pouze po zvážení terapeutického prospěchu a rizika příslušným veterinárním lékařem a odpovídajícím navýšení ochranné lhůty.</w:t>
      </w:r>
    </w:p>
    <w:p w:rsidR="00B73A76" w:rsidRDefault="00B73A76" w:rsidP="00D56D28">
      <w:pPr>
        <w:pStyle w:val="Zkladntext"/>
      </w:pPr>
    </w:p>
    <w:p w:rsidR="00871F59" w:rsidRDefault="00871F59">
      <w:pPr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9.</w:t>
      </w:r>
      <w:r>
        <w:rPr>
          <w:bCs/>
        </w:rPr>
        <w:tab/>
        <w:t>KONTRAINDIKACE</w:t>
      </w:r>
    </w:p>
    <w:p w:rsidR="000B4B03" w:rsidRDefault="000B4B03" w:rsidP="000B4B03">
      <w:pPr>
        <w:pStyle w:val="Zkladntext"/>
      </w:pPr>
      <w:r>
        <w:t>Nepoužívat při známé přecitlivělosti na peniciliny, streptomycin a pomocné látky.</w:t>
      </w:r>
    </w:p>
    <w:p w:rsidR="000B4B03" w:rsidRDefault="000B4B03" w:rsidP="000B4B03">
      <w:pPr>
        <w:autoSpaceDE w:val="0"/>
        <w:autoSpaceDN w:val="0"/>
        <w:adjustRightInd w:val="0"/>
        <w:jc w:val="both"/>
        <w:rPr>
          <w:b w:val="0"/>
          <w:szCs w:val="22"/>
        </w:rPr>
      </w:pPr>
      <w:r>
        <w:rPr>
          <w:b w:val="0"/>
          <w:szCs w:val="22"/>
        </w:rPr>
        <w:t xml:space="preserve">Nepoužívat pro parenterální podání u králíků, činčil, morčat, křečků a </w:t>
      </w:r>
      <w:proofErr w:type="spellStart"/>
      <w:r>
        <w:rPr>
          <w:b w:val="0"/>
          <w:szCs w:val="22"/>
        </w:rPr>
        <w:t>pískomilů</w:t>
      </w:r>
      <w:proofErr w:type="spellEnd"/>
      <w:r>
        <w:rPr>
          <w:b w:val="0"/>
          <w:szCs w:val="22"/>
        </w:rPr>
        <w:t>.</w:t>
      </w:r>
    </w:p>
    <w:p w:rsidR="000B4B03" w:rsidRDefault="000B4B03" w:rsidP="000B4B03">
      <w:pPr>
        <w:autoSpaceDE w:val="0"/>
        <w:autoSpaceDN w:val="0"/>
        <w:adjustRightInd w:val="0"/>
        <w:rPr>
          <w:b w:val="0"/>
          <w:iCs/>
          <w:szCs w:val="22"/>
        </w:rPr>
      </w:pPr>
      <w:r>
        <w:rPr>
          <w:b w:val="0"/>
          <w:szCs w:val="22"/>
        </w:rPr>
        <w:t xml:space="preserve">Nepoužívat v případě infekcí vyvolaných </w:t>
      </w:r>
      <w:r>
        <w:rPr>
          <w:b w:val="0"/>
          <w:iCs/>
          <w:szCs w:val="22"/>
        </w:rPr>
        <w:t>mikroorganismy produkujícími beta-</w:t>
      </w:r>
      <w:proofErr w:type="spellStart"/>
      <w:r>
        <w:rPr>
          <w:b w:val="0"/>
          <w:iCs/>
          <w:szCs w:val="22"/>
        </w:rPr>
        <w:t>laktamázy</w:t>
      </w:r>
      <w:proofErr w:type="spellEnd"/>
      <w:r>
        <w:rPr>
          <w:b w:val="0"/>
          <w:iCs/>
          <w:szCs w:val="22"/>
        </w:rPr>
        <w:t>.</w:t>
      </w:r>
    </w:p>
    <w:p w:rsidR="004F7914" w:rsidRDefault="004F7914">
      <w:pPr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10.</w:t>
      </w:r>
      <w:r>
        <w:rPr>
          <w:bCs/>
        </w:rPr>
        <w:tab/>
        <w:t>NEŽÁDOUCÍ ÚČINKY</w:t>
      </w:r>
    </w:p>
    <w:p w:rsidR="00871F59" w:rsidRDefault="00871F59">
      <w:pPr>
        <w:rPr>
          <w:bCs/>
        </w:rPr>
      </w:pPr>
    </w:p>
    <w:p w:rsidR="00D56D28" w:rsidRDefault="00D56D28" w:rsidP="00D56D28">
      <w:pPr>
        <w:pStyle w:val="Zkladntext"/>
      </w:pPr>
      <w:r>
        <w:t>Dočasný výskyt pyrexie, vomitu, třesu, apatie nebo poruch koordinace pohybu u selat a odstávčat.</w:t>
      </w:r>
    </w:p>
    <w:p w:rsidR="00871F59" w:rsidRDefault="00871F59">
      <w:pPr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11.</w:t>
      </w:r>
      <w:r>
        <w:rPr>
          <w:bCs/>
        </w:rPr>
        <w:tab/>
        <w:t xml:space="preserve">OCHRANNÁ LHŮTA </w:t>
      </w:r>
    </w:p>
    <w:p w:rsidR="00871F59" w:rsidRDefault="00871F59">
      <w:pPr>
        <w:rPr>
          <w:bCs/>
        </w:rPr>
      </w:pPr>
    </w:p>
    <w:p w:rsidR="00E920D9" w:rsidRDefault="00E920D9" w:rsidP="00D56D28">
      <w:pPr>
        <w:rPr>
          <w:b w:val="0"/>
          <w:bCs/>
        </w:rPr>
      </w:pPr>
      <w:r>
        <w:rPr>
          <w:b w:val="0"/>
          <w:bCs/>
        </w:rPr>
        <w:t>S</w:t>
      </w:r>
      <w:r w:rsidR="00D56D28">
        <w:rPr>
          <w:b w:val="0"/>
          <w:bCs/>
        </w:rPr>
        <w:t>kot</w:t>
      </w:r>
      <w:r>
        <w:rPr>
          <w:b w:val="0"/>
          <w:bCs/>
        </w:rPr>
        <w:t>: maso:</w:t>
      </w:r>
      <w:r w:rsidR="00D56D28">
        <w:rPr>
          <w:b w:val="0"/>
          <w:bCs/>
        </w:rPr>
        <w:t xml:space="preserve"> 2</w:t>
      </w:r>
      <w:r w:rsidR="00E65A3E">
        <w:rPr>
          <w:b w:val="0"/>
          <w:bCs/>
        </w:rPr>
        <w:t>8</w:t>
      </w:r>
      <w:r w:rsidR="00D56D28">
        <w:rPr>
          <w:b w:val="0"/>
          <w:bCs/>
        </w:rPr>
        <w:t xml:space="preserve"> dní</w:t>
      </w:r>
    </w:p>
    <w:p w:rsidR="00E920D9" w:rsidRDefault="00E920D9" w:rsidP="00D56D28">
      <w:pPr>
        <w:rPr>
          <w:b w:val="0"/>
          <w:bCs/>
        </w:rPr>
      </w:pPr>
      <w:r>
        <w:rPr>
          <w:b w:val="0"/>
          <w:bCs/>
        </w:rPr>
        <w:t>O</w:t>
      </w:r>
      <w:r w:rsidR="00D56D28">
        <w:rPr>
          <w:b w:val="0"/>
          <w:bCs/>
        </w:rPr>
        <w:t>vc</w:t>
      </w:r>
      <w:r>
        <w:rPr>
          <w:b w:val="0"/>
          <w:bCs/>
        </w:rPr>
        <w:t xml:space="preserve">e: maso: </w:t>
      </w:r>
      <w:r w:rsidR="00D56D28">
        <w:rPr>
          <w:b w:val="0"/>
          <w:bCs/>
        </w:rPr>
        <w:t xml:space="preserve"> 3</w:t>
      </w:r>
      <w:r w:rsidR="00AE3DFB">
        <w:rPr>
          <w:b w:val="0"/>
          <w:bCs/>
        </w:rPr>
        <w:t>7</w:t>
      </w:r>
      <w:r w:rsidR="00D56D28">
        <w:rPr>
          <w:b w:val="0"/>
          <w:bCs/>
        </w:rPr>
        <w:t xml:space="preserve"> dní</w:t>
      </w:r>
    </w:p>
    <w:p w:rsidR="00D56D28" w:rsidRDefault="00E920D9" w:rsidP="00D56D28">
      <w:pPr>
        <w:rPr>
          <w:b w:val="0"/>
          <w:bCs/>
        </w:rPr>
      </w:pPr>
      <w:r>
        <w:rPr>
          <w:b w:val="0"/>
          <w:bCs/>
        </w:rPr>
        <w:t>P</w:t>
      </w:r>
      <w:r w:rsidR="00D56D28">
        <w:rPr>
          <w:b w:val="0"/>
          <w:bCs/>
        </w:rPr>
        <w:t>rasat</w:t>
      </w:r>
      <w:r>
        <w:rPr>
          <w:b w:val="0"/>
          <w:bCs/>
        </w:rPr>
        <w:t>a: maso:</w:t>
      </w:r>
      <w:r w:rsidR="00D56D28">
        <w:rPr>
          <w:b w:val="0"/>
          <w:bCs/>
        </w:rPr>
        <w:t xml:space="preserve"> </w:t>
      </w:r>
      <w:r w:rsidR="00601022">
        <w:rPr>
          <w:b w:val="0"/>
          <w:bCs/>
        </w:rPr>
        <w:t>24</w:t>
      </w:r>
      <w:r w:rsidR="00D56D28">
        <w:rPr>
          <w:b w:val="0"/>
          <w:bCs/>
        </w:rPr>
        <w:t xml:space="preserve"> dní</w:t>
      </w:r>
    </w:p>
    <w:p w:rsidR="00A20A6A" w:rsidRDefault="00A20A6A" w:rsidP="00A20A6A">
      <w:pPr>
        <w:rPr>
          <w:bCs/>
        </w:rPr>
      </w:pPr>
      <w:r>
        <w:rPr>
          <w:b w:val="0"/>
          <w:bCs/>
        </w:rPr>
        <w:t>Nepoužívat u prasnic, jejichž maso je určeno pro lidskou spotřebu.</w:t>
      </w:r>
      <w:r w:rsidR="00B85112" w:rsidRPr="00B85112">
        <w:rPr>
          <w:b w:val="0"/>
          <w:bCs/>
        </w:rPr>
        <w:t xml:space="preserve"> </w:t>
      </w:r>
      <w:r w:rsidR="00B85112">
        <w:rPr>
          <w:b w:val="0"/>
          <w:bCs/>
        </w:rPr>
        <w:t>(</w:t>
      </w:r>
      <w:r w:rsidR="00B85112" w:rsidRPr="00846135">
        <w:rPr>
          <w:b w:val="0"/>
          <w:bCs/>
        </w:rPr>
        <w:t>Viz dále bod</w:t>
      </w:r>
      <w:r w:rsidR="00B85112">
        <w:rPr>
          <w:b w:val="0"/>
          <w:bCs/>
        </w:rPr>
        <w:t xml:space="preserve"> 8)</w:t>
      </w:r>
    </w:p>
    <w:p w:rsidR="00E920D9" w:rsidRDefault="00E920D9" w:rsidP="00D56D28">
      <w:pPr>
        <w:rPr>
          <w:b w:val="0"/>
          <w:bCs/>
        </w:rPr>
      </w:pPr>
      <w:r>
        <w:rPr>
          <w:b w:val="0"/>
          <w:bCs/>
        </w:rPr>
        <w:t>Skot: mléko:</w:t>
      </w:r>
      <w:r w:rsidR="00D56D28">
        <w:rPr>
          <w:b w:val="0"/>
          <w:bCs/>
        </w:rPr>
        <w:t xml:space="preserve"> 60 hodin</w:t>
      </w:r>
    </w:p>
    <w:p w:rsidR="00D56D28" w:rsidRDefault="00D56D28" w:rsidP="00D56D28">
      <w:pPr>
        <w:rPr>
          <w:b w:val="0"/>
          <w:bCs/>
        </w:rPr>
      </w:pPr>
      <w:r>
        <w:rPr>
          <w:b w:val="0"/>
          <w:bCs/>
        </w:rPr>
        <w:t>Nepoužívat u ovcí, jejichž mléko je určeno pro lidsk</w:t>
      </w:r>
      <w:r w:rsidR="00A20A6A">
        <w:rPr>
          <w:b w:val="0"/>
          <w:bCs/>
        </w:rPr>
        <w:t>ou spotřebu</w:t>
      </w:r>
      <w:r>
        <w:rPr>
          <w:b w:val="0"/>
          <w:bCs/>
        </w:rPr>
        <w:t xml:space="preserve">. </w:t>
      </w:r>
    </w:p>
    <w:p w:rsidR="00D56D28" w:rsidRDefault="00D56D28" w:rsidP="00D56D28">
      <w:pPr>
        <w:rPr>
          <w:b w:val="0"/>
          <w:bCs/>
        </w:rPr>
      </w:pPr>
      <w:r>
        <w:rPr>
          <w:b w:val="0"/>
          <w:bCs/>
        </w:rPr>
        <w:t>Nepoužívat u koní, jejichž maso je určeno pro lidsk</w:t>
      </w:r>
      <w:r w:rsidR="00A20A6A">
        <w:rPr>
          <w:b w:val="0"/>
          <w:bCs/>
        </w:rPr>
        <w:t>ou spotřebu</w:t>
      </w:r>
      <w:r>
        <w:rPr>
          <w:b w:val="0"/>
          <w:bCs/>
        </w:rPr>
        <w:t>.</w:t>
      </w:r>
    </w:p>
    <w:p w:rsidR="00871F59" w:rsidRDefault="00871F59">
      <w:pPr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12.</w:t>
      </w:r>
      <w:r>
        <w:rPr>
          <w:bCs/>
        </w:rPr>
        <w:tab/>
        <w:t>ZVLÁŠTNÍ PODMÍNKY PRO UCHOVÁVÁNÍ</w:t>
      </w:r>
    </w:p>
    <w:p w:rsidR="00871F59" w:rsidRDefault="00871F59">
      <w:pPr>
        <w:rPr>
          <w:bCs/>
        </w:rPr>
      </w:pPr>
    </w:p>
    <w:p w:rsidR="00E32F7A" w:rsidRDefault="00E32F7A" w:rsidP="003271E0">
      <w:pPr>
        <w:pStyle w:val="Zkladntext2"/>
      </w:pPr>
      <w:r>
        <w:t>Uchovávat mimo dosah dětí.</w:t>
      </w:r>
    </w:p>
    <w:p w:rsidR="003271E0" w:rsidRDefault="003271E0" w:rsidP="003271E0">
      <w:pPr>
        <w:pStyle w:val="Zkladntext2"/>
      </w:pPr>
      <w:r>
        <w:t xml:space="preserve">Uchovávejte </w:t>
      </w:r>
      <w:r w:rsidR="001A61B9">
        <w:t>v chladničce (2-8 °C)</w:t>
      </w:r>
    </w:p>
    <w:p w:rsidR="003271E0" w:rsidRDefault="003271E0" w:rsidP="003271E0">
      <w:pPr>
        <w:pStyle w:val="Zkladntext2"/>
      </w:pPr>
      <w:r>
        <w:t xml:space="preserve">Chraňte před světlem. </w:t>
      </w:r>
    </w:p>
    <w:p w:rsidR="00D56D28" w:rsidRDefault="00D56D28" w:rsidP="00D56D28">
      <w:pPr>
        <w:pStyle w:val="Zkladntext"/>
      </w:pPr>
      <w:r>
        <w:t>Nepoužívejte po uplynutí doby použitelnosti uvedené na etiketě.</w:t>
      </w:r>
    </w:p>
    <w:p w:rsidR="003271E0" w:rsidRDefault="003271E0" w:rsidP="003271E0">
      <w:pPr>
        <w:pStyle w:val="Zkladntext2"/>
        <w:rPr>
          <w:bCs/>
        </w:rPr>
      </w:pPr>
      <w:r>
        <w:rPr>
          <w:bCs/>
        </w:rPr>
        <w:t>Doba použitelnosti po prvním otevření vnitřního obalu: 28 dní.</w:t>
      </w:r>
    </w:p>
    <w:p w:rsidR="00871F59" w:rsidRDefault="00871F59">
      <w:pPr>
        <w:tabs>
          <w:tab w:val="left" w:pos="1860"/>
        </w:tabs>
        <w:rPr>
          <w:bCs/>
        </w:rPr>
      </w:pPr>
      <w:r>
        <w:rPr>
          <w:bCs/>
        </w:rPr>
        <w:tab/>
      </w:r>
    </w:p>
    <w:p w:rsidR="00871F59" w:rsidRDefault="00871F59">
      <w:pPr>
        <w:rPr>
          <w:bCs/>
        </w:rPr>
      </w:pPr>
      <w:r>
        <w:rPr>
          <w:bCs/>
        </w:rPr>
        <w:t>13.</w:t>
      </w:r>
      <w:r>
        <w:rPr>
          <w:bCs/>
        </w:rPr>
        <w:tab/>
        <w:t>ZVLÁŠTNÍ UPOZORNĚNÍ</w:t>
      </w:r>
    </w:p>
    <w:p w:rsidR="00871F59" w:rsidRDefault="00871F59">
      <w:pPr>
        <w:rPr>
          <w:bCs/>
        </w:rPr>
      </w:pPr>
    </w:p>
    <w:p w:rsidR="000B4B03" w:rsidRDefault="000B4B03" w:rsidP="000B4B03">
      <w:pPr>
        <w:pStyle w:val="Nadpis2"/>
      </w:pPr>
      <w:r>
        <w:t>Zvláštní opatření pro použití u zvířat</w:t>
      </w:r>
    </w:p>
    <w:p w:rsidR="000B4B03" w:rsidRDefault="000B4B03">
      <w:pPr>
        <w:rPr>
          <w:bCs/>
        </w:rPr>
      </w:pPr>
    </w:p>
    <w:p w:rsidR="000B4B03" w:rsidRDefault="000B4B03" w:rsidP="00C762CE">
      <w:pPr>
        <w:jc w:val="both"/>
        <w:rPr>
          <w:b w:val="0"/>
          <w:bCs/>
        </w:rPr>
      </w:pPr>
      <w:r>
        <w:rPr>
          <w:b w:val="0"/>
          <w:bCs/>
        </w:rPr>
        <w:t xml:space="preserve">Nepřekračujte doporučenou dávku a dobu podávání. Aminoglykosidy mají nižší práh bezpečnosti </w:t>
      </w:r>
    </w:p>
    <w:p w:rsidR="000B4B03" w:rsidRDefault="000B4B03" w:rsidP="00C762CE">
      <w:pPr>
        <w:jc w:val="both"/>
        <w:rPr>
          <w:b w:val="0"/>
          <w:bCs/>
        </w:rPr>
      </w:pPr>
      <w:r>
        <w:rPr>
          <w:b w:val="0"/>
          <w:bCs/>
        </w:rPr>
        <w:t xml:space="preserve">než beta - </w:t>
      </w:r>
      <w:proofErr w:type="spellStart"/>
      <w:r>
        <w:rPr>
          <w:b w:val="0"/>
          <w:bCs/>
        </w:rPr>
        <w:t>laktamová</w:t>
      </w:r>
      <w:proofErr w:type="spellEnd"/>
      <w:r>
        <w:rPr>
          <w:b w:val="0"/>
          <w:bCs/>
        </w:rPr>
        <w:t xml:space="preserve"> antibiotika. </w:t>
      </w:r>
    </w:p>
    <w:p w:rsidR="000B4B03" w:rsidRDefault="000B4B03" w:rsidP="00C762CE">
      <w:pPr>
        <w:jc w:val="both"/>
        <w:rPr>
          <w:b w:val="0"/>
          <w:bCs/>
        </w:rPr>
      </w:pPr>
      <w:r>
        <w:rPr>
          <w:b w:val="0"/>
          <w:bCs/>
        </w:rPr>
        <w:t>Používejte opatrně u zvířat s onemocněním ledvin nebo s poruchami funkce ledvin.</w:t>
      </w:r>
    </w:p>
    <w:p w:rsidR="000B4B03" w:rsidRDefault="000B4B03" w:rsidP="00C762CE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F21A4F">
        <w:rPr>
          <w:b w:val="0"/>
          <w:bCs/>
        </w:rPr>
        <w:t xml:space="preserve">Použití přípravku by mělo být vždy, když je to možné, založeno na výsledku testu citlivosti a zohlednit informace (region, farma) o aktuální </w:t>
      </w:r>
      <w:proofErr w:type="spellStart"/>
      <w:r w:rsidRPr="00F21A4F">
        <w:rPr>
          <w:b w:val="0"/>
          <w:bCs/>
        </w:rPr>
        <w:t>epizootologické</w:t>
      </w:r>
      <w:proofErr w:type="spellEnd"/>
      <w:r w:rsidRPr="00F21A4F">
        <w:rPr>
          <w:b w:val="0"/>
          <w:bCs/>
        </w:rPr>
        <w:t xml:space="preserve"> situaci.</w:t>
      </w:r>
    </w:p>
    <w:p w:rsidR="000B4B03" w:rsidRDefault="000B4B03">
      <w:pPr>
        <w:rPr>
          <w:bCs/>
        </w:rPr>
      </w:pPr>
    </w:p>
    <w:p w:rsidR="00604A1F" w:rsidRDefault="00604A1F" w:rsidP="00604A1F">
      <w:pPr>
        <w:pStyle w:val="Nadpis2"/>
      </w:pPr>
      <w:r>
        <w:t>Zvláštní opatření určené osobám, které podávají veterinární léčivý přípravek zvířatům</w:t>
      </w:r>
    </w:p>
    <w:p w:rsidR="00E32F7A" w:rsidRPr="00E32F7A" w:rsidRDefault="00E32F7A" w:rsidP="00E32F7A">
      <w:pPr>
        <w:rPr>
          <w:b w:val="0"/>
          <w:bCs/>
        </w:rPr>
      </w:pPr>
      <w:r w:rsidRPr="00E32F7A">
        <w:rPr>
          <w:b w:val="0"/>
          <w:bCs/>
        </w:rPr>
        <w:t xml:space="preserve">Předcházejte náhodnému </w:t>
      </w:r>
      <w:proofErr w:type="spellStart"/>
      <w:r w:rsidRPr="00E32F7A">
        <w:rPr>
          <w:b w:val="0"/>
          <w:bCs/>
        </w:rPr>
        <w:t>samopodání</w:t>
      </w:r>
      <w:proofErr w:type="spellEnd"/>
      <w:r w:rsidRPr="00E32F7A">
        <w:rPr>
          <w:b w:val="0"/>
          <w:bCs/>
        </w:rPr>
        <w:t xml:space="preserve"> injekce. V případě náhodného </w:t>
      </w:r>
      <w:proofErr w:type="spellStart"/>
      <w:r w:rsidRPr="00E32F7A">
        <w:rPr>
          <w:b w:val="0"/>
          <w:bCs/>
        </w:rPr>
        <w:t>samopodání</w:t>
      </w:r>
      <w:proofErr w:type="spellEnd"/>
      <w:r w:rsidRPr="00E32F7A">
        <w:rPr>
          <w:b w:val="0"/>
          <w:bCs/>
        </w:rPr>
        <w:t xml:space="preserve"> vyhledejte ihned lékařskou pomoc a ukažte příbalovou informaci nebo etiketu praktickému lékaři. </w:t>
      </w:r>
    </w:p>
    <w:p w:rsidR="00E32F7A" w:rsidRPr="00E32F7A" w:rsidRDefault="00E32F7A" w:rsidP="00E32F7A">
      <w:pPr>
        <w:rPr>
          <w:b w:val="0"/>
          <w:bCs/>
        </w:rPr>
      </w:pPr>
    </w:p>
    <w:p w:rsidR="00E32F7A" w:rsidRPr="00E32F7A" w:rsidRDefault="00E32F7A" w:rsidP="00E32F7A">
      <w:pPr>
        <w:rPr>
          <w:b w:val="0"/>
          <w:bCs/>
        </w:rPr>
      </w:pPr>
      <w:r w:rsidRPr="00E32F7A">
        <w:rPr>
          <w:b w:val="0"/>
          <w:bCs/>
        </w:rPr>
        <w:t>Peniciliny a cefalosporiny mohou po injekci, inhalaci, požití nebo po kontaktu s kůží vyvolat hypersensitivitu (alergii). Hypersensitivita na peniciliny může vést ke zkříženým reakcím s cefalosporiny a naopak. Alergické reakce na tyto látky mohou být v některých případech vážné.</w:t>
      </w:r>
    </w:p>
    <w:p w:rsidR="00E32F7A" w:rsidRPr="00E32F7A" w:rsidRDefault="00E32F7A" w:rsidP="00E32F7A">
      <w:pPr>
        <w:rPr>
          <w:b w:val="0"/>
          <w:bCs/>
        </w:rPr>
      </w:pPr>
    </w:p>
    <w:p w:rsidR="00E32F7A" w:rsidRPr="00E32F7A" w:rsidRDefault="00E32F7A" w:rsidP="00E32F7A">
      <w:pPr>
        <w:numPr>
          <w:ilvl w:val="0"/>
          <w:numId w:val="27"/>
        </w:numPr>
        <w:rPr>
          <w:b w:val="0"/>
          <w:bCs/>
        </w:rPr>
      </w:pPr>
      <w:r w:rsidRPr="00E32F7A">
        <w:rPr>
          <w:b w:val="0"/>
          <w:bCs/>
        </w:rPr>
        <w:t xml:space="preserve">Nemanipulujte s přípravkem, pokud víte, že jste přecitlivělí, nebo pokud vám bylo doporučeno s přípravky tohoto typu nepracovat. </w:t>
      </w:r>
    </w:p>
    <w:p w:rsidR="00E32F7A" w:rsidRPr="00E32F7A" w:rsidRDefault="00E32F7A" w:rsidP="00E32F7A">
      <w:pPr>
        <w:numPr>
          <w:ilvl w:val="0"/>
          <w:numId w:val="27"/>
        </w:numPr>
        <w:rPr>
          <w:b w:val="0"/>
          <w:bCs/>
        </w:rPr>
      </w:pPr>
      <w:r w:rsidRPr="00E32F7A">
        <w:rPr>
          <w:b w:val="0"/>
          <w:bCs/>
        </w:rPr>
        <w:t>Při manipulaci s přípravkem dodržujte všechna doporučená bezpečnostní opatření a buďte maximálně obezřetní, aby nedošlo k přímému kontaktu.</w:t>
      </w:r>
    </w:p>
    <w:p w:rsidR="00E32F7A" w:rsidRPr="00E32F7A" w:rsidRDefault="00E32F7A" w:rsidP="00E32F7A">
      <w:pPr>
        <w:numPr>
          <w:ilvl w:val="0"/>
          <w:numId w:val="27"/>
        </w:numPr>
        <w:rPr>
          <w:b w:val="0"/>
          <w:bCs/>
        </w:rPr>
      </w:pPr>
      <w:r w:rsidRPr="00E32F7A">
        <w:rPr>
          <w:b w:val="0"/>
          <w:bCs/>
        </w:rPr>
        <w:t xml:space="preserve">Pokud se po kontaktu s přípravkem objeví příznaky jako např. vyrážka, vyhledejte lékařskou pomoc a ukažte lékaři toto upozornění. Otok obličeje, rtů nebo očí nebo potíže s dýcháním jsou vážné příznaky a vyžadují okamžité lékařské ošetření. </w:t>
      </w:r>
    </w:p>
    <w:p w:rsidR="00E32F7A" w:rsidRPr="00E32F7A" w:rsidRDefault="00E32F7A" w:rsidP="00E32F7A">
      <w:pPr>
        <w:ind w:left="720"/>
        <w:rPr>
          <w:b w:val="0"/>
          <w:bCs/>
        </w:rPr>
      </w:pPr>
    </w:p>
    <w:p w:rsidR="00E32F7A" w:rsidRDefault="00E32F7A" w:rsidP="004F7914">
      <w:pPr>
        <w:jc w:val="both"/>
        <w:rPr>
          <w:b w:val="0"/>
          <w:bCs/>
        </w:rPr>
      </w:pPr>
      <w:r w:rsidRPr="00E32F7A">
        <w:rPr>
          <w:b w:val="0"/>
          <w:bCs/>
        </w:rPr>
        <w:t xml:space="preserve">Po použití si umyjte ruce. </w:t>
      </w:r>
    </w:p>
    <w:p w:rsidR="000B4B03" w:rsidRDefault="000B4B03" w:rsidP="004F7914">
      <w:pPr>
        <w:jc w:val="both"/>
        <w:rPr>
          <w:b w:val="0"/>
          <w:bCs/>
        </w:rPr>
      </w:pPr>
    </w:p>
    <w:p w:rsidR="000B4B03" w:rsidRDefault="000B4B03" w:rsidP="000B4B03">
      <w:pPr>
        <w:rPr>
          <w:bCs/>
        </w:rPr>
      </w:pPr>
      <w:r>
        <w:rPr>
          <w:bCs/>
        </w:rPr>
        <w:t>Použití v průběhu březosti a laktace</w:t>
      </w:r>
    </w:p>
    <w:p w:rsidR="00A50B1D" w:rsidRDefault="00A50B1D" w:rsidP="00A50B1D">
      <w:pPr>
        <w:pStyle w:val="Zkladntext"/>
      </w:pPr>
      <w:r>
        <w:t>Přípravek je bezpečný pro použití během gravidity a laktace.</w:t>
      </w:r>
    </w:p>
    <w:p w:rsidR="000B4B03" w:rsidRDefault="000B4B03" w:rsidP="004F7914">
      <w:pPr>
        <w:jc w:val="both"/>
        <w:rPr>
          <w:b w:val="0"/>
          <w:bCs/>
        </w:rPr>
      </w:pPr>
    </w:p>
    <w:p w:rsidR="000B4B03" w:rsidRDefault="000B4B03" w:rsidP="000B4B03">
      <w:pPr>
        <w:rPr>
          <w:bCs/>
        </w:rPr>
      </w:pPr>
      <w:r>
        <w:rPr>
          <w:bCs/>
        </w:rPr>
        <w:t xml:space="preserve">Interakce </w:t>
      </w:r>
    </w:p>
    <w:p w:rsidR="000B4B03" w:rsidRDefault="000B4B03" w:rsidP="000B4B03">
      <w:pPr>
        <w:pStyle w:val="Zkladntext"/>
      </w:pPr>
      <w:r>
        <w:t xml:space="preserve">Prokain </w:t>
      </w:r>
      <w:proofErr w:type="spellStart"/>
      <w:r>
        <w:t>benzylpenicilin</w:t>
      </w:r>
      <w:proofErr w:type="spellEnd"/>
      <w:r>
        <w:t xml:space="preserve"> a </w:t>
      </w:r>
      <w:proofErr w:type="spellStart"/>
      <w:r>
        <w:t>dihydrostreptomycin</w:t>
      </w:r>
      <w:proofErr w:type="spellEnd"/>
      <w:r>
        <w:t xml:space="preserve"> je baktericidně účinná </w:t>
      </w:r>
      <w:proofErr w:type="spellStart"/>
      <w:r>
        <w:t>synergní</w:t>
      </w:r>
      <w:proofErr w:type="spellEnd"/>
      <w:r>
        <w:t xml:space="preserve"> kombinace, nesmí se kombinovat s antibiotiky majícími bakteriostatický účinek, jako např. tetracykliny a </w:t>
      </w:r>
      <w:proofErr w:type="spellStart"/>
      <w:r>
        <w:t>makrolidy</w:t>
      </w:r>
      <w:proofErr w:type="spellEnd"/>
      <w:r>
        <w:t xml:space="preserve">.  </w:t>
      </w:r>
    </w:p>
    <w:p w:rsidR="001A61B9" w:rsidRDefault="001A61B9" w:rsidP="000B4B03">
      <w:pPr>
        <w:pStyle w:val="Zkladntext"/>
      </w:pPr>
    </w:p>
    <w:p w:rsidR="001A61B9" w:rsidRPr="00EA2AE7" w:rsidRDefault="001A61B9" w:rsidP="001A61B9">
      <w:pPr>
        <w:pStyle w:val="Zkladntext"/>
        <w:rPr>
          <w:b/>
        </w:rPr>
      </w:pPr>
      <w:r w:rsidRPr="00EA2AE7">
        <w:rPr>
          <w:b/>
        </w:rPr>
        <w:t>Hlavní inkompatibility</w:t>
      </w:r>
    </w:p>
    <w:p w:rsidR="001A61B9" w:rsidRDefault="001A61B9" w:rsidP="001A61B9">
      <w:pPr>
        <w:pStyle w:val="Zkladntext"/>
      </w:pPr>
      <w:r>
        <w:t>Studie kompatibility nejsou k dispozici, a proto tento veterinární léčivý přípravek nesmí být mísen s žádnými dalšími veterinárními léčivými přípravky.</w:t>
      </w:r>
    </w:p>
    <w:p w:rsidR="000B4B03" w:rsidRDefault="000B4B03" w:rsidP="004F7914">
      <w:pPr>
        <w:jc w:val="both"/>
        <w:rPr>
          <w:b w:val="0"/>
          <w:bCs/>
        </w:rPr>
      </w:pPr>
    </w:p>
    <w:p w:rsidR="00871F59" w:rsidRDefault="00871F59" w:rsidP="004F7914">
      <w:pPr>
        <w:jc w:val="both"/>
        <w:rPr>
          <w:bCs/>
        </w:rPr>
      </w:pPr>
    </w:p>
    <w:p w:rsidR="00871F59" w:rsidRDefault="00871F59">
      <w:pPr>
        <w:rPr>
          <w:bCs/>
        </w:rPr>
      </w:pPr>
      <w:proofErr w:type="gramStart"/>
      <w:r>
        <w:rPr>
          <w:bCs/>
        </w:rPr>
        <w:t>14.        ZVLÁŠTNÍ</w:t>
      </w:r>
      <w:proofErr w:type="gramEnd"/>
      <w:r>
        <w:rPr>
          <w:bCs/>
        </w:rPr>
        <w:t xml:space="preserve"> OPATŘENÍ PRO ZNEŠKODŇOVÁNÍ NEPOUŽITÉHO PŘÍPRAVKU   </w:t>
      </w:r>
    </w:p>
    <w:p w:rsidR="00871F59" w:rsidRDefault="00871F59">
      <w:pPr>
        <w:ind w:left="360"/>
        <w:rPr>
          <w:bCs/>
        </w:rPr>
      </w:pPr>
      <w:r>
        <w:rPr>
          <w:bCs/>
        </w:rPr>
        <w:t xml:space="preserve">       NEBO ODPADU, POKUD JE JICH TŘEBA</w:t>
      </w:r>
    </w:p>
    <w:p w:rsidR="00871F59" w:rsidRDefault="00871F59">
      <w:pPr>
        <w:ind w:right="-318"/>
        <w:rPr>
          <w:bCs/>
        </w:rPr>
      </w:pPr>
    </w:p>
    <w:p w:rsidR="00871F59" w:rsidRDefault="00871F59">
      <w:pPr>
        <w:pStyle w:val="Zkladntext2"/>
      </w:pPr>
      <w:r>
        <w:t xml:space="preserve">Všechen nepoužitý veterinární léčivý přípravek nebo odpad, který pochází z tohoto přípravku, </w:t>
      </w:r>
    </w:p>
    <w:p w:rsidR="00871F59" w:rsidRDefault="00871F59">
      <w:pPr>
        <w:pStyle w:val="Zkladntext2"/>
      </w:pPr>
      <w:r>
        <w:t xml:space="preserve">musí být likvidován podle místních právních předpisů. </w:t>
      </w:r>
    </w:p>
    <w:p w:rsidR="00E32F7A" w:rsidRDefault="00E32F7A">
      <w:pPr>
        <w:pStyle w:val="Zkladntext2"/>
      </w:pPr>
      <w:r>
        <w:t xml:space="preserve">Léčivé přípravky se nesmí likvidovat prostřednictvím odpadní vody či domovního odpadu. </w:t>
      </w:r>
    </w:p>
    <w:p w:rsidR="00E32F7A" w:rsidRDefault="00E32F7A">
      <w:pPr>
        <w:pStyle w:val="Zkladntext2"/>
        <w:rPr>
          <w:i/>
        </w:rPr>
      </w:pPr>
    </w:p>
    <w:p w:rsidR="00871F59" w:rsidRDefault="00871F59">
      <w:pPr>
        <w:ind w:right="-318"/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15.</w:t>
      </w:r>
      <w:r>
        <w:rPr>
          <w:bCs/>
        </w:rPr>
        <w:tab/>
        <w:t>DATUM POSLEDNÍ REVIZE PŘÍBALOVÉ INFORMACE</w:t>
      </w:r>
    </w:p>
    <w:p w:rsidR="00871F59" w:rsidRDefault="00871F59">
      <w:pPr>
        <w:ind w:right="-318"/>
        <w:rPr>
          <w:bCs/>
        </w:rPr>
      </w:pPr>
    </w:p>
    <w:p w:rsidR="00871F59" w:rsidRPr="00563922" w:rsidRDefault="001A61B9">
      <w:pPr>
        <w:ind w:right="-318"/>
        <w:rPr>
          <w:b w:val="0"/>
          <w:bCs/>
        </w:rPr>
      </w:pPr>
      <w:r>
        <w:rPr>
          <w:b w:val="0"/>
        </w:rPr>
        <w:t>Duben 2018</w:t>
      </w:r>
    </w:p>
    <w:p w:rsidR="003271E0" w:rsidRDefault="003271E0">
      <w:pPr>
        <w:ind w:right="-318"/>
        <w:rPr>
          <w:bCs/>
        </w:rPr>
      </w:pPr>
    </w:p>
    <w:p w:rsidR="00871F59" w:rsidRDefault="00871F59">
      <w:pPr>
        <w:rPr>
          <w:bCs/>
        </w:rPr>
      </w:pPr>
      <w:r>
        <w:rPr>
          <w:bCs/>
        </w:rPr>
        <w:t>16.</w:t>
      </w:r>
      <w:r>
        <w:rPr>
          <w:bCs/>
        </w:rPr>
        <w:tab/>
        <w:t>DALŠÍ INFORMACE</w:t>
      </w:r>
    </w:p>
    <w:p w:rsidR="00871F59" w:rsidRDefault="00871F59">
      <w:pPr>
        <w:rPr>
          <w:bCs/>
        </w:rPr>
      </w:pPr>
    </w:p>
    <w:p w:rsidR="00871F59" w:rsidRDefault="00871F59">
      <w:pPr>
        <w:rPr>
          <w:b w:val="0"/>
        </w:rPr>
      </w:pPr>
      <w:r>
        <w:rPr>
          <w:b w:val="0"/>
        </w:rPr>
        <w:t>Pouze pro zvířata.</w:t>
      </w:r>
    </w:p>
    <w:p w:rsidR="00871F59" w:rsidRDefault="00871F59">
      <w:pPr>
        <w:rPr>
          <w:b w:val="0"/>
        </w:rPr>
      </w:pPr>
    </w:p>
    <w:p w:rsidR="00871F59" w:rsidRDefault="00871F59">
      <w:pPr>
        <w:ind w:right="566"/>
        <w:rPr>
          <w:b w:val="0"/>
        </w:rPr>
      </w:pPr>
      <w:r>
        <w:rPr>
          <w:b w:val="0"/>
        </w:rPr>
        <w:t>Veterinární léčivý přípravek je vydáván pouze na předpis.</w:t>
      </w:r>
    </w:p>
    <w:p w:rsidR="00871F59" w:rsidRDefault="00871F59">
      <w:pPr>
        <w:ind w:right="566"/>
        <w:rPr>
          <w:bCs/>
          <w:i/>
          <w:iCs/>
        </w:rPr>
      </w:pPr>
    </w:p>
    <w:p w:rsidR="00871F59" w:rsidRDefault="00871F59">
      <w:pPr>
        <w:ind w:right="566"/>
        <w:rPr>
          <w:bCs/>
        </w:rPr>
      </w:pPr>
      <w:r>
        <w:rPr>
          <w:bCs/>
        </w:rPr>
        <w:t>LÉKOVÁ FORMA:</w:t>
      </w:r>
    </w:p>
    <w:p w:rsidR="00871F59" w:rsidRDefault="00871F59">
      <w:pPr>
        <w:ind w:right="566"/>
        <w:rPr>
          <w:b w:val="0"/>
        </w:rPr>
      </w:pPr>
    </w:p>
    <w:p w:rsidR="00D56D28" w:rsidRDefault="00D56D28" w:rsidP="00D56D28">
      <w:pPr>
        <w:rPr>
          <w:b w:val="0"/>
          <w:bCs/>
        </w:rPr>
      </w:pPr>
      <w:r>
        <w:rPr>
          <w:b w:val="0"/>
          <w:bCs/>
        </w:rPr>
        <w:t>Injekční suspenze</w:t>
      </w:r>
    </w:p>
    <w:p w:rsidR="00871F59" w:rsidRDefault="00871F59">
      <w:pPr>
        <w:ind w:right="566"/>
        <w:rPr>
          <w:b w:val="0"/>
        </w:rPr>
      </w:pPr>
    </w:p>
    <w:p w:rsidR="00871F59" w:rsidRDefault="00871F59">
      <w:pPr>
        <w:ind w:right="566"/>
        <w:rPr>
          <w:bCs/>
        </w:rPr>
      </w:pPr>
      <w:r>
        <w:rPr>
          <w:bCs/>
        </w:rPr>
        <w:t>VELIKOST BALENÍ:</w:t>
      </w:r>
    </w:p>
    <w:p w:rsidR="00871F59" w:rsidRDefault="00871F59">
      <w:pPr>
        <w:ind w:right="566"/>
        <w:rPr>
          <w:bCs/>
        </w:rPr>
      </w:pPr>
    </w:p>
    <w:p w:rsidR="003271E0" w:rsidRDefault="009534A9">
      <w:pPr>
        <w:ind w:right="566"/>
        <w:rPr>
          <w:b w:val="0"/>
        </w:rPr>
      </w:pPr>
      <w:r>
        <w:rPr>
          <w:b w:val="0"/>
        </w:rPr>
        <w:t>50 ml</w:t>
      </w:r>
    </w:p>
    <w:p w:rsidR="003271E0" w:rsidRDefault="009534A9">
      <w:pPr>
        <w:ind w:right="566"/>
        <w:rPr>
          <w:b w:val="0"/>
        </w:rPr>
      </w:pPr>
      <w:r>
        <w:rPr>
          <w:b w:val="0"/>
        </w:rPr>
        <w:t>100 ml</w:t>
      </w:r>
    </w:p>
    <w:p w:rsidR="00871F59" w:rsidRDefault="009534A9">
      <w:pPr>
        <w:ind w:right="566"/>
        <w:rPr>
          <w:b w:val="0"/>
        </w:rPr>
      </w:pPr>
      <w:r>
        <w:rPr>
          <w:b w:val="0"/>
        </w:rPr>
        <w:t>25</w:t>
      </w:r>
      <w:r w:rsidR="00871F59">
        <w:rPr>
          <w:b w:val="0"/>
        </w:rPr>
        <w:t>0 ml</w:t>
      </w:r>
    </w:p>
    <w:p w:rsidR="00871F59" w:rsidRDefault="00871F59">
      <w:pPr>
        <w:ind w:right="566"/>
        <w:rPr>
          <w:b w:val="0"/>
        </w:rPr>
      </w:pPr>
    </w:p>
    <w:p w:rsidR="009534A9" w:rsidRDefault="00871F59" w:rsidP="009534A9">
      <w:pPr>
        <w:rPr>
          <w:b w:val="0"/>
        </w:rPr>
      </w:pPr>
      <w:r>
        <w:t xml:space="preserve">Registrační </w:t>
      </w:r>
      <w:bookmarkStart w:id="0" w:name="_GoBack"/>
      <w:bookmarkEnd w:id="0"/>
      <w:r>
        <w:t xml:space="preserve">číslo přípravku: </w:t>
      </w:r>
      <w:r w:rsidR="009534A9">
        <w:rPr>
          <w:b w:val="0"/>
        </w:rPr>
        <w:t>96/514/94-C</w:t>
      </w:r>
    </w:p>
    <w:p w:rsidR="008B5D04" w:rsidRDefault="008B5D04" w:rsidP="008B5D04">
      <w:pPr>
        <w:rPr>
          <w:b w:val="0"/>
        </w:rPr>
      </w:pPr>
    </w:p>
    <w:p w:rsidR="00871F59" w:rsidRPr="00563922" w:rsidRDefault="00871F59">
      <w:pPr>
        <w:jc w:val="both"/>
        <w:rPr>
          <w:b w:val="0"/>
          <w:sz w:val="24"/>
        </w:rPr>
      </w:pPr>
      <w:r w:rsidRPr="00563922">
        <w:rPr>
          <w:b w:val="0"/>
          <w:sz w:val="24"/>
        </w:rPr>
        <w:t>POUZE PRO VETERINÁRNÍ POUŽITÍ</w:t>
      </w:r>
    </w:p>
    <w:p w:rsidR="00871F59" w:rsidRDefault="00871F59">
      <w:pPr>
        <w:ind w:right="566"/>
        <w:rPr>
          <w:bCs/>
          <w:i/>
          <w:iCs/>
        </w:rPr>
      </w:pPr>
    </w:p>
    <w:p w:rsidR="00871F59" w:rsidRDefault="00871F59">
      <w:pPr>
        <w:ind w:right="566"/>
        <w:rPr>
          <w:bCs/>
        </w:rPr>
      </w:pPr>
      <w:r>
        <w:rPr>
          <w:bCs/>
        </w:rPr>
        <w:t>EXSPIRACE:</w:t>
      </w:r>
      <w:r w:rsidR="003271E0">
        <w:rPr>
          <w:bCs/>
        </w:rPr>
        <w:t xml:space="preserve"> </w:t>
      </w:r>
      <w:r w:rsidR="003271E0" w:rsidRPr="00563922">
        <w:rPr>
          <w:b w:val="0"/>
          <w:bCs/>
        </w:rPr>
        <w:t>{měsíc/rok}</w:t>
      </w:r>
    </w:p>
    <w:p w:rsidR="00871F59" w:rsidRDefault="00871F59">
      <w:pPr>
        <w:ind w:right="566"/>
        <w:rPr>
          <w:bCs/>
        </w:rPr>
      </w:pPr>
    </w:p>
    <w:p w:rsidR="00871F59" w:rsidRDefault="00871F59">
      <w:pPr>
        <w:ind w:right="566"/>
        <w:rPr>
          <w:bCs/>
        </w:rPr>
      </w:pPr>
      <w:r>
        <w:rPr>
          <w:bCs/>
        </w:rPr>
        <w:t>Č. ŠARŽE:</w:t>
      </w:r>
      <w:r w:rsidR="003271E0">
        <w:rPr>
          <w:bCs/>
        </w:rPr>
        <w:t xml:space="preserve"> </w:t>
      </w:r>
      <w:r w:rsidR="003271E0" w:rsidRPr="00563922">
        <w:rPr>
          <w:b w:val="0"/>
          <w:bCs/>
        </w:rPr>
        <w:t>{číslo}</w:t>
      </w:r>
    </w:p>
    <w:sectPr w:rsidR="00871F59" w:rsidSect="00FD3BD1">
      <w:footerReference w:type="default" r:id="rId9"/>
      <w:footerReference w:type="first" r:id="rId10"/>
      <w:pgSz w:w="11918" w:h="16840" w:code="9"/>
      <w:pgMar w:top="567" w:right="851" w:bottom="567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8F" w:rsidRDefault="0033168F">
      <w:r>
        <w:separator/>
      </w:r>
    </w:p>
  </w:endnote>
  <w:endnote w:type="continuationSeparator" w:id="0">
    <w:p w:rsidR="0033168F" w:rsidRDefault="0033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59" w:rsidRDefault="00871F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871F59" w:rsidRDefault="00871F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A2AE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59" w:rsidRDefault="00871F59">
    <w:pPr>
      <w:pStyle w:val="Zpat"/>
      <w:tabs>
        <w:tab w:val="clear" w:pos="8930"/>
        <w:tab w:val="right" w:pos="8931"/>
      </w:tabs>
    </w:pPr>
  </w:p>
  <w:p w:rsidR="00871F59" w:rsidRDefault="00871F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A2A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8F" w:rsidRDefault="0033168F">
      <w:r>
        <w:separator/>
      </w:r>
    </w:p>
  </w:footnote>
  <w:footnote w:type="continuationSeparator" w:id="0">
    <w:p w:rsidR="0033168F" w:rsidRDefault="0033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C013F"/>
    <w:multiLevelType w:val="hybridMultilevel"/>
    <w:tmpl w:val="D870C0DC"/>
    <w:lvl w:ilvl="0" w:tplc="FFFFFFFF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0">
    <w:nsid w:val="3558352E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7">
    <w:nsid w:val="5B591D47"/>
    <w:multiLevelType w:val="hybridMultilevel"/>
    <w:tmpl w:val="E8ACA836"/>
    <w:lvl w:ilvl="0" w:tplc="FFFFFFFF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92DC0"/>
    <w:multiLevelType w:val="hybridMultilevel"/>
    <w:tmpl w:val="B0380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77C2D"/>
    <w:multiLevelType w:val="hybridMultilevel"/>
    <w:tmpl w:val="37E4A0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2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11"/>
  </w:num>
  <w:num w:numId="13">
    <w:abstractNumId w:val="9"/>
  </w:num>
  <w:num w:numId="14">
    <w:abstractNumId w:val="2"/>
  </w:num>
  <w:num w:numId="15">
    <w:abstractNumId w:val="19"/>
  </w:num>
  <w:num w:numId="16">
    <w:abstractNumId w:val="13"/>
  </w:num>
  <w:num w:numId="17">
    <w:abstractNumId w:val="24"/>
  </w:num>
  <w:num w:numId="18">
    <w:abstractNumId w:val="6"/>
  </w:num>
  <w:num w:numId="19">
    <w:abstractNumId w:val="1"/>
  </w:num>
  <w:num w:numId="20">
    <w:abstractNumId w:val="12"/>
  </w:num>
  <w:num w:numId="21">
    <w:abstractNumId w:val="3"/>
  </w:num>
  <w:num w:numId="22">
    <w:abstractNumId w:val="4"/>
  </w:num>
  <w:num w:numId="23">
    <w:abstractNumId w:val="16"/>
  </w:num>
  <w:num w:numId="24">
    <w:abstractNumId w:val="7"/>
  </w:num>
  <w:num w:numId="25">
    <w:abstractNumId w:val="25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93"/>
    <w:rsid w:val="000403DA"/>
    <w:rsid w:val="0005375E"/>
    <w:rsid w:val="000B4B03"/>
    <w:rsid w:val="000B674A"/>
    <w:rsid w:val="000C275D"/>
    <w:rsid w:val="000F6A70"/>
    <w:rsid w:val="001372FE"/>
    <w:rsid w:val="00172729"/>
    <w:rsid w:val="00192DAF"/>
    <w:rsid w:val="001A61B9"/>
    <w:rsid w:val="001B10E3"/>
    <w:rsid w:val="001B6CAF"/>
    <w:rsid w:val="001F207A"/>
    <w:rsid w:val="001F2127"/>
    <w:rsid w:val="002C2BCA"/>
    <w:rsid w:val="002F0F87"/>
    <w:rsid w:val="003271E0"/>
    <w:rsid w:val="0033168F"/>
    <w:rsid w:val="00384342"/>
    <w:rsid w:val="003A6E93"/>
    <w:rsid w:val="003B75D0"/>
    <w:rsid w:val="00403B22"/>
    <w:rsid w:val="00411B44"/>
    <w:rsid w:val="00470D77"/>
    <w:rsid w:val="004F7914"/>
    <w:rsid w:val="00525D7E"/>
    <w:rsid w:val="00542B20"/>
    <w:rsid w:val="00563922"/>
    <w:rsid w:val="00576C06"/>
    <w:rsid w:val="00585B91"/>
    <w:rsid w:val="005B6A99"/>
    <w:rsid w:val="00601022"/>
    <w:rsid w:val="00604A1F"/>
    <w:rsid w:val="0060611D"/>
    <w:rsid w:val="00615E94"/>
    <w:rsid w:val="00621D83"/>
    <w:rsid w:val="00650F29"/>
    <w:rsid w:val="00651C4C"/>
    <w:rsid w:val="0069367D"/>
    <w:rsid w:val="006B67D2"/>
    <w:rsid w:val="00757879"/>
    <w:rsid w:val="00767046"/>
    <w:rsid w:val="00784979"/>
    <w:rsid w:val="007947D4"/>
    <w:rsid w:val="007F267C"/>
    <w:rsid w:val="00800D73"/>
    <w:rsid w:val="00806D87"/>
    <w:rsid w:val="00834A49"/>
    <w:rsid w:val="00837D5A"/>
    <w:rsid w:val="008404CF"/>
    <w:rsid w:val="0084139C"/>
    <w:rsid w:val="0085478A"/>
    <w:rsid w:val="00871F59"/>
    <w:rsid w:val="008850AE"/>
    <w:rsid w:val="008B5D04"/>
    <w:rsid w:val="008E7507"/>
    <w:rsid w:val="00902A3F"/>
    <w:rsid w:val="00910F08"/>
    <w:rsid w:val="00952A24"/>
    <w:rsid w:val="009534A9"/>
    <w:rsid w:val="00975C7A"/>
    <w:rsid w:val="009C57D2"/>
    <w:rsid w:val="009D49A4"/>
    <w:rsid w:val="00A0549A"/>
    <w:rsid w:val="00A20339"/>
    <w:rsid w:val="00A20A6A"/>
    <w:rsid w:val="00A2125A"/>
    <w:rsid w:val="00A33309"/>
    <w:rsid w:val="00A3513E"/>
    <w:rsid w:val="00A50B1D"/>
    <w:rsid w:val="00A50F45"/>
    <w:rsid w:val="00AE3DFB"/>
    <w:rsid w:val="00B2683F"/>
    <w:rsid w:val="00B5768A"/>
    <w:rsid w:val="00B73A76"/>
    <w:rsid w:val="00B85112"/>
    <w:rsid w:val="00B85176"/>
    <w:rsid w:val="00B961E5"/>
    <w:rsid w:val="00C35ECA"/>
    <w:rsid w:val="00C4766A"/>
    <w:rsid w:val="00C64D52"/>
    <w:rsid w:val="00C762CE"/>
    <w:rsid w:val="00C8381C"/>
    <w:rsid w:val="00C96BC8"/>
    <w:rsid w:val="00CC5DFC"/>
    <w:rsid w:val="00CF15EF"/>
    <w:rsid w:val="00D52AE1"/>
    <w:rsid w:val="00D56D28"/>
    <w:rsid w:val="00D76F7F"/>
    <w:rsid w:val="00DB2AFE"/>
    <w:rsid w:val="00DE1514"/>
    <w:rsid w:val="00E32F7A"/>
    <w:rsid w:val="00E65A3E"/>
    <w:rsid w:val="00E71329"/>
    <w:rsid w:val="00E8725B"/>
    <w:rsid w:val="00E920D9"/>
    <w:rsid w:val="00EA0BE0"/>
    <w:rsid w:val="00EA2AE7"/>
    <w:rsid w:val="00F00D86"/>
    <w:rsid w:val="00F12EB7"/>
    <w:rsid w:val="00F415F6"/>
    <w:rsid w:val="00F735F3"/>
    <w:rsid w:val="00FC780A"/>
    <w:rsid w:val="00FD3BD1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 w:val="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pPr>
      <w:numPr>
        <w:numId w:val="2"/>
      </w:numPr>
    </w:pPr>
    <w:rPr>
      <w:b w:val="0"/>
      <w:szCs w:val="20"/>
      <w:lang w:eastAsia="en-US"/>
    </w:rPr>
  </w:style>
  <w:style w:type="paragraph" w:styleId="Zkladntext">
    <w:name w:val="Body Text"/>
    <w:basedOn w:val="Normln"/>
    <w:link w:val="ZkladntextChar"/>
    <w:semiHidden/>
    <w:rPr>
      <w:b w:val="0"/>
      <w:bCs/>
    </w:rPr>
  </w:style>
  <w:style w:type="paragraph" w:styleId="Zkladntext2">
    <w:name w:val="Body Text 2"/>
    <w:basedOn w:val="Normln"/>
    <w:link w:val="Zkladntext2Char"/>
    <w:semiHidden/>
    <w:pPr>
      <w:ind w:right="-318"/>
    </w:pPr>
    <w:rPr>
      <w:b w:val="0"/>
    </w:rPr>
  </w:style>
  <w:style w:type="paragraph" w:styleId="Zpat">
    <w:name w:val="footer"/>
    <w:basedOn w:val="Normln"/>
    <w:semiHidden/>
    <w:pPr>
      <w:tabs>
        <w:tab w:val="center" w:pos="4536"/>
        <w:tab w:val="center" w:pos="8930"/>
      </w:tabs>
      <w:ind w:left="567" w:hanging="567"/>
    </w:pPr>
    <w:rPr>
      <w:rFonts w:ascii="Helvetica" w:hAnsi="Helvetica"/>
      <w:b w:val="0"/>
      <w:sz w:val="16"/>
      <w:szCs w:val="20"/>
      <w:lang w:eastAsia="en-US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customStyle="1" w:styleId="StandardohneAbstand">
    <w:name w:val="Standard ohne Abstand"/>
    <w:basedOn w:val="Normln"/>
    <w:pPr>
      <w:keepNext/>
      <w:keepLines/>
      <w:tabs>
        <w:tab w:val="left" w:pos="720"/>
      </w:tabs>
    </w:pPr>
    <w:rPr>
      <w:rFonts w:ascii="Arial" w:hAnsi="Arial"/>
      <w:b w:val="0"/>
      <w:sz w:val="24"/>
      <w:szCs w:val="20"/>
      <w:lang w:val="en-GB"/>
    </w:rPr>
  </w:style>
  <w:style w:type="paragraph" w:styleId="Textvbloku">
    <w:name w:val="Block Text"/>
    <w:basedOn w:val="Normln"/>
    <w:semiHidden/>
    <w:pPr>
      <w:ind w:left="3540" w:right="-286"/>
    </w:pPr>
    <w:rPr>
      <w:b w:val="0"/>
      <w:sz w:val="24"/>
    </w:rPr>
  </w:style>
  <w:style w:type="paragraph" w:styleId="Textvysvtlivek">
    <w:name w:val="endnote text"/>
    <w:basedOn w:val="Normln"/>
    <w:link w:val="TextvysvtlivekChar"/>
    <w:semiHidden/>
    <w:rsid w:val="0085478A"/>
    <w:pPr>
      <w:ind w:left="567" w:hanging="567"/>
    </w:pPr>
    <w:rPr>
      <w:b w:val="0"/>
      <w:szCs w:val="20"/>
      <w:lang w:eastAsia="en-US"/>
    </w:rPr>
  </w:style>
  <w:style w:type="character" w:customStyle="1" w:styleId="TextvysvtlivekChar">
    <w:name w:val="Text vysvětlivek Char"/>
    <w:link w:val="Textvysvtlivek"/>
    <w:semiHidden/>
    <w:rsid w:val="0085478A"/>
    <w:rPr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47D4"/>
    <w:rPr>
      <w:rFonts w:ascii="Tahoma" w:hAnsi="Tahoma" w:cs="Tahoma"/>
      <w:b/>
      <w:sz w:val="16"/>
      <w:szCs w:val="16"/>
    </w:rPr>
  </w:style>
  <w:style w:type="character" w:customStyle="1" w:styleId="Zkladntext2Char">
    <w:name w:val="Základní text 2 Char"/>
    <w:link w:val="Zkladntext2"/>
    <w:semiHidden/>
    <w:rsid w:val="003271E0"/>
    <w:rPr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B4B0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0B4B03"/>
    <w:rPr>
      <w:b/>
      <w:sz w:val="22"/>
      <w:szCs w:val="24"/>
    </w:rPr>
  </w:style>
  <w:style w:type="character" w:customStyle="1" w:styleId="ZkladntextChar">
    <w:name w:val="Základní text Char"/>
    <w:link w:val="Zkladntext"/>
    <w:semiHidden/>
    <w:rsid w:val="000B4B03"/>
    <w:rPr>
      <w:bCs/>
      <w:sz w:val="22"/>
      <w:szCs w:val="24"/>
    </w:rPr>
  </w:style>
  <w:style w:type="character" w:customStyle="1" w:styleId="Nadpis2Char">
    <w:name w:val="Nadpis 2 Char"/>
    <w:link w:val="Nadpis2"/>
    <w:rsid w:val="000B4B03"/>
    <w:rPr>
      <w:b/>
      <w:bCs/>
      <w:sz w:val="22"/>
      <w:szCs w:val="24"/>
    </w:rPr>
  </w:style>
  <w:style w:type="character" w:styleId="Odkaznakoment">
    <w:name w:val="annotation reference"/>
    <w:semiHidden/>
    <w:unhideWhenUsed/>
    <w:rsid w:val="00C64D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4D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4D52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D52"/>
    <w:rPr>
      <w:bCs/>
    </w:rPr>
  </w:style>
  <w:style w:type="character" w:customStyle="1" w:styleId="PedmtkomenteChar">
    <w:name w:val="Předmět komentáře Char"/>
    <w:link w:val="Pedmtkomente"/>
    <w:uiPriority w:val="99"/>
    <w:semiHidden/>
    <w:rsid w:val="00C64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 w:val="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pPr>
      <w:numPr>
        <w:numId w:val="2"/>
      </w:numPr>
    </w:pPr>
    <w:rPr>
      <w:b w:val="0"/>
      <w:szCs w:val="20"/>
      <w:lang w:eastAsia="en-US"/>
    </w:rPr>
  </w:style>
  <w:style w:type="paragraph" w:styleId="Zkladntext">
    <w:name w:val="Body Text"/>
    <w:basedOn w:val="Normln"/>
    <w:link w:val="ZkladntextChar"/>
    <w:semiHidden/>
    <w:rPr>
      <w:b w:val="0"/>
      <w:bCs/>
    </w:rPr>
  </w:style>
  <w:style w:type="paragraph" w:styleId="Zkladntext2">
    <w:name w:val="Body Text 2"/>
    <w:basedOn w:val="Normln"/>
    <w:link w:val="Zkladntext2Char"/>
    <w:semiHidden/>
    <w:pPr>
      <w:ind w:right="-318"/>
    </w:pPr>
    <w:rPr>
      <w:b w:val="0"/>
    </w:rPr>
  </w:style>
  <w:style w:type="paragraph" w:styleId="Zpat">
    <w:name w:val="footer"/>
    <w:basedOn w:val="Normln"/>
    <w:semiHidden/>
    <w:pPr>
      <w:tabs>
        <w:tab w:val="center" w:pos="4536"/>
        <w:tab w:val="center" w:pos="8930"/>
      </w:tabs>
      <w:ind w:left="567" w:hanging="567"/>
    </w:pPr>
    <w:rPr>
      <w:rFonts w:ascii="Helvetica" w:hAnsi="Helvetica"/>
      <w:b w:val="0"/>
      <w:sz w:val="16"/>
      <w:szCs w:val="20"/>
      <w:lang w:eastAsia="en-US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customStyle="1" w:styleId="StandardohneAbstand">
    <w:name w:val="Standard ohne Abstand"/>
    <w:basedOn w:val="Normln"/>
    <w:pPr>
      <w:keepNext/>
      <w:keepLines/>
      <w:tabs>
        <w:tab w:val="left" w:pos="720"/>
      </w:tabs>
    </w:pPr>
    <w:rPr>
      <w:rFonts w:ascii="Arial" w:hAnsi="Arial"/>
      <w:b w:val="0"/>
      <w:sz w:val="24"/>
      <w:szCs w:val="20"/>
      <w:lang w:val="en-GB"/>
    </w:rPr>
  </w:style>
  <w:style w:type="paragraph" w:styleId="Textvbloku">
    <w:name w:val="Block Text"/>
    <w:basedOn w:val="Normln"/>
    <w:semiHidden/>
    <w:pPr>
      <w:ind w:left="3540" w:right="-286"/>
    </w:pPr>
    <w:rPr>
      <w:b w:val="0"/>
      <w:sz w:val="24"/>
    </w:rPr>
  </w:style>
  <w:style w:type="paragraph" w:styleId="Textvysvtlivek">
    <w:name w:val="endnote text"/>
    <w:basedOn w:val="Normln"/>
    <w:link w:val="TextvysvtlivekChar"/>
    <w:semiHidden/>
    <w:rsid w:val="0085478A"/>
    <w:pPr>
      <w:ind w:left="567" w:hanging="567"/>
    </w:pPr>
    <w:rPr>
      <w:b w:val="0"/>
      <w:szCs w:val="20"/>
      <w:lang w:eastAsia="en-US"/>
    </w:rPr>
  </w:style>
  <w:style w:type="character" w:customStyle="1" w:styleId="TextvysvtlivekChar">
    <w:name w:val="Text vysvětlivek Char"/>
    <w:link w:val="Textvysvtlivek"/>
    <w:semiHidden/>
    <w:rsid w:val="0085478A"/>
    <w:rPr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47D4"/>
    <w:rPr>
      <w:rFonts w:ascii="Tahoma" w:hAnsi="Tahoma" w:cs="Tahoma"/>
      <w:b/>
      <w:sz w:val="16"/>
      <w:szCs w:val="16"/>
    </w:rPr>
  </w:style>
  <w:style w:type="character" w:customStyle="1" w:styleId="Zkladntext2Char">
    <w:name w:val="Základní text 2 Char"/>
    <w:link w:val="Zkladntext2"/>
    <w:semiHidden/>
    <w:rsid w:val="003271E0"/>
    <w:rPr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B4B0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0B4B03"/>
    <w:rPr>
      <w:b/>
      <w:sz w:val="22"/>
      <w:szCs w:val="24"/>
    </w:rPr>
  </w:style>
  <w:style w:type="character" w:customStyle="1" w:styleId="ZkladntextChar">
    <w:name w:val="Základní text Char"/>
    <w:link w:val="Zkladntext"/>
    <w:semiHidden/>
    <w:rsid w:val="000B4B03"/>
    <w:rPr>
      <w:bCs/>
      <w:sz w:val="22"/>
      <w:szCs w:val="24"/>
    </w:rPr>
  </w:style>
  <w:style w:type="character" w:customStyle="1" w:styleId="Nadpis2Char">
    <w:name w:val="Nadpis 2 Char"/>
    <w:link w:val="Nadpis2"/>
    <w:rsid w:val="000B4B03"/>
    <w:rPr>
      <w:b/>
      <w:bCs/>
      <w:sz w:val="22"/>
      <w:szCs w:val="24"/>
    </w:rPr>
  </w:style>
  <w:style w:type="character" w:styleId="Odkaznakoment">
    <w:name w:val="annotation reference"/>
    <w:semiHidden/>
    <w:unhideWhenUsed/>
    <w:rsid w:val="00C64D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4D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4D52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D52"/>
    <w:rPr>
      <w:bCs/>
    </w:rPr>
  </w:style>
  <w:style w:type="character" w:customStyle="1" w:styleId="PedmtkomenteChar">
    <w:name w:val="Předmět komentáře Char"/>
    <w:link w:val="Pedmtkomente"/>
    <w:uiPriority w:val="99"/>
    <w:semiHidden/>
    <w:rsid w:val="00C6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A2A0-672F-4285-AA26-F867458A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Samohýl a spol., v.o.s.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 Petráš</dc:creator>
  <cp:lastModifiedBy>Suchý Josef</cp:lastModifiedBy>
  <cp:revision>5</cp:revision>
  <cp:lastPrinted>2015-09-24T05:41:00Z</cp:lastPrinted>
  <dcterms:created xsi:type="dcterms:W3CDTF">2018-04-12T14:24:00Z</dcterms:created>
  <dcterms:modified xsi:type="dcterms:W3CDTF">2018-04-25T12:36:00Z</dcterms:modified>
</cp:coreProperties>
</file>