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84" w:rsidRDefault="00554D84" w:rsidP="00522A64">
      <w:pPr>
        <w:jc w:val="both"/>
        <w:rPr>
          <w:bCs/>
        </w:rPr>
      </w:pPr>
    </w:p>
    <w:p w:rsidR="00B53127" w:rsidRDefault="00B53127" w:rsidP="00522A64">
      <w:pPr>
        <w:jc w:val="both"/>
        <w:rPr>
          <w:bCs/>
        </w:rPr>
      </w:pPr>
    </w:p>
    <w:p w:rsidR="00B53127" w:rsidRDefault="00B53127" w:rsidP="00522A64">
      <w:pPr>
        <w:jc w:val="both"/>
        <w:rPr>
          <w:bCs/>
        </w:rPr>
      </w:pPr>
    </w:p>
    <w:p w:rsidR="00B53127" w:rsidRPr="00F30D3F" w:rsidRDefault="00B53127" w:rsidP="00522A64">
      <w:pPr>
        <w:jc w:val="both"/>
        <w:rPr>
          <w:bCs/>
        </w:rPr>
      </w:pPr>
    </w:p>
    <w:p w:rsidR="00554D84" w:rsidRPr="00F30D3F" w:rsidRDefault="00554D84" w:rsidP="006C4941">
      <w:pPr>
        <w:jc w:val="center"/>
        <w:rPr>
          <w:bCs/>
        </w:rPr>
      </w:pPr>
    </w:p>
    <w:p w:rsidR="00554D84" w:rsidRPr="00F30D3F" w:rsidRDefault="00554D84" w:rsidP="006C4941">
      <w:pPr>
        <w:jc w:val="center"/>
        <w:rPr>
          <w:bCs/>
        </w:rPr>
      </w:pPr>
    </w:p>
    <w:p w:rsidR="00554D84" w:rsidRPr="00F30D3F" w:rsidRDefault="00554D84" w:rsidP="006C4941">
      <w:pPr>
        <w:jc w:val="center"/>
        <w:rPr>
          <w:bCs/>
        </w:rPr>
      </w:pPr>
    </w:p>
    <w:p w:rsidR="00554D84" w:rsidRPr="00F30D3F" w:rsidRDefault="00554D84" w:rsidP="006C4941">
      <w:pPr>
        <w:jc w:val="center"/>
        <w:rPr>
          <w:bCs/>
        </w:rPr>
      </w:pPr>
    </w:p>
    <w:p w:rsidR="00554D84" w:rsidRPr="00F30D3F" w:rsidRDefault="00554D84" w:rsidP="006C4941">
      <w:pPr>
        <w:jc w:val="center"/>
        <w:rPr>
          <w:bCs/>
        </w:rPr>
      </w:pPr>
    </w:p>
    <w:p w:rsidR="00554D84" w:rsidRPr="00F30D3F" w:rsidRDefault="00554D84" w:rsidP="006C4941">
      <w:pPr>
        <w:jc w:val="center"/>
        <w:rPr>
          <w:bCs/>
        </w:rPr>
      </w:pPr>
    </w:p>
    <w:p w:rsidR="00554D84" w:rsidRPr="00F30D3F" w:rsidRDefault="00554D84" w:rsidP="006C4941">
      <w:pPr>
        <w:jc w:val="center"/>
        <w:rPr>
          <w:bCs/>
        </w:rPr>
      </w:pPr>
    </w:p>
    <w:p w:rsidR="00554D84" w:rsidRPr="00F30D3F" w:rsidRDefault="00554D84" w:rsidP="006C4941">
      <w:pPr>
        <w:jc w:val="center"/>
        <w:rPr>
          <w:bCs/>
        </w:rPr>
      </w:pPr>
    </w:p>
    <w:p w:rsidR="00554D84" w:rsidRPr="00F30D3F" w:rsidRDefault="00554D84" w:rsidP="006C4941">
      <w:pPr>
        <w:jc w:val="center"/>
        <w:rPr>
          <w:bCs/>
        </w:rPr>
      </w:pPr>
    </w:p>
    <w:p w:rsidR="00554D84" w:rsidRPr="00F30D3F" w:rsidRDefault="00554D84" w:rsidP="006C4941">
      <w:pPr>
        <w:jc w:val="center"/>
        <w:rPr>
          <w:bCs/>
        </w:rPr>
      </w:pPr>
    </w:p>
    <w:p w:rsidR="00554D84" w:rsidRPr="00F30D3F" w:rsidRDefault="00554D84" w:rsidP="006C4941">
      <w:pPr>
        <w:jc w:val="center"/>
        <w:rPr>
          <w:bCs/>
        </w:rPr>
      </w:pPr>
    </w:p>
    <w:p w:rsidR="00554D84" w:rsidRPr="00F30D3F" w:rsidRDefault="00554D84" w:rsidP="006C4941">
      <w:pPr>
        <w:jc w:val="center"/>
        <w:rPr>
          <w:bCs/>
        </w:rPr>
      </w:pPr>
    </w:p>
    <w:p w:rsidR="00554D84" w:rsidRPr="00F30D3F" w:rsidRDefault="00554D84" w:rsidP="006C4941">
      <w:pPr>
        <w:jc w:val="center"/>
        <w:rPr>
          <w:bCs/>
        </w:rPr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jc w:val="center"/>
      </w:pPr>
    </w:p>
    <w:p w:rsidR="00554D84" w:rsidRPr="00F30D3F" w:rsidRDefault="00554D84" w:rsidP="006C4941">
      <w:pPr>
        <w:jc w:val="center"/>
      </w:pPr>
    </w:p>
    <w:p w:rsidR="00554D84" w:rsidRPr="00F30D3F" w:rsidRDefault="00554D84" w:rsidP="006C4941">
      <w:pPr>
        <w:jc w:val="center"/>
      </w:pPr>
    </w:p>
    <w:p w:rsidR="00554D84" w:rsidRPr="00F30D3F" w:rsidRDefault="00554D84" w:rsidP="006C4941">
      <w:pPr>
        <w:jc w:val="center"/>
      </w:pPr>
    </w:p>
    <w:p w:rsidR="00554D84" w:rsidRPr="00F30D3F" w:rsidRDefault="00554D84" w:rsidP="000A6B2C">
      <w:pPr>
        <w:ind w:right="113"/>
        <w:jc w:val="center"/>
      </w:pPr>
      <w:r w:rsidRPr="00F30D3F">
        <w:rPr>
          <w:b/>
        </w:rPr>
        <w:t>B. PŘÍBALOVÁ INFORMACE</w:t>
      </w:r>
    </w:p>
    <w:p w:rsidR="00554D84" w:rsidRPr="00F30D3F" w:rsidRDefault="00554D84" w:rsidP="008E2455">
      <w:pPr>
        <w:jc w:val="center"/>
      </w:pPr>
      <w:r w:rsidRPr="00F30D3F">
        <w:br w:type="page"/>
      </w:r>
      <w:r w:rsidRPr="00445529">
        <w:rPr>
          <w:b/>
        </w:rPr>
        <w:lastRenderedPageBreak/>
        <w:t>PŘÍBALOVÁ INFORMACE</w:t>
      </w:r>
      <w:r w:rsidR="00B230BC" w:rsidRPr="00445529">
        <w:rPr>
          <w:b/>
        </w:rPr>
        <w:t xml:space="preserve"> PRO</w:t>
      </w:r>
      <w:r w:rsidR="00CF421C" w:rsidRPr="00445529">
        <w:rPr>
          <w:b/>
        </w:rPr>
        <w:t>:</w:t>
      </w:r>
    </w:p>
    <w:p w:rsidR="006F64E7" w:rsidRPr="008E2455" w:rsidRDefault="006F64E7" w:rsidP="008E2455">
      <w:pPr>
        <w:ind w:left="0" w:firstLine="0"/>
        <w:jc w:val="center"/>
        <w:rPr>
          <w:b/>
        </w:rPr>
      </w:pPr>
      <w:r w:rsidRPr="008E2455">
        <w:rPr>
          <w:b/>
        </w:rPr>
        <w:t>RELOSYL 50 µg/ml injekční roztok pro skot</w:t>
      </w:r>
    </w:p>
    <w:p w:rsidR="00554D84" w:rsidRPr="005E376A" w:rsidRDefault="00554D84" w:rsidP="00522A64">
      <w:pPr>
        <w:ind w:left="0" w:firstLine="0"/>
        <w:jc w:val="both"/>
        <w:rPr>
          <w:b/>
        </w:rPr>
      </w:pPr>
    </w:p>
    <w:p w:rsidR="00554D84" w:rsidRPr="00F30D3F" w:rsidRDefault="00554D84" w:rsidP="00522A64">
      <w:pPr>
        <w:jc w:val="both"/>
        <w:rPr>
          <w:b/>
        </w:rPr>
      </w:pPr>
      <w:r w:rsidRPr="006B7975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:rsidR="00554D84" w:rsidRPr="00F467E9" w:rsidRDefault="00554D84" w:rsidP="00522A64">
      <w:pPr>
        <w:jc w:val="both"/>
      </w:pPr>
    </w:p>
    <w:p w:rsidR="00554D84" w:rsidRPr="00F30D3F" w:rsidRDefault="00554D84" w:rsidP="00522A64">
      <w:pPr>
        <w:jc w:val="both"/>
        <w:rPr>
          <w:iCs/>
        </w:rPr>
      </w:pPr>
      <w:r w:rsidRPr="00F30D3F">
        <w:rPr>
          <w:iCs/>
          <w:u w:val="single"/>
        </w:rPr>
        <w:t>D</w:t>
      </w:r>
      <w:r w:rsidR="003E408E">
        <w:rPr>
          <w:iCs/>
          <w:u w:val="single"/>
        </w:rPr>
        <w:t xml:space="preserve">ržitel rozhodnutí o registraci </w:t>
      </w:r>
      <w:r w:rsidRPr="00F30D3F">
        <w:rPr>
          <w:iCs/>
          <w:u w:val="single"/>
        </w:rPr>
        <w:t>a výrobce</w:t>
      </w:r>
      <w:r w:rsidR="00ED08CE" w:rsidRPr="00F30D3F">
        <w:rPr>
          <w:iCs/>
          <w:u w:val="single"/>
        </w:rPr>
        <w:t xml:space="preserve"> odpovědný za uvolnění šarže</w:t>
      </w:r>
      <w:r w:rsidRPr="00F30D3F">
        <w:rPr>
          <w:iCs/>
        </w:rPr>
        <w:t>:</w:t>
      </w:r>
    </w:p>
    <w:p w:rsidR="003E408E" w:rsidRDefault="003E408E" w:rsidP="00522A64">
      <w:pPr>
        <w:ind w:left="0" w:firstLine="0"/>
        <w:jc w:val="both"/>
      </w:pPr>
      <w:r w:rsidRPr="00C94585">
        <w:t>Laboratorios SYVA S.A.U.</w:t>
      </w:r>
    </w:p>
    <w:p w:rsidR="003E408E" w:rsidRDefault="003E408E" w:rsidP="00522A64">
      <w:pPr>
        <w:ind w:left="0" w:firstLine="0"/>
        <w:jc w:val="both"/>
      </w:pPr>
      <w:r>
        <w:t>Avda. Párroco Pablo Díez 49-57,</w:t>
      </w:r>
    </w:p>
    <w:p w:rsidR="003E408E" w:rsidRPr="00F75554" w:rsidRDefault="003E408E" w:rsidP="00522A64">
      <w:pPr>
        <w:ind w:left="0" w:firstLine="0"/>
        <w:jc w:val="both"/>
      </w:pPr>
      <w:r w:rsidRPr="00C94585">
        <w:t xml:space="preserve">24010 Leon, </w:t>
      </w:r>
      <w:r>
        <w:t>Španělsko</w:t>
      </w:r>
    </w:p>
    <w:p w:rsidR="00554D84" w:rsidRPr="00F30D3F" w:rsidRDefault="00554D84" w:rsidP="00522A64">
      <w:pPr>
        <w:jc w:val="both"/>
      </w:pPr>
    </w:p>
    <w:p w:rsidR="00554D84" w:rsidRPr="00F30D3F" w:rsidRDefault="00554D84" w:rsidP="00522A64">
      <w:pPr>
        <w:jc w:val="both"/>
        <w:rPr>
          <w:b/>
        </w:rPr>
      </w:pPr>
      <w:r w:rsidRPr="006B7975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:rsidR="00554D84" w:rsidRPr="00F30D3F" w:rsidRDefault="00554D84" w:rsidP="00522A64">
      <w:pPr>
        <w:ind w:left="0" w:firstLine="0"/>
        <w:jc w:val="both"/>
      </w:pPr>
    </w:p>
    <w:p w:rsidR="003E408E" w:rsidRDefault="003E408E" w:rsidP="00522A64">
      <w:pPr>
        <w:ind w:left="0" w:firstLine="0"/>
        <w:jc w:val="both"/>
      </w:pPr>
      <w:r>
        <w:t>RELOSYL</w:t>
      </w:r>
      <w:r w:rsidRPr="00437F6F">
        <w:t xml:space="preserve"> 50 µg/ml</w:t>
      </w:r>
      <w:r>
        <w:t xml:space="preserve"> </w:t>
      </w:r>
      <w:r w:rsidRPr="00437F6F">
        <w:t>injekční roztok pro skot</w:t>
      </w:r>
    </w:p>
    <w:p w:rsidR="003E408E" w:rsidRPr="00F75554" w:rsidRDefault="003E408E" w:rsidP="00522A64">
      <w:pPr>
        <w:ind w:left="0" w:firstLine="0"/>
        <w:jc w:val="both"/>
      </w:pPr>
      <w:r>
        <w:t>Gonadorelinum (</w:t>
      </w:r>
      <w:r w:rsidR="006F64E7">
        <w:t xml:space="preserve">jako </w:t>
      </w:r>
      <w:r>
        <w:t>acetas)</w:t>
      </w:r>
    </w:p>
    <w:p w:rsidR="00554D84" w:rsidRPr="00F467E9" w:rsidRDefault="00554D84" w:rsidP="00522A64">
      <w:pPr>
        <w:jc w:val="both"/>
      </w:pPr>
    </w:p>
    <w:p w:rsidR="00554D84" w:rsidRPr="00F30D3F" w:rsidRDefault="00554D84" w:rsidP="00522A64">
      <w:pPr>
        <w:jc w:val="both"/>
        <w:rPr>
          <w:b/>
        </w:rPr>
      </w:pPr>
      <w:r w:rsidRPr="006B7975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:rsidR="00554D84" w:rsidRPr="00F467E9" w:rsidRDefault="00554D84" w:rsidP="00522A64">
      <w:pPr>
        <w:jc w:val="both"/>
      </w:pPr>
    </w:p>
    <w:p w:rsidR="00711992" w:rsidRDefault="00711992" w:rsidP="00522A64">
      <w:pPr>
        <w:tabs>
          <w:tab w:val="left" w:pos="1701"/>
        </w:tabs>
        <w:ind w:left="0" w:firstLine="0"/>
        <w:jc w:val="both"/>
      </w:pPr>
      <w:r>
        <w:t xml:space="preserve">Čirý, bezbarvý nebo téměř bezbarvý roztok bez viditelných částic obsahující </w:t>
      </w:r>
      <w:r w:rsidRPr="00437F6F">
        <w:rPr>
          <w:iCs/>
        </w:rPr>
        <w:t xml:space="preserve">50 µg </w:t>
      </w:r>
      <w:r>
        <w:rPr>
          <w:iCs/>
        </w:rPr>
        <w:t>g</w:t>
      </w:r>
      <w:r w:rsidRPr="00437F6F">
        <w:rPr>
          <w:iCs/>
        </w:rPr>
        <w:t>onadorelin</w:t>
      </w:r>
      <w:r>
        <w:rPr>
          <w:iCs/>
        </w:rPr>
        <w:t>um</w:t>
      </w:r>
      <w:r w:rsidRPr="00437F6F">
        <w:rPr>
          <w:iCs/>
        </w:rPr>
        <w:t xml:space="preserve"> (</w:t>
      </w:r>
      <w:r w:rsidR="00B23FBF">
        <w:rPr>
          <w:iCs/>
        </w:rPr>
        <w:t>jako</w:t>
      </w:r>
      <w:r w:rsidRPr="00437F6F">
        <w:rPr>
          <w:iCs/>
        </w:rPr>
        <w:t xml:space="preserve"> gonadorelin</w:t>
      </w:r>
      <w:r>
        <w:rPr>
          <w:iCs/>
        </w:rPr>
        <w:t>i</w:t>
      </w:r>
      <w:r w:rsidRPr="00437F6F">
        <w:rPr>
          <w:iCs/>
        </w:rPr>
        <w:t xml:space="preserve"> aceta</w:t>
      </w:r>
      <w:r>
        <w:rPr>
          <w:iCs/>
        </w:rPr>
        <w:t>s) (léčivá látka) a 9 mg b</w:t>
      </w:r>
      <w:r>
        <w:t xml:space="preserve">enzylalkoholu </w:t>
      </w:r>
      <w:r w:rsidRPr="00437F6F">
        <w:t>(E1519)</w:t>
      </w:r>
      <w:r>
        <w:t xml:space="preserve"> (</w:t>
      </w:r>
      <w:r w:rsidR="00B23FBF">
        <w:t>konzervant</w:t>
      </w:r>
      <w:r>
        <w:t>) v 1 ml.</w:t>
      </w:r>
    </w:p>
    <w:p w:rsidR="00554D84" w:rsidRPr="00F30D3F" w:rsidRDefault="00554D84" w:rsidP="00522A64">
      <w:pPr>
        <w:jc w:val="both"/>
      </w:pPr>
    </w:p>
    <w:p w:rsidR="00554D84" w:rsidRPr="00F30D3F" w:rsidRDefault="00554D84" w:rsidP="00522A64">
      <w:pPr>
        <w:jc w:val="both"/>
        <w:rPr>
          <w:b/>
        </w:rPr>
      </w:pPr>
      <w:r w:rsidRPr="006B7975">
        <w:rPr>
          <w:b/>
          <w:highlight w:val="lightGray"/>
        </w:rPr>
        <w:t>4.</w:t>
      </w:r>
      <w:r w:rsidRPr="00F30D3F">
        <w:rPr>
          <w:b/>
        </w:rPr>
        <w:tab/>
        <w:t>INDIKACE</w:t>
      </w:r>
    </w:p>
    <w:p w:rsidR="00554D84" w:rsidRPr="00F467E9" w:rsidRDefault="00554D84" w:rsidP="00522A64">
      <w:pPr>
        <w:jc w:val="both"/>
      </w:pPr>
    </w:p>
    <w:p w:rsidR="00711992" w:rsidRDefault="00E54A11" w:rsidP="00522A64">
      <w:pPr>
        <w:ind w:left="0" w:firstLine="0"/>
        <w:jc w:val="both"/>
      </w:pPr>
      <w:r>
        <w:t>S</w:t>
      </w:r>
      <w:r w:rsidR="00711992" w:rsidRPr="00437F6F">
        <w:t xml:space="preserve">kot </w:t>
      </w:r>
      <w:r w:rsidR="00711992">
        <w:t>(</w:t>
      </w:r>
      <w:r w:rsidR="00711992" w:rsidRPr="00437F6F">
        <w:t>krávy, jalovice</w:t>
      </w:r>
      <w:r w:rsidR="00711992">
        <w:t>):</w:t>
      </w:r>
    </w:p>
    <w:p w:rsidR="00711992" w:rsidRDefault="00711992" w:rsidP="00522A64">
      <w:pPr>
        <w:ind w:left="0" w:firstLine="0"/>
        <w:jc w:val="both"/>
      </w:pPr>
      <w:r>
        <w:t xml:space="preserve">Léčba folikulárních </w:t>
      </w:r>
      <w:r w:rsidRPr="00437F6F">
        <w:t>ovariálních cyst</w:t>
      </w:r>
      <w:r>
        <w:t>.</w:t>
      </w:r>
    </w:p>
    <w:p w:rsidR="00711992" w:rsidRDefault="00711992" w:rsidP="00522A64">
      <w:pPr>
        <w:ind w:left="0" w:firstLine="0"/>
        <w:jc w:val="both"/>
      </w:pPr>
      <w:r>
        <w:t>Optimalizace času ovulace v souvislosti s umělou inseminací.</w:t>
      </w:r>
    </w:p>
    <w:p w:rsidR="00711992" w:rsidRDefault="00711992" w:rsidP="00522A64">
      <w:pPr>
        <w:ind w:left="0" w:firstLine="0"/>
        <w:jc w:val="both"/>
      </w:pPr>
    </w:p>
    <w:p w:rsidR="00711992" w:rsidRPr="006F6632" w:rsidRDefault="00711992" w:rsidP="00522A64">
      <w:pPr>
        <w:ind w:left="0" w:firstLine="0"/>
        <w:jc w:val="both"/>
        <w:rPr>
          <w:bCs/>
        </w:rPr>
      </w:pPr>
      <w:r w:rsidRPr="006F6632">
        <w:t xml:space="preserve">Indukce a synchronizace říje a ovulace v kombinaci s prostaglandinem </w:t>
      </w:r>
      <w:r w:rsidRPr="00A21F5B">
        <w:t>F</w:t>
      </w:r>
      <w:r w:rsidRPr="00A21F5B">
        <w:rPr>
          <w:vertAlign w:val="subscript"/>
        </w:rPr>
        <w:t>2</w:t>
      </w:r>
      <w:r w:rsidRPr="006F6632">
        <w:rPr>
          <w:vertAlign w:val="subscript"/>
          <w:lang w:val="en-GB"/>
        </w:rPr>
        <w:sym w:font="Symbol" w:char="F061"/>
      </w:r>
      <w:r w:rsidRPr="00A21F5B">
        <w:t xml:space="preserve"> </w:t>
      </w:r>
      <w:r w:rsidRPr="00A21F5B">
        <w:rPr>
          <w:bCs/>
        </w:rPr>
        <w:t>(PGF</w:t>
      </w:r>
      <w:r w:rsidRPr="00A21F5B">
        <w:rPr>
          <w:bCs/>
          <w:vertAlign w:val="subscript"/>
        </w:rPr>
        <w:t>2</w:t>
      </w:r>
      <w:r w:rsidRPr="006F6632">
        <w:rPr>
          <w:bCs/>
          <w:vertAlign w:val="subscript"/>
          <w:lang w:val="en-GB"/>
        </w:rPr>
        <w:t>α</w:t>
      </w:r>
      <w:r w:rsidRPr="00A21F5B">
        <w:rPr>
          <w:bCs/>
        </w:rPr>
        <w:t>) a s</w:t>
      </w:r>
      <w:r w:rsidR="00E54A11">
        <w:rPr>
          <w:bCs/>
        </w:rPr>
        <w:t xml:space="preserve"> nebo bez </w:t>
      </w:r>
      <w:r w:rsidRPr="00A21F5B">
        <w:rPr>
          <w:bCs/>
        </w:rPr>
        <w:t>použití progesteronu jako součást programů pro načasovanou inseminaci dojnic:</w:t>
      </w:r>
    </w:p>
    <w:p w:rsidR="00711992" w:rsidRPr="006F6632" w:rsidRDefault="00711992" w:rsidP="00522A64">
      <w:pPr>
        <w:numPr>
          <w:ilvl w:val="0"/>
          <w:numId w:val="43"/>
        </w:numPr>
        <w:jc w:val="both"/>
      </w:pPr>
      <w:r w:rsidRPr="00A21F5B">
        <w:t>U</w:t>
      </w:r>
      <w:r w:rsidRPr="006F6632">
        <w:t xml:space="preserve"> cyklujících krav používejte v kombinaci s </w:t>
      </w:r>
      <w:r w:rsidRPr="00A21F5B">
        <w:rPr>
          <w:bCs/>
        </w:rPr>
        <w:t>PGF</w:t>
      </w:r>
      <w:r w:rsidRPr="00A21F5B">
        <w:rPr>
          <w:bCs/>
          <w:vertAlign w:val="subscript"/>
        </w:rPr>
        <w:t>2</w:t>
      </w:r>
      <w:r w:rsidRPr="006F6632">
        <w:rPr>
          <w:bCs/>
          <w:vertAlign w:val="subscript"/>
          <w:lang w:val="en-GB"/>
        </w:rPr>
        <w:t>α</w:t>
      </w:r>
      <w:r w:rsidRPr="00A21F5B">
        <w:rPr>
          <w:bCs/>
        </w:rPr>
        <w:t xml:space="preserve"> nebo analogem.</w:t>
      </w:r>
    </w:p>
    <w:p w:rsidR="00711992" w:rsidRPr="006F6632" w:rsidRDefault="00711992" w:rsidP="00522A64">
      <w:pPr>
        <w:numPr>
          <w:ilvl w:val="0"/>
          <w:numId w:val="43"/>
        </w:numPr>
        <w:jc w:val="both"/>
      </w:pPr>
      <w:r w:rsidRPr="00A21F5B">
        <w:rPr>
          <w:bCs/>
        </w:rPr>
        <w:t>U cyklujících a necyklujících krav a jalovic používejte v kombinaci s PGF</w:t>
      </w:r>
      <w:r w:rsidRPr="00A21F5B">
        <w:rPr>
          <w:bCs/>
          <w:vertAlign w:val="subscript"/>
        </w:rPr>
        <w:t>2</w:t>
      </w:r>
      <w:r w:rsidRPr="006F6632">
        <w:rPr>
          <w:bCs/>
          <w:vertAlign w:val="subscript"/>
          <w:lang w:val="en-GB"/>
        </w:rPr>
        <w:t>α</w:t>
      </w:r>
      <w:r w:rsidRPr="00A21F5B">
        <w:rPr>
          <w:bCs/>
        </w:rPr>
        <w:t xml:space="preserve"> nebo analogem a </w:t>
      </w:r>
      <w:r>
        <w:rPr>
          <w:bCs/>
        </w:rPr>
        <w:t>inzertem</w:t>
      </w:r>
      <w:r w:rsidRPr="00A21F5B">
        <w:rPr>
          <w:bCs/>
        </w:rPr>
        <w:t xml:space="preserve"> uvolňujícím progesteron.</w:t>
      </w:r>
    </w:p>
    <w:p w:rsidR="00554D84" w:rsidRPr="00F467E9" w:rsidRDefault="00554D84" w:rsidP="00522A64">
      <w:pPr>
        <w:ind w:left="0" w:firstLine="0"/>
        <w:jc w:val="both"/>
      </w:pPr>
    </w:p>
    <w:p w:rsidR="00554D84" w:rsidRPr="00F30D3F" w:rsidRDefault="00554D84" w:rsidP="00522A64">
      <w:pPr>
        <w:jc w:val="both"/>
        <w:rPr>
          <w:b/>
        </w:rPr>
      </w:pPr>
      <w:r w:rsidRPr="006B7975">
        <w:rPr>
          <w:b/>
          <w:highlight w:val="lightGray"/>
        </w:rPr>
        <w:t>5.</w:t>
      </w:r>
      <w:r w:rsidRPr="00F30D3F">
        <w:rPr>
          <w:b/>
        </w:rPr>
        <w:t xml:space="preserve"> </w:t>
      </w:r>
      <w:r w:rsidRPr="00F30D3F">
        <w:rPr>
          <w:b/>
        </w:rPr>
        <w:tab/>
        <w:t>KONTRAINDIKACE</w:t>
      </w:r>
    </w:p>
    <w:p w:rsidR="00554D84" w:rsidRPr="00F30D3F" w:rsidRDefault="00554D84" w:rsidP="00522A64">
      <w:pPr>
        <w:jc w:val="both"/>
      </w:pPr>
    </w:p>
    <w:p w:rsidR="00554D84" w:rsidRDefault="00711992" w:rsidP="00522A64">
      <w:pPr>
        <w:jc w:val="both"/>
      </w:pPr>
      <w:r w:rsidRPr="00F75554">
        <w:t xml:space="preserve">Nepoužívat v případě přecitlivělosti na </w:t>
      </w:r>
      <w:r>
        <w:rPr>
          <w:iCs/>
        </w:rPr>
        <w:t>g</w:t>
      </w:r>
      <w:r w:rsidRPr="00437F6F">
        <w:rPr>
          <w:iCs/>
        </w:rPr>
        <w:t>onadorelin</w:t>
      </w:r>
      <w:r w:rsidRPr="00F75554">
        <w:t xml:space="preserve"> nebo na některou z pomocných látek</w:t>
      </w:r>
      <w:r>
        <w:t>.</w:t>
      </w:r>
    </w:p>
    <w:p w:rsidR="00711992" w:rsidRPr="00F30D3F" w:rsidRDefault="00711992" w:rsidP="00522A64">
      <w:pPr>
        <w:jc w:val="both"/>
      </w:pPr>
    </w:p>
    <w:p w:rsidR="00554D84" w:rsidRPr="00F30D3F" w:rsidRDefault="00554D84" w:rsidP="00522A64">
      <w:pPr>
        <w:jc w:val="both"/>
      </w:pPr>
      <w:r w:rsidRPr="006B7975">
        <w:rPr>
          <w:b/>
          <w:highlight w:val="lightGray"/>
        </w:rPr>
        <w:t>6.</w:t>
      </w:r>
      <w:r w:rsidRPr="00F30D3F">
        <w:rPr>
          <w:b/>
        </w:rPr>
        <w:tab/>
        <w:t>NEŽÁDOUCÍ ÚČINKY</w:t>
      </w:r>
    </w:p>
    <w:p w:rsidR="00554D84" w:rsidRPr="00F30D3F" w:rsidRDefault="00554D84" w:rsidP="00522A64">
      <w:pPr>
        <w:jc w:val="both"/>
      </w:pPr>
    </w:p>
    <w:p w:rsidR="00554D84" w:rsidRPr="00F30D3F" w:rsidRDefault="00554D84" w:rsidP="00522A64">
      <w:pPr>
        <w:ind w:left="0" w:firstLine="0"/>
        <w:jc w:val="both"/>
      </w:pPr>
      <w:r w:rsidRPr="00F30D3F">
        <w:t xml:space="preserve">Jestliže zaznamenáte </w:t>
      </w:r>
      <w:r w:rsidR="005623C9" w:rsidRPr="005623C9">
        <w:t>jakékoliv</w:t>
      </w:r>
      <w:r w:rsidR="005623C9">
        <w:t xml:space="preserve"> </w:t>
      </w:r>
      <w:r w:rsidR="005623C9" w:rsidRPr="005623C9">
        <w:t>závažné</w:t>
      </w:r>
      <w:r w:rsidR="005623C9">
        <w:t xml:space="preserve"> </w:t>
      </w:r>
      <w:r w:rsidRPr="00F30D3F">
        <w:t>nežádoucí</w:t>
      </w:r>
      <w:r w:rsidR="005623C9">
        <w:t xml:space="preserve"> </w:t>
      </w:r>
      <w:r w:rsidR="005623C9" w:rsidRPr="005623C9">
        <w:t>účinky</w:t>
      </w:r>
      <w:r w:rsidRPr="00F30D3F">
        <w:t xml:space="preserve"> </w:t>
      </w:r>
      <w:r w:rsidR="005623C9" w:rsidRPr="005623C9">
        <w:t>či</w:t>
      </w:r>
      <w:r w:rsidR="005623C9">
        <w:t xml:space="preserve"> </w:t>
      </w:r>
      <w:r w:rsidR="005623C9" w:rsidRPr="005623C9">
        <w:t>jiné</w:t>
      </w:r>
      <w:r w:rsidR="005623C9">
        <w:t xml:space="preserve"> </w:t>
      </w:r>
      <w:r w:rsidR="005623C9" w:rsidRPr="005623C9">
        <w:t>reakce,</w:t>
      </w:r>
      <w:r w:rsidRPr="00F30D3F">
        <w:t xml:space="preserve"> které nejsou uvedeny v této příbalové informaci, oznamte to</w:t>
      </w:r>
      <w:r w:rsidR="00E54A11">
        <w:t>,</w:t>
      </w:r>
      <w:r w:rsidRPr="00F30D3F">
        <w:t xml:space="preserve"> prosím</w:t>
      </w:r>
      <w:r w:rsidR="00E54A11">
        <w:t>,</w:t>
      </w:r>
      <w:r w:rsidRPr="00F30D3F">
        <w:t xml:space="preserve"> vašemu veterinárnímu lékaři.</w:t>
      </w:r>
    </w:p>
    <w:p w:rsidR="00DE44F8" w:rsidRPr="00F30D3F" w:rsidRDefault="00DE44F8" w:rsidP="00522A64">
      <w:pPr>
        <w:jc w:val="both"/>
      </w:pPr>
    </w:p>
    <w:p w:rsidR="00554D84" w:rsidRPr="00F30D3F" w:rsidRDefault="00554D84" w:rsidP="00522A64">
      <w:pPr>
        <w:jc w:val="both"/>
      </w:pPr>
      <w:r w:rsidRPr="006B7975">
        <w:rPr>
          <w:b/>
          <w:highlight w:val="lightGray"/>
        </w:rPr>
        <w:t>7.</w:t>
      </w:r>
      <w:r w:rsidRPr="00F30D3F">
        <w:rPr>
          <w:b/>
        </w:rPr>
        <w:tab/>
        <w:t>CÍLOVÝ DRUH ZVÍŘAT</w:t>
      </w:r>
    </w:p>
    <w:p w:rsidR="00554D84" w:rsidRDefault="00554D84" w:rsidP="00522A64">
      <w:pPr>
        <w:jc w:val="both"/>
      </w:pPr>
    </w:p>
    <w:p w:rsidR="00711992" w:rsidRDefault="00711992" w:rsidP="00522A64">
      <w:pPr>
        <w:ind w:left="0" w:firstLine="0"/>
        <w:jc w:val="both"/>
      </w:pPr>
      <w:r w:rsidRPr="00437F6F">
        <w:t>Skot: krávy, jalovice.</w:t>
      </w:r>
    </w:p>
    <w:p w:rsidR="00554D84" w:rsidRPr="00F467E9" w:rsidRDefault="00554D84" w:rsidP="00522A64">
      <w:pPr>
        <w:jc w:val="both"/>
      </w:pPr>
    </w:p>
    <w:p w:rsidR="00554D84" w:rsidRPr="00F30D3F" w:rsidRDefault="00554D84" w:rsidP="00522A64">
      <w:pPr>
        <w:jc w:val="both"/>
      </w:pPr>
      <w:r w:rsidRPr="006B7975">
        <w:rPr>
          <w:b/>
          <w:highlight w:val="lightGray"/>
        </w:rPr>
        <w:t>8.</w:t>
      </w:r>
      <w:r w:rsidRPr="00F30D3F">
        <w:rPr>
          <w:b/>
        </w:rPr>
        <w:tab/>
        <w:t>DÁVKOVÁNÍ PRO KAŽDÝ DRUH, CESTA(Y) A ZPŮSOB PODÁNÍ</w:t>
      </w:r>
    </w:p>
    <w:p w:rsidR="00742EB3" w:rsidRPr="00F30D3F" w:rsidRDefault="00742EB3" w:rsidP="00522A64">
      <w:pPr>
        <w:jc w:val="both"/>
      </w:pPr>
    </w:p>
    <w:p w:rsidR="00445529" w:rsidRDefault="00445529" w:rsidP="00522A64">
      <w:pPr>
        <w:ind w:left="0" w:firstLine="0"/>
        <w:jc w:val="both"/>
      </w:pPr>
      <w:r>
        <w:t>Intramuskulární podání.</w:t>
      </w:r>
    </w:p>
    <w:p w:rsidR="00445529" w:rsidRDefault="00445529" w:rsidP="00522A64">
      <w:pPr>
        <w:ind w:left="0" w:firstLine="0"/>
        <w:jc w:val="both"/>
      </w:pPr>
    </w:p>
    <w:p w:rsidR="00445529" w:rsidRDefault="00445529" w:rsidP="00522A64">
      <w:pPr>
        <w:numPr>
          <w:ilvl w:val="0"/>
          <w:numId w:val="44"/>
        </w:numPr>
        <w:ind w:left="284" w:hanging="284"/>
        <w:jc w:val="both"/>
      </w:pPr>
      <w:r w:rsidRPr="00D1219C">
        <w:rPr>
          <w:b/>
        </w:rPr>
        <w:t>Léčba folikulárních ovariálních cyst:</w:t>
      </w:r>
      <w:r>
        <w:t xml:space="preserve"> 100-150 </w:t>
      </w:r>
      <w:r w:rsidRPr="00D1219C">
        <w:t xml:space="preserve">µg </w:t>
      </w:r>
      <w:r>
        <w:t>gonadorelinu (ve formě acetátu) pro toto (tj. 2 - 3 ml přípravku na zvíře). Pokud je to nutné, léčba může být opakována v intervalech 1-2 týdnů.</w:t>
      </w:r>
    </w:p>
    <w:p w:rsidR="00445529" w:rsidRDefault="00445529" w:rsidP="00522A64">
      <w:pPr>
        <w:numPr>
          <w:ilvl w:val="0"/>
          <w:numId w:val="44"/>
        </w:numPr>
        <w:jc w:val="both"/>
      </w:pPr>
      <w:r w:rsidRPr="00D1219C">
        <w:rPr>
          <w:b/>
        </w:rPr>
        <w:t>Optimalizace času ovulace, zvýšení šance na zabřeznutí v souvislosti s umělou inseminací:</w:t>
      </w:r>
      <w:r>
        <w:t xml:space="preserve"> 100 </w:t>
      </w:r>
      <w:r w:rsidRPr="00D1219C">
        <w:t xml:space="preserve">µg </w:t>
      </w:r>
      <w:r>
        <w:t>gonadorelinu (ve formě acetátu) pro toto (tj. 2 ml přípravku na zvíře). Přípravek musí být podán sou</w:t>
      </w:r>
      <w:r w:rsidR="00E54A11">
        <w:t>běžně</w:t>
      </w:r>
      <w:r>
        <w:t xml:space="preserve"> s umělou inseminac</w:t>
      </w:r>
      <w:r w:rsidR="00E54A11">
        <w:t>í</w:t>
      </w:r>
      <w:r>
        <w:t xml:space="preserve"> </w:t>
      </w:r>
      <w:r w:rsidR="00E54A11">
        <w:t>a/</w:t>
      </w:r>
      <w:r>
        <w:t>nebo 12 dní poté.</w:t>
      </w:r>
    </w:p>
    <w:p w:rsidR="00445529" w:rsidRDefault="00445529" w:rsidP="00522A64">
      <w:pPr>
        <w:pStyle w:val="Odstavecseseznamem"/>
        <w:numPr>
          <w:ilvl w:val="0"/>
          <w:numId w:val="44"/>
        </w:numPr>
        <w:ind w:left="284" w:hanging="284"/>
        <w:jc w:val="both"/>
        <w:rPr>
          <w:b/>
          <w:bCs/>
        </w:rPr>
      </w:pPr>
      <w:r w:rsidRPr="00A21F5B">
        <w:rPr>
          <w:b/>
        </w:rPr>
        <w:lastRenderedPageBreak/>
        <w:t>Indukce a synchronizace říje a ovulace v kombinaci s prostaglandinem F</w:t>
      </w:r>
      <w:r w:rsidRPr="00A21F5B">
        <w:rPr>
          <w:b/>
          <w:vertAlign w:val="subscript"/>
        </w:rPr>
        <w:t>2</w:t>
      </w:r>
      <w:r w:rsidRPr="00DA7C44">
        <w:rPr>
          <w:vertAlign w:val="subscript"/>
          <w:lang w:val="en-GB"/>
        </w:rPr>
        <w:sym w:font="Symbol" w:char="F061"/>
      </w:r>
      <w:r w:rsidRPr="00A21F5B">
        <w:rPr>
          <w:b/>
        </w:rPr>
        <w:t xml:space="preserve"> </w:t>
      </w:r>
      <w:r w:rsidRPr="00A21F5B">
        <w:rPr>
          <w:b/>
          <w:bCs/>
        </w:rPr>
        <w:t>(PGF</w:t>
      </w:r>
      <w:r w:rsidRPr="00A21F5B">
        <w:rPr>
          <w:b/>
          <w:bCs/>
          <w:vertAlign w:val="subscript"/>
        </w:rPr>
        <w:t>2</w:t>
      </w:r>
      <w:r w:rsidRPr="00A21F5B">
        <w:rPr>
          <w:b/>
          <w:bCs/>
          <w:vertAlign w:val="subscript"/>
          <w:lang w:val="en-GB"/>
        </w:rPr>
        <w:t>α</w:t>
      </w:r>
      <w:r w:rsidRPr="00A21F5B">
        <w:rPr>
          <w:b/>
          <w:bCs/>
        </w:rPr>
        <w:t>) a s použitím nebo bez použití progesteronu jako součást programů pro načasovanou inseminaci dojnic:</w:t>
      </w:r>
    </w:p>
    <w:p w:rsidR="00445529" w:rsidRDefault="00445529" w:rsidP="00522A64">
      <w:pPr>
        <w:ind w:left="0" w:firstLine="0"/>
        <w:jc w:val="both"/>
      </w:pPr>
    </w:p>
    <w:p w:rsidR="00445529" w:rsidRDefault="00445529" w:rsidP="00522A64">
      <w:pPr>
        <w:ind w:left="0" w:firstLine="0"/>
        <w:jc w:val="both"/>
      </w:pPr>
      <w:r>
        <w:t>Následující program pro načasovanou inseminaci dojnic je obvykle uváděn v literatuře:</w:t>
      </w:r>
    </w:p>
    <w:p w:rsidR="00445529" w:rsidRDefault="00445529" w:rsidP="00522A64">
      <w:pPr>
        <w:ind w:left="0" w:firstLine="0"/>
        <w:jc w:val="both"/>
      </w:pPr>
    </w:p>
    <w:p w:rsidR="00445529" w:rsidRDefault="00445529" w:rsidP="00522A64">
      <w:pPr>
        <w:ind w:left="0" w:firstLine="0"/>
        <w:jc w:val="both"/>
      </w:pPr>
      <w:r>
        <w:t>u cyklujících krav:</w:t>
      </w:r>
    </w:p>
    <w:p w:rsidR="00445529" w:rsidRDefault="00445529" w:rsidP="00522A64">
      <w:pPr>
        <w:pStyle w:val="Odstavecseseznamem"/>
        <w:numPr>
          <w:ilvl w:val="0"/>
          <w:numId w:val="46"/>
        </w:numPr>
        <w:jc w:val="both"/>
      </w:pPr>
      <w:r>
        <w:t>den 0</w:t>
      </w:r>
      <w:r>
        <w:tab/>
        <w:t xml:space="preserve">Injekčně podejte 100 </w:t>
      </w:r>
      <w:r w:rsidRPr="00D1219C">
        <w:t>µg</w:t>
      </w:r>
      <w:r>
        <w:t xml:space="preserve"> gonadorelinu (ve formě acetátu) pro toto (2 ml přípravku).</w:t>
      </w:r>
    </w:p>
    <w:p w:rsidR="00445529" w:rsidRPr="000415E7" w:rsidRDefault="00445529" w:rsidP="00522A64">
      <w:pPr>
        <w:pStyle w:val="Odstavecseseznamem"/>
        <w:numPr>
          <w:ilvl w:val="0"/>
          <w:numId w:val="46"/>
        </w:numPr>
        <w:jc w:val="both"/>
      </w:pPr>
      <w:r>
        <w:t>den 7</w:t>
      </w:r>
      <w:r>
        <w:tab/>
        <w:t xml:space="preserve">Injekčně podejte </w:t>
      </w:r>
      <w:r w:rsidRPr="00A21F5B">
        <w:rPr>
          <w:bCs/>
        </w:rPr>
        <w:t>PGF</w:t>
      </w:r>
      <w:r w:rsidRPr="00A21F5B">
        <w:rPr>
          <w:bCs/>
          <w:vertAlign w:val="subscript"/>
        </w:rPr>
        <w:t>2</w:t>
      </w:r>
      <w:r w:rsidRPr="000415E7">
        <w:rPr>
          <w:bCs/>
          <w:vertAlign w:val="subscript"/>
          <w:lang w:val="en-GB"/>
        </w:rPr>
        <w:t>α</w:t>
      </w:r>
      <w:r w:rsidRPr="00A21F5B">
        <w:rPr>
          <w:bCs/>
        </w:rPr>
        <w:t xml:space="preserve"> nebo analog (luteolytická dávka).</w:t>
      </w:r>
    </w:p>
    <w:p w:rsidR="00445529" w:rsidRDefault="00445529" w:rsidP="00522A64">
      <w:pPr>
        <w:pStyle w:val="Odstavecseseznamem"/>
        <w:numPr>
          <w:ilvl w:val="0"/>
          <w:numId w:val="46"/>
        </w:numPr>
        <w:jc w:val="both"/>
      </w:pPr>
      <w:r w:rsidRPr="00A21F5B">
        <w:rPr>
          <w:bCs/>
        </w:rPr>
        <w:t xml:space="preserve">den 9 </w:t>
      </w:r>
      <w:r w:rsidRPr="00A21F5B">
        <w:rPr>
          <w:bCs/>
        </w:rPr>
        <w:tab/>
        <w:t xml:space="preserve">Injekčně podejte </w:t>
      </w:r>
      <w:r>
        <w:t xml:space="preserve">100 </w:t>
      </w:r>
      <w:r w:rsidRPr="00D1219C">
        <w:t>µg</w:t>
      </w:r>
      <w:r>
        <w:t xml:space="preserve"> gonadorelinu (ve formě acetátu) pro toto (2 ml přípravku).</w:t>
      </w:r>
    </w:p>
    <w:p w:rsidR="00445529" w:rsidRDefault="00445529" w:rsidP="00522A64">
      <w:pPr>
        <w:pStyle w:val="Odstavecseseznamem"/>
        <w:numPr>
          <w:ilvl w:val="0"/>
          <w:numId w:val="46"/>
        </w:numPr>
        <w:jc w:val="both"/>
      </w:pPr>
      <w:r>
        <w:t>Umělá inseminace o 16-20 h později nebo dříve, pokud se objeví projevy říje.</w:t>
      </w:r>
    </w:p>
    <w:p w:rsidR="00445529" w:rsidRDefault="00445529" w:rsidP="00522A64">
      <w:pPr>
        <w:jc w:val="both"/>
      </w:pPr>
    </w:p>
    <w:p w:rsidR="00445529" w:rsidRDefault="00445529" w:rsidP="00522A64">
      <w:pPr>
        <w:ind w:left="927"/>
        <w:jc w:val="both"/>
      </w:pPr>
      <w:r>
        <w:t>Alternativní protokol:</w:t>
      </w:r>
    </w:p>
    <w:p w:rsidR="00445529" w:rsidRDefault="00445529" w:rsidP="00522A64">
      <w:pPr>
        <w:pStyle w:val="Odstavecseseznamem"/>
        <w:numPr>
          <w:ilvl w:val="0"/>
          <w:numId w:val="46"/>
        </w:numPr>
        <w:jc w:val="both"/>
      </w:pPr>
      <w:r>
        <w:t>den 0</w:t>
      </w:r>
      <w:r>
        <w:tab/>
        <w:t xml:space="preserve">Injekčně podejte 100 </w:t>
      </w:r>
      <w:r w:rsidRPr="00D1219C">
        <w:t>µg</w:t>
      </w:r>
      <w:r>
        <w:t xml:space="preserve"> gonadorelinu (ve formě acetátu) pro toto (2 ml přípravku).</w:t>
      </w:r>
    </w:p>
    <w:p w:rsidR="00445529" w:rsidRPr="000415E7" w:rsidRDefault="00445529" w:rsidP="00522A64">
      <w:pPr>
        <w:pStyle w:val="Odstavecseseznamem"/>
        <w:numPr>
          <w:ilvl w:val="0"/>
          <w:numId w:val="46"/>
        </w:numPr>
        <w:jc w:val="both"/>
      </w:pPr>
      <w:r>
        <w:t>den 7</w:t>
      </w:r>
      <w:r>
        <w:tab/>
        <w:t xml:space="preserve">Injekčně podejte </w:t>
      </w:r>
      <w:r w:rsidRPr="00A21F5B">
        <w:rPr>
          <w:bCs/>
        </w:rPr>
        <w:t>PGF</w:t>
      </w:r>
      <w:r w:rsidRPr="00A21F5B">
        <w:rPr>
          <w:bCs/>
          <w:vertAlign w:val="subscript"/>
        </w:rPr>
        <w:t>2</w:t>
      </w:r>
      <w:r w:rsidRPr="000415E7">
        <w:rPr>
          <w:bCs/>
          <w:vertAlign w:val="subscript"/>
          <w:lang w:val="en-GB"/>
        </w:rPr>
        <w:t>α</w:t>
      </w:r>
      <w:r w:rsidRPr="00A21F5B">
        <w:rPr>
          <w:bCs/>
        </w:rPr>
        <w:t xml:space="preserve"> nebo analog (luteolytická dávka).</w:t>
      </w:r>
    </w:p>
    <w:p w:rsidR="00445529" w:rsidRDefault="00445529" w:rsidP="00522A64">
      <w:pPr>
        <w:pStyle w:val="Odstavecseseznamem"/>
        <w:numPr>
          <w:ilvl w:val="0"/>
          <w:numId w:val="46"/>
        </w:numPr>
        <w:jc w:val="both"/>
      </w:pPr>
      <w:r>
        <w:t xml:space="preserve">Umělá inseminace a injekční podání 100 </w:t>
      </w:r>
      <w:r w:rsidRPr="00D1219C">
        <w:t>µg</w:t>
      </w:r>
      <w:r>
        <w:t xml:space="preserve"> gonadorelinu (ve formě acetátu)</w:t>
      </w:r>
      <w:r w:rsidRPr="000415E7">
        <w:t xml:space="preserve"> </w:t>
      </w:r>
      <w:r>
        <w:t xml:space="preserve"> pro toto (2 ml přípravku) o 60-72 hodin později nebo dříve, pokud se objeví projevy říje.</w:t>
      </w:r>
    </w:p>
    <w:p w:rsidR="00445529" w:rsidRDefault="00445529" w:rsidP="00522A64">
      <w:pPr>
        <w:ind w:left="927"/>
        <w:jc w:val="both"/>
      </w:pPr>
    </w:p>
    <w:p w:rsidR="00445529" w:rsidRDefault="00445529" w:rsidP="00522A64">
      <w:pPr>
        <w:ind w:left="0" w:firstLine="0"/>
        <w:jc w:val="both"/>
      </w:pPr>
      <w:r>
        <w:t>u cyklujících a necyklujících krav a jalovic:</w:t>
      </w:r>
    </w:p>
    <w:p w:rsidR="00445529" w:rsidRDefault="00445529" w:rsidP="00522A64">
      <w:pPr>
        <w:pStyle w:val="Odstavecseseznamem"/>
        <w:numPr>
          <w:ilvl w:val="0"/>
          <w:numId w:val="47"/>
        </w:numPr>
        <w:jc w:val="both"/>
      </w:pPr>
      <w:r>
        <w:t>Vložte intravaginální aplikátor uvolňující progesteron na dobu 7-8 dnů.</w:t>
      </w:r>
    </w:p>
    <w:p w:rsidR="00445529" w:rsidRDefault="00445529" w:rsidP="00522A64">
      <w:pPr>
        <w:pStyle w:val="Odstavecseseznamem"/>
        <w:numPr>
          <w:ilvl w:val="0"/>
          <w:numId w:val="47"/>
        </w:numPr>
        <w:jc w:val="both"/>
      </w:pPr>
      <w:r w:rsidRPr="00A21F5B">
        <w:rPr>
          <w:bCs/>
        </w:rPr>
        <w:t xml:space="preserve">Injekčně podejte </w:t>
      </w:r>
      <w:r>
        <w:t xml:space="preserve">100 </w:t>
      </w:r>
      <w:r w:rsidRPr="00D1219C">
        <w:t>µg</w:t>
      </w:r>
      <w:r>
        <w:t xml:space="preserve"> gonadorelinu (ve formě acetátu) pro toto (2 ml přípravku)</w:t>
      </w:r>
      <w:r w:rsidRPr="00825118">
        <w:t xml:space="preserve"> </w:t>
      </w:r>
      <w:r>
        <w:t>současně s vložením aplikátoru uvolňujícího progesteron.</w:t>
      </w:r>
    </w:p>
    <w:p w:rsidR="00445529" w:rsidRPr="00CE67DF" w:rsidRDefault="00445529" w:rsidP="00522A64">
      <w:pPr>
        <w:pStyle w:val="Odstavecseseznamem"/>
        <w:numPr>
          <w:ilvl w:val="0"/>
          <w:numId w:val="47"/>
        </w:numPr>
        <w:jc w:val="both"/>
      </w:pPr>
      <w:r>
        <w:t xml:space="preserve">Injekčně podejte </w:t>
      </w:r>
      <w:r w:rsidRPr="00A21F5B">
        <w:rPr>
          <w:bCs/>
        </w:rPr>
        <w:t>luteolytickou dávku PGF</w:t>
      </w:r>
      <w:r w:rsidRPr="00A21F5B">
        <w:rPr>
          <w:bCs/>
          <w:vertAlign w:val="subscript"/>
        </w:rPr>
        <w:t>2</w:t>
      </w:r>
      <w:r w:rsidRPr="000415E7">
        <w:rPr>
          <w:bCs/>
          <w:vertAlign w:val="subscript"/>
          <w:lang w:val="en-GB"/>
        </w:rPr>
        <w:t>α</w:t>
      </w:r>
      <w:r w:rsidRPr="00A21F5B">
        <w:rPr>
          <w:bCs/>
        </w:rPr>
        <w:t xml:space="preserve"> nebo analog 24 hodin před vyjmutím aplikátoru.</w:t>
      </w:r>
    </w:p>
    <w:p w:rsidR="00445529" w:rsidRPr="000415E7" w:rsidRDefault="00445529" w:rsidP="00522A64">
      <w:pPr>
        <w:pStyle w:val="Odstavecseseznamem"/>
        <w:numPr>
          <w:ilvl w:val="0"/>
          <w:numId w:val="47"/>
        </w:numPr>
        <w:jc w:val="both"/>
      </w:pPr>
      <w:r w:rsidRPr="00A21F5B">
        <w:rPr>
          <w:bCs/>
        </w:rPr>
        <w:t>Aplikujte program pro načasovanou inseminaci dojnic 56 hodin po vyjmutí aplikátoru uvolňujíc</w:t>
      </w:r>
      <w:r w:rsidR="00E54A11">
        <w:rPr>
          <w:bCs/>
        </w:rPr>
        <w:t>í</w:t>
      </w:r>
      <w:r w:rsidRPr="00A21F5B">
        <w:rPr>
          <w:bCs/>
        </w:rPr>
        <w:t>ho progesteron nebo</w:t>
      </w:r>
    </w:p>
    <w:p w:rsidR="00445529" w:rsidRDefault="00445529" w:rsidP="00522A64">
      <w:pPr>
        <w:pStyle w:val="Odstavecseseznamem"/>
        <w:numPr>
          <w:ilvl w:val="0"/>
          <w:numId w:val="47"/>
        </w:numPr>
        <w:jc w:val="both"/>
      </w:pPr>
      <w:r>
        <w:t xml:space="preserve">injekčně podejte 100 </w:t>
      </w:r>
      <w:r w:rsidRPr="00D1219C">
        <w:t>µg</w:t>
      </w:r>
      <w:r>
        <w:t xml:space="preserve"> gonadorelinu (ve formě acetátu) pro toto (2 ml přípravku) 36 hodin po vyjmutí aplikátoru uvolňujícího progesteron a aplikujte program pro načasovanou inseminaci dojnic o 16 až 20 hodin později.</w:t>
      </w:r>
    </w:p>
    <w:p w:rsidR="00554D84" w:rsidRPr="00F30D3F" w:rsidRDefault="00554D84" w:rsidP="00522A64">
      <w:pPr>
        <w:jc w:val="both"/>
      </w:pPr>
    </w:p>
    <w:p w:rsidR="00554D84" w:rsidRPr="00F30D3F" w:rsidRDefault="00554D84" w:rsidP="00522A64">
      <w:pPr>
        <w:jc w:val="both"/>
      </w:pPr>
      <w:r w:rsidRPr="006B7975">
        <w:rPr>
          <w:b/>
          <w:highlight w:val="lightGray"/>
        </w:rPr>
        <w:t>9.</w:t>
      </w:r>
      <w:r w:rsidRPr="00F30D3F">
        <w:rPr>
          <w:b/>
        </w:rPr>
        <w:tab/>
        <w:t>POKYNY PRO SPRÁVNÉ PODÁNÍ</w:t>
      </w:r>
    </w:p>
    <w:p w:rsidR="00554D84" w:rsidRPr="00F30D3F" w:rsidRDefault="00554D84" w:rsidP="00522A64">
      <w:pPr>
        <w:jc w:val="both"/>
      </w:pPr>
    </w:p>
    <w:p w:rsidR="00445529" w:rsidRDefault="00445529" w:rsidP="00522A64">
      <w:pPr>
        <w:ind w:left="0" w:firstLine="0"/>
        <w:jc w:val="both"/>
      </w:pPr>
      <w:r>
        <w:t>Pro podání přípravku a inseminaci by mělo být použito následující časové schéma:</w:t>
      </w:r>
    </w:p>
    <w:p w:rsidR="00445529" w:rsidRDefault="00445529" w:rsidP="00522A64">
      <w:pPr>
        <w:numPr>
          <w:ilvl w:val="0"/>
          <w:numId w:val="45"/>
        </w:numPr>
        <w:jc w:val="both"/>
      </w:pPr>
      <w:r>
        <w:t>Podání přípravku mezi 4. až 10. hodinou po zjištění říje.</w:t>
      </w:r>
    </w:p>
    <w:p w:rsidR="00445529" w:rsidRDefault="00445529" w:rsidP="00522A64">
      <w:pPr>
        <w:numPr>
          <w:ilvl w:val="0"/>
          <w:numId w:val="45"/>
        </w:numPr>
        <w:jc w:val="both"/>
      </w:pPr>
      <w:r>
        <w:t xml:space="preserve">Mezi </w:t>
      </w:r>
      <w:r w:rsidR="00E54A11">
        <w:t xml:space="preserve">injekčním </w:t>
      </w:r>
      <w:r>
        <w:t>podáním GnRH a umělou inseminací se doporučuje dodržet interval nejméně 2 hodiny.</w:t>
      </w:r>
    </w:p>
    <w:p w:rsidR="00445529" w:rsidRDefault="00445529" w:rsidP="00522A64">
      <w:pPr>
        <w:numPr>
          <w:ilvl w:val="0"/>
          <w:numId w:val="45"/>
        </w:numPr>
        <w:jc w:val="both"/>
      </w:pPr>
      <w:r>
        <w:t>Umělá inseminace by měla být provedena v souladu s obvyklými doporučeními, tj. 12 až 24 hodin po zjištění říje.</w:t>
      </w:r>
    </w:p>
    <w:p w:rsidR="00401AB8" w:rsidRPr="00F30D3F" w:rsidRDefault="00401AB8" w:rsidP="00522A64">
      <w:pPr>
        <w:jc w:val="both"/>
      </w:pPr>
    </w:p>
    <w:p w:rsidR="00554D84" w:rsidRPr="00F30D3F" w:rsidRDefault="00554D84" w:rsidP="00522A64">
      <w:pPr>
        <w:jc w:val="both"/>
      </w:pPr>
      <w:r w:rsidRPr="006B7975">
        <w:rPr>
          <w:b/>
          <w:highlight w:val="lightGray"/>
        </w:rPr>
        <w:t>10.</w:t>
      </w:r>
      <w:r w:rsidRPr="00F30D3F">
        <w:rPr>
          <w:b/>
        </w:rPr>
        <w:tab/>
        <w:t>OCHRANNÁ</w:t>
      </w:r>
      <w:r w:rsidR="003633C9">
        <w:rPr>
          <w:b/>
        </w:rPr>
        <w:t>(É)</w:t>
      </w:r>
      <w:r w:rsidRPr="00F30D3F">
        <w:rPr>
          <w:b/>
        </w:rPr>
        <w:t xml:space="preserve"> LHŮTA</w:t>
      </w:r>
      <w:r w:rsidR="003633C9">
        <w:rPr>
          <w:b/>
        </w:rPr>
        <w:t>(Y)</w:t>
      </w:r>
    </w:p>
    <w:p w:rsidR="00554D84" w:rsidRPr="00F30D3F" w:rsidRDefault="00554D84" w:rsidP="00522A64">
      <w:pPr>
        <w:jc w:val="both"/>
        <w:rPr>
          <w:iCs/>
        </w:rPr>
      </w:pPr>
    </w:p>
    <w:p w:rsidR="00445529" w:rsidRDefault="00445529" w:rsidP="00522A64">
      <w:pPr>
        <w:ind w:left="0" w:firstLine="0"/>
        <w:jc w:val="both"/>
      </w:pPr>
      <w:r w:rsidRPr="00C9289B">
        <w:t>Maso:</w:t>
      </w:r>
      <w:r>
        <w:t xml:space="preserve"> B</w:t>
      </w:r>
      <w:r w:rsidRPr="00C9289B">
        <w:t>ez ochranných lhůt.</w:t>
      </w:r>
    </w:p>
    <w:p w:rsidR="00445529" w:rsidRPr="00C9289B" w:rsidRDefault="00445529" w:rsidP="00522A64">
      <w:pPr>
        <w:ind w:left="0" w:firstLine="0"/>
        <w:jc w:val="both"/>
      </w:pPr>
      <w:r>
        <w:t>Mléko: Bez ochranných lhůt.</w:t>
      </w:r>
    </w:p>
    <w:p w:rsidR="00554D84" w:rsidRPr="00F30D3F" w:rsidRDefault="00554D84" w:rsidP="00522A64">
      <w:pPr>
        <w:jc w:val="both"/>
        <w:rPr>
          <w:iCs/>
        </w:rPr>
      </w:pPr>
    </w:p>
    <w:p w:rsidR="00554D84" w:rsidRPr="00F30D3F" w:rsidRDefault="00554D84" w:rsidP="008E2455">
      <w:pPr>
        <w:keepNext/>
        <w:jc w:val="both"/>
      </w:pPr>
      <w:r w:rsidRPr="006B7975">
        <w:rPr>
          <w:b/>
          <w:highlight w:val="lightGray"/>
        </w:rPr>
        <w:t>11.</w:t>
      </w:r>
      <w:r w:rsidRPr="00F30D3F">
        <w:rPr>
          <w:b/>
        </w:rPr>
        <w:tab/>
        <w:t>ZVLÁŠTNÍ OPATŘENÍ PRO UCHOVÁVÁNÍ</w:t>
      </w:r>
    </w:p>
    <w:p w:rsidR="00554D84" w:rsidRPr="00F30D3F" w:rsidRDefault="00554D84" w:rsidP="008E2455">
      <w:pPr>
        <w:keepNext/>
        <w:jc w:val="both"/>
      </w:pPr>
    </w:p>
    <w:p w:rsidR="00554D84" w:rsidRPr="00F30D3F" w:rsidRDefault="00554D84" w:rsidP="00522A64">
      <w:pPr>
        <w:jc w:val="both"/>
      </w:pPr>
      <w:r w:rsidRPr="00F30D3F">
        <w:t>Uchovávat mimo do</w:t>
      </w:r>
      <w:r w:rsidR="00077875">
        <w:t>hled a do</w:t>
      </w:r>
      <w:r w:rsidRPr="00F30D3F">
        <w:t>sah dětí.</w:t>
      </w:r>
    </w:p>
    <w:p w:rsidR="00554D84" w:rsidRPr="00F30D3F" w:rsidRDefault="00554D84" w:rsidP="00522A64">
      <w:pPr>
        <w:jc w:val="both"/>
      </w:pPr>
    </w:p>
    <w:p w:rsidR="00554D84" w:rsidRDefault="00445529" w:rsidP="00522A64">
      <w:pPr>
        <w:ind w:right="-318"/>
        <w:jc w:val="both"/>
      </w:pPr>
      <w:r>
        <w:t xml:space="preserve">Uchovávejte při teplotě do </w:t>
      </w:r>
      <w:r w:rsidR="00554D84" w:rsidRPr="00F30D3F">
        <w:t>25</w:t>
      </w:r>
      <w:r w:rsidR="00B23FBF">
        <w:t xml:space="preserve"> </w:t>
      </w:r>
      <w:r w:rsidR="00554D84" w:rsidRPr="00F30D3F">
        <w:sym w:font="Symbol" w:char="F0B0"/>
      </w:r>
      <w:r>
        <w:t>C.</w:t>
      </w:r>
    </w:p>
    <w:p w:rsidR="00445529" w:rsidRPr="00F30D3F" w:rsidRDefault="00445529" w:rsidP="00522A64">
      <w:pPr>
        <w:ind w:right="-318"/>
        <w:jc w:val="both"/>
      </w:pPr>
      <w:r w:rsidRPr="00F30D3F">
        <w:t xml:space="preserve">Uchovávejte </w:t>
      </w:r>
      <w:r w:rsidR="00B23FBF">
        <w:t xml:space="preserve">injekční </w:t>
      </w:r>
      <w:r>
        <w:t>lahvičku v krabičce.</w:t>
      </w:r>
    </w:p>
    <w:p w:rsidR="00445529" w:rsidRPr="00F30D3F" w:rsidRDefault="00445529" w:rsidP="00522A64">
      <w:pPr>
        <w:ind w:right="-318"/>
        <w:jc w:val="both"/>
      </w:pPr>
    </w:p>
    <w:p w:rsidR="00554D84" w:rsidRPr="00F30D3F" w:rsidRDefault="00554D84" w:rsidP="00522A64">
      <w:pPr>
        <w:ind w:left="0" w:right="-2" w:firstLine="0"/>
        <w:jc w:val="both"/>
      </w:pPr>
      <w:r w:rsidRPr="00F30D3F">
        <w:t xml:space="preserve">Nepoužívejte </w:t>
      </w:r>
      <w:r w:rsidR="00ED08CE" w:rsidRPr="00F30D3F">
        <w:t xml:space="preserve">tento veterinární léčivý přípravek </w:t>
      </w:r>
      <w:r w:rsidRPr="00F30D3F">
        <w:t>po uplynutí doby použitelnost</w:t>
      </w:r>
      <w:r w:rsidR="00B23FBF">
        <w:t>i</w:t>
      </w:r>
      <w:r w:rsidRPr="00F30D3F">
        <w:t xml:space="preserve"> uvedené na </w:t>
      </w:r>
      <w:r w:rsidR="00B23FBF">
        <w:t xml:space="preserve">etiketě a </w:t>
      </w:r>
      <w:r w:rsidRPr="00F30D3F">
        <w:t>krabičce</w:t>
      </w:r>
      <w:r w:rsidR="00445529">
        <w:t xml:space="preserve"> </w:t>
      </w:r>
      <w:r w:rsidRPr="00F30D3F">
        <w:t xml:space="preserve">po </w:t>
      </w:r>
      <w:r w:rsidR="00445529">
        <w:t>EXP</w:t>
      </w:r>
      <w:r w:rsidR="00ED08CE" w:rsidRPr="00F30D3F">
        <w:t>.</w:t>
      </w:r>
      <w:r w:rsidR="00B23FBF">
        <w:t xml:space="preserve"> </w:t>
      </w:r>
      <w:r w:rsidR="00DF1B51" w:rsidRPr="00F30D3F">
        <w:t>Doba použitelnosti končí po</w:t>
      </w:r>
      <w:r w:rsidR="00445529">
        <w:t>sledním dnem v uvedeném měsíci.</w:t>
      </w:r>
    </w:p>
    <w:p w:rsidR="00554D84" w:rsidRPr="00F30D3F" w:rsidRDefault="00554D84" w:rsidP="00522A64">
      <w:pPr>
        <w:ind w:left="0" w:right="-2" w:firstLine="0"/>
        <w:jc w:val="both"/>
      </w:pPr>
    </w:p>
    <w:p w:rsidR="00445529" w:rsidRDefault="00554D84" w:rsidP="00522A64">
      <w:pPr>
        <w:ind w:left="0" w:right="-2" w:firstLine="0"/>
        <w:jc w:val="both"/>
      </w:pPr>
      <w:r w:rsidRPr="00F30D3F">
        <w:t xml:space="preserve">Doba použitelnosti po prvním otevření </w:t>
      </w:r>
      <w:r w:rsidR="004A4A2C" w:rsidRPr="00F30D3F">
        <w:t>vnitřního obalu</w:t>
      </w:r>
      <w:r w:rsidR="00DF1B51" w:rsidRPr="00F30D3F">
        <w:t xml:space="preserve">: </w:t>
      </w:r>
      <w:r w:rsidR="00445529">
        <w:t>28 dní.</w:t>
      </w:r>
    </w:p>
    <w:p w:rsidR="00EA67B0" w:rsidRPr="00F30D3F" w:rsidRDefault="00EA67B0" w:rsidP="00522A64">
      <w:pPr>
        <w:ind w:left="0" w:right="-318" w:firstLine="0"/>
        <w:jc w:val="both"/>
      </w:pPr>
    </w:p>
    <w:p w:rsidR="00554D84" w:rsidRPr="00F30D3F" w:rsidRDefault="00554D84" w:rsidP="008E2455">
      <w:pPr>
        <w:keepNext/>
        <w:jc w:val="both"/>
        <w:rPr>
          <w:b/>
        </w:rPr>
      </w:pPr>
      <w:r w:rsidRPr="006B7975">
        <w:rPr>
          <w:b/>
          <w:highlight w:val="lightGray"/>
        </w:rPr>
        <w:lastRenderedPageBreak/>
        <w:t>12.</w:t>
      </w:r>
      <w:r w:rsidRPr="00F30D3F">
        <w:rPr>
          <w:b/>
        </w:rPr>
        <w:tab/>
        <w:t>ZVLÁŠTNÍ UPOZORNĚNÍ</w:t>
      </w:r>
    </w:p>
    <w:p w:rsidR="00554D84" w:rsidRPr="00F30D3F" w:rsidRDefault="00554D84" w:rsidP="008E2455">
      <w:pPr>
        <w:keepNext/>
        <w:jc w:val="both"/>
      </w:pPr>
    </w:p>
    <w:p w:rsidR="00783464" w:rsidRPr="00F75554" w:rsidRDefault="00783464" w:rsidP="00522A64">
      <w:pPr>
        <w:ind w:left="0" w:firstLine="0"/>
        <w:jc w:val="both"/>
        <w:rPr>
          <w:szCs w:val="22"/>
        </w:rPr>
      </w:pPr>
      <w:r w:rsidRPr="00F75554">
        <w:rPr>
          <w:szCs w:val="22"/>
          <w:u w:val="single"/>
        </w:rPr>
        <w:t>Zvláštní upozornění pro každý cílový druh:</w:t>
      </w:r>
    </w:p>
    <w:p w:rsidR="00783464" w:rsidRDefault="00783464" w:rsidP="00522A64">
      <w:pPr>
        <w:ind w:left="0" w:firstLine="0"/>
        <w:jc w:val="both"/>
      </w:pPr>
      <w:r>
        <w:t>Při léčbě cystických ovarií by měl být diagnostikován stav folikulárních ovariálních</w:t>
      </w:r>
      <w:r w:rsidRPr="00437F6F">
        <w:t xml:space="preserve"> cyst</w:t>
      </w:r>
      <w:r>
        <w:t xml:space="preserve"> pomocí rektální palpace odhalující přítomnost přetrvávajících folikulárních struktur o průměru více než </w:t>
      </w:r>
      <w:smartTag w:uri="urn:schemas-microsoft-com:office:smarttags" w:element="metricconverter">
        <w:smartTagPr>
          <w:attr w:name="ProductID" w:val="2,5 cm"/>
        </w:smartTagPr>
        <w:r>
          <w:t>2,5 cm</w:t>
        </w:r>
      </w:smartTag>
      <w:r>
        <w:t xml:space="preserve"> a měly by být potvrzeny testem na progesteron v plazmě nebo mléku.</w:t>
      </w:r>
    </w:p>
    <w:p w:rsidR="00783464" w:rsidRDefault="00783464" w:rsidP="00522A64">
      <w:pPr>
        <w:ind w:left="0" w:firstLine="0"/>
        <w:jc w:val="both"/>
      </w:pPr>
    </w:p>
    <w:p w:rsidR="00783464" w:rsidRDefault="00783464" w:rsidP="00522A64">
      <w:pPr>
        <w:ind w:left="0" w:firstLine="0"/>
        <w:jc w:val="both"/>
      </w:pPr>
      <w:r>
        <w:t>Přípravek by měl být podáván nejméně 14 dní po otelení vzhledem k absenci vnímavosti hypofýzy před uplynutím této lhůty.</w:t>
      </w:r>
    </w:p>
    <w:p w:rsidR="00783464" w:rsidRDefault="00783464" w:rsidP="00522A64">
      <w:pPr>
        <w:ind w:left="0" w:firstLine="0"/>
        <w:jc w:val="both"/>
      </w:pPr>
    </w:p>
    <w:p w:rsidR="00783464" w:rsidRDefault="00783464" w:rsidP="00522A64">
      <w:pPr>
        <w:ind w:left="0" w:firstLine="0"/>
        <w:jc w:val="both"/>
      </w:pPr>
      <w:r>
        <w:t>K indukci a synchronizaci říje a ovulace v programech pro načasovanou inseminaci dojnic by měl být přípravek podáván nejméně 35 dnů po otelení. Odezva krav a jalovic na synchronizační protokoly založené na použití progesteronu je ovlivněna jejich fyziologickým stavem v době léčby. Odezva na léčbu se může lišit jak mezi stády, tak mezi zvířaty v jednom stádě. Procento zvířat vykazujících říji je nicméně v daném období obvykle vyšší než u neošetřených zvířat a následná luteální fáze má obvyklou dobu trvání.</w:t>
      </w:r>
    </w:p>
    <w:p w:rsidR="00783464" w:rsidRDefault="00783464" w:rsidP="00522A64">
      <w:pPr>
        <w:ind w:left="0" w:firstLine="0"/>
        <w:jc w:val="both"/>
      </w:pPr>
    </w:p>
    <w:p w:rsidR="00783464" w:rsidRPr="006C5E3B" w:rsidRDefault="00783464" w:rsidP="00522A64">
      <w:pPr>
        <w:ind w:left="0" w:firstLine="0"/>
        <w:jc w:val="both"/>
      </w:pPr>
      <w:r>
        <w:t xml:space="preserve">Pro program, který zahrnuje pouze </w:t>
      </w:r>
      <w:r w:rsidRPr="00A21F5B">
        <w:rPr>
          <w:szCs w:val="22"/>
        </w:rPr>
        <w:t>PGF</w:t>
      </w:r>
      <w:r w:rsidRPr="00A21F5B">
        <w:rPr>
          <w:szCs w:val="22"/>
          <w:vertAlign w:val="subscript"/>
        </w:rPr>
        <w:t>2</w:t>
      </w:r>
      <w:r w:rsidRPr="00ED52EC">
        <w:rPr>
          <w:szCs w:val="22"/>
          <w:vertAlign w:val="subscript"/>
          <w:lang w:val="en-US"/>
        </w:rPr>
        <w:sym w:font="Symbol" w:char="F061"/>
      </w:r>
      <w:r w:rsidRPr="00A21F5B">
        <w:rPr>
          <w:szCs w:val="22"/>
        </w:rPr>
        <w:t xml:space="preserve"> u cyklujících krav: Kvůli zvýšení pravděpodobnosti zabřeznutí zvířete, by měl být zjištěn stav vaječníků a potvrzena jejich cyklická aktivita. Nejlepších výsledků je dosaženo u zdravých normálně cyklujících zvířat.</w:t>
      </w:r>
    </w:p>
    <w:p w:rsidR="00783464" w:rsidRDefault="00783464" w:rsidP="00522A64">
      <w:pPr>
        <w:ind w:left="0" w:firstLine="0"/>
        <w:jc w:val="both"/>
      </w:pPr>
    </w:p>
    <w:p w:rsidR="00783464" w:rsidRDefault="00783464" w:rsidP="00522A64">
      <w:pPr>
        <w:ind w:left="0" w:firstLine="0"/>
        <w:jc w:val="both"/>
      </w:pPr>
      <w:r>
        <w:t>Zvířata, která nejsou v dobrém stavu, ať kvůli nemoci, nevhodné stravě, nebo jiným faktorům, mohou mít slabou odezvu na léčbu.</w:t>
      </w:r>
    </w:p>
    <w:p w:rsidR="00783464" w:rsidRDefault="00783464" w:rsidP="00522A64">
      <w:pPr>
        <w:ind w:left="0" w:firstLine="0"/>
        <w:jc w:val="both"/>
      </w:pPr>
    </w:p>
    <w:p w:rsidR="00783464" w:rsidRDefault="00783464" w:rsidP="008E2455">
      <w:pPr>
        <w:keepNext/>
        <w:ind w:left="0" w:firstLine="0"/>
        <w:jc w:val="both"/>
        <w:rPr>
          <w:szCs w:val="22"/>
        </w:rPr>
      </w:pPr>
      <w:r w:rsidRPr="00F75554">
        <w:rPr>
          <w:szCs w:val="22"/>
          <w:u w:val="single"/>
        </w:rPr>
        <w:t>Zvláštní opatření určené osobám, které podávají veterinární léčivý přípravek zvířatům</w:t>
      </w:r>
      <w:r w:rsidRPr="00F75554">
        <w:rPr>
          <w:szCs w:val="22"/>
        </w:rPr>
        <w:t>:</w:t>
      </w:r>
    </w:p>
    <w:p w:rsidR="00783464" w:rsidRDefault="009C6FB2" w:rsidP="00522A64">
      <w:pPr>
        <w:ind w:left="0" w:firstLine="0"/>
        <w:jc w:val="both"/>
      </w:pPr>
      <w:r>
        <w:t>Při manipulaci s přípravkem p</w:t>
      </w:r>
      <w:r w:rsidR="00783464">
        <w:t xml:space="preserve">ředcházejte náhodnému samopodání injekce. </w:t>
      </w:r>
      <w:r w:rsidR="00783464" w:rsidRPr="00F75554">
        <w:t>V případě náhodného sebepoškození injekčně aplikovaným přípravkem</w:t>
      </w:r>
      <w:r>
        <w:t xml:space="preserve"> </w:t>
      </w:r>
      <w:r w:rsidR="00783464" w:rsidRPr="00F75554"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 w:rsidR="00783464" w:rsidRPr="00F75554">
        <w:t>.</w:t>
      </w:r>
    </w:p>
    <w:p w:rsidR="00783464" w:rsidRDefault="00783464" w:rsidP="00522A64">
      <w:pPr>
        <w:ind w:left="0" w:firstLine="0"/>
        <w:jc w:val="both"/>
      </w:pPr>
      <w:r>
        <w:t>V případě náhodného potřísnění kůže nebo očí opláchněte místo velkým množstvím vody.</w:t>
      </w:r>
    </w:p>
    <w:p w:rsidR="002374AD" w:rsidRDefault="002374AD" w:rsidP="002374AD">
      <w:pPr>
        <w:ind w:left="0" w:firstLine="0"/>
        <w:jc w:val="both"/>
      </w:pPr>
      <w:r>
        <w:t xml:space="preserve">Těhotné ženy </w:t>
      </w:r>
      <w:r w:rsidRPr="00B75848">
        <w:t>nebo ženy v</w:t>
      </w:r>
      <w:r>
        <w:t> plodném věku</w:t>
      </w:r>
      <w:r w:rsidRPr="00B75848">
        <w:t>, které užívají antikoncepci</w:t>
      </w:r>
      <w:r>
        <w:t>, by s přípravkem měly nakládat obezřetně</w:t>
      </w:r>
      <w:r w:rsidRPr="00B75848">
        <w:t>.</w:t>
      </w:r>
    </w:p>
    <w:p w:rsidR="00783464" w:rsidRDefault="00783464" w:rsidP="00522A64">
      <w:pPr>
        <w:ind w:left="0" w:firstLine="0"/>
        <w:jc w:val="both"/>
      </w:pPr>
      <w:r w:rsidRPr="00F75554">
        <w:t xml:space="preserve">Lidé se známou přecitlivělostí na </w:t>
      </w:r>
      <w:r>
        <w:t>analogy GnRH</w:t>
      </w:r>
      <w:r w:rsidRPr="00F75554">
        <w:t xml:space="preserve"> by se měli vyhnout kontaktu s veterinárním léčivým přípravkem.</w:t>
      </w:r>
    </w:p>
    <w:p w:rsidR="003633C9" w:rsidRDefault="003633C9" w:rsidP="00522A64">
      <w:pPr>
        <w:ind w:left="0" w:firstLine="0"/>
        <w:jc w:val="both"/>
      </w:pPr>
    </w:p>
    <w:p w:rsidR="003633C9" w:rsidRDefault="003633C9" w:rsidP="003633C9">
      <w:pPr>
        <w:ind w:left="0" w:firstLine="0"/>
        <w:jc w:val="both"/>
        <w:rPr>
          <w:szCs w:val="22"/>
          <w:u w:val="single"/>
        </w:rPr>
      </w:pPr>
      <w:r>
        <w:rPr>
          <w:szCs w:val="22"/>
          <w:u w:val="single"/>
        </w:rPr>
        <w:t>Březost a laktace:</w:t>
      </w:r>
    </w:p>
    <w:p w:rsidR="003633C9" w:rsidRDefault="003633C9" w:rsidP="003633C9">
      <w:pPr>
        <w:ind w:left="0" w:firstLine="0"/>
        <w:jc w:val="both"/>
      </w:pPr>
      <w:r>
        <w:t>Není indikováno pro použití během březosti.</w:t>
      </w:r>
    </w:p>
    <w:p w:rsidR="003633C9" w:rsidRDefault="003633C9" w:rsidP="003633C9">
      <w:pPr>
        <w:ind w:left="0" w:firstLine="0"/>
        <w:jc w:val="both"/>
      </w:pPr>
      <w:r>
        <w:t>Nejsou popsány žádné kontraindikace během laktace.</w:t>
      </w:r>
    </w:p>
    <w:p w:rsidR="00783464" w:rsidRPr="00F75554" w:rsidRDefault="00783464" w:rsidP="00522A64">
      <w:pPr>
        <w:ind w:left="0" w:firstLine="0"/>
        <w:jc w:val="both"/>
        <w:rPr>
          <w:szCs w:val="22"/>
        </w:rPr>
      </w:pPr>
    </w:p>
    <w:p w:rsidR="00783464" w:rsidRDefault="00783464" w:rsidP="00522A64">
      <w:pPr>
        <w:ind w:left="0" w:firstLine="0"/>
        <w:jc w:val="both"/>
        <w:rPr>
          <w:szCs w:val="22"/>
          <w:u w:val="single"/>
        </w:rPr>
      </w:pPr>
      <w:r w:rsidRPr="00F75554">
        <w:rPr>
          <w:szCs w:val="22"/>
          <w:u w:val="single"/>
        </w:rPr>
        <w:t>Předávkování</w:t>
      </w:r>
      <w:r>
        <w:rPr>
          <w:szCs w:val="22"/>
          <w:u w:val="single"/>
        </w:rPr>
        <w:t>:</w:t>
      </w:r>
    </w:p>
    <w:p w:rsidR="00783464" w:rsidRDefault="00783464" w:rsidP="00522A64">
      <w:pPr>
        <w:ind w:left="0" w:firstLine="0"/>
        <w:jc w:val="both"/>
      </w:pPr>
      <w:r>
        <w:t>Při podání a</w:t>
      </w:r>
      <w:r w:rsidRPr="00C9289B">
        <w:t>ž 5 násobku doporučené dávky v</w:t>
      </w:r>
      <w:r>
        <w:t> </w:t>
      </w:r>
      <w:r w:rsidRPr="00C9289B">
        <w:t>režimu</w:t>
      </w:r>
      <w:r>
        <w:t>, kdy je přípravek podáván až třikrát denně místo doporučovaného podání jedenkrát denně n</w:t>
      </w:r>
      <w:r w:rsidRPr="00C9289B">
        <w:t xml:space="preserve">ebyly pozorovány žádné </w:t>
      </w:r>
      <w:r>
        <w:t xml:space="preserve">znatelné </w:t>
      </w:r>
      <w:r w:rsidRPr="00C9289B">
        <w:t xml:space="preserve">příznaky </w:t>
      </w:r>
      <w:r>
        <w:t>ať</w:t>
      </w:r>
      <w:r w:rsidRPr="00C9289B">
        <w:t xml:space="preserve"> lokální nebo celkové klinické nesnášenlivosti</w:t>
      </w:r>
      <w:r w:rsidR="003633C9">
        <w:t>.</w:t>
      </w:r>
      <w:bookmarkStart w:id="0" w:name="_GoBack"/>
      <w:bookmarkEnd w:id="0"/>
    </w:p>
    <w:p w:rsidR="003633C9" w:rsidRDefault="003633C9" w:rsidP="00522A64">
      <w:pPr>
        <w:ind w:left="0" w:firstLine="0"/>
        <w:jc w:val="both"/>
      </w:pPr>
    </w:p>
    <w:p w:rsidR="003633C9" w:rsidRPr="00B036D3" w:rsidRDefault="003633C9" w:rsidP="003633C9">
      <w:pPr>
        <w:ind w:left="0" w:firstLine="0"/>
        <w:jc w:val="both"/>
        <w:rPr>
          <w:szCs w:val="22"/>
          <w:u w:val="single"/>
        </w:rPr>
      </w:pPr>
      <w:r w:rsidRPr="00B036D3">
        <w:rPr>
          <w:szCs w:val="22"/>
          <w:u w:val="single"/>
        </w:rPr>
        <w:t>Inkompatibility:</w:t>
      </w:r>
    </w:p>
    <w:p w:rsidR="003633C9" w:rsidRPr="00F75554" w:rsidRDefault="003633C9" w:rsidP="003633C9">
      <w:pPr>
        <w:ind w:left="0" w:firstLine="0"/>
        <w:jc w:val="both"/>
      </w:pPr>
      <w:r w:rsidRPr="00F75554">
        <w:t>Studie kompatibility nejsou k dispozici, a proto tento veterinární léčivý přípravek nesmí být mísen s žádnými dalšími veterinárními léčivými příp</w:t>
      </w:r>
      <w:r>
        <w:t>ravky.</w:t>
      </w:r>
    </w:p>
    <w:p w:rsidR="003633C9" w:rsidRDefault="003633C9" w:rsidP="00522A64">
      <w:pPr>
        <w:ind w:left="0" w:firstLine="0"/>
        <w:jc w:val="both"/>
      </w:pPr>
    </w:p>
    <w:p w:rsidR="00554D84" w:rsidRPr="00F30D3F" w:rsidRDefault="00554D84" w:rsidP="00522A64">
      <w:pPr>
        <w:jc w:val="both"/>
      </w:pPr>
    </w:p>
    <w:p w:rsidR="00554D84" w:rsidRPr="00F30D3F" w:rsidRDefault="00554D84" w:rsidP="00522A64">
      <w:pPr>
        <w:jc w:val="both"/>
        <w:rPr>
          <w:b/>
        </w:rPr>
      </w:pPr>
      <w:r w:rsidRPr="006B7975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:rsidR="00554D84" w:rsidRPr="00F30D3F" w:rsidRDefault="00554D84" w:rsidP="00522A64">
      <w:pPr>
        <w:ind w:right="-318"/>
        <w:jc w:val="both"/>
      </w:pPr>
    </w:p>
    <w:p w:rsidR="009C6FB2" w:rsidRDefault="00554D84" w:rsidP="00522A64">
      <w:pPr>
        <w:ind w:left="0" w:right="-318" w:firstLine="0"/>
        <w:jc w:val="both"/>
      </w:pPr>
      <w:r w:rsidRPr="00F30D3F">
        <w:t>Léčivé přípravky se nesmí likvidovat prostřednictvím odpadní vody</w:t>
      </w:r>
      <w:r w:rsidR="00947B5B" w:rsidRPr="00F30D3F">
        <w:t xml:space="preserve"> </w:t>
      </w:r>
      <w:r w:rsidRPr="00F30D3F">
        <w:t>či domovního odpadu</w:t>
      </w:r>
      <w:r w:rsidR="00783464">
        <w:t xml:space="preserve">. </w:t>
      </w:r>
    </w:p>
    <w:p w:rsidR="00554D84" w:rsidRPr="00F30D3F" w:rsidRDefault="00783464" w:rsidP="00522A64">
      <w:pPr>
        <w:ind w:left="0" w:right="-318" w:firstLine="0"/>
        <w:jc w:val="both"/>
      </w:pPr>
      <w:r w:rsidRPr="00F30D3F">
        <w:t>Všechen nepoužitý veterinární léčivý přípravek nebo odpad, který pochází z tohoto přípravku, musí být likvidován pod</w:t>
      </w:r>
      <w:r>
        <w:t>le místních právních předpisů.</w:t>
      </w:r>
    </w:p>
    <w:p w:rsidR="00554D84" w:rsidRPr="00F467E9" w:rsidRDefault="00554D84" w:rsidP="00522A64">
      <w:pPr>
        <w:jc w:val="both"/>
      </w:pPr>
    </w:p>
    <w:p w:rsidR="00554D84" w:rsidRPr="00F30D3F" w:rsidRDefault="00554D84" w:rsidP="00522A64">
      <w:pPr>
        <w:jc w:val="both"/>
      </w:pPr>
      <w:r w:rsidRPr="006B7975">
        <w:rPr>
          <w:b/>
          <w:highlight w:val="lightGray"/>
        </w:rPr>
        <w:t>14.</w:t>
      </w:r>
      <w:r w:rsidRPr="00F30D3F">
        <w:rPr>
          <w:b/>
        </w:rPr>
        <w:tab/>
        <w:t>DATUM POSLEDNÍ REVIZE PŘÍBALOVÉ INFORMACE</w:t>
      </w:r>
    </w:p>
    <w:p w:rsidR="00554D84" w:rsidRPr="00F30D3F" w:rsidRDefault="00554D84" w:rsidP="00522A64">
      <w:pPr>
        <w:ind w:right="-318"/>
        <w:jc w:val="both"/>
      </w:pPr>
    </w:p>
    <w:p w:rsidR="00554D84" w:rsidRDefault="00690D33" w:rsidP="00522A64">
      <w:pPr>
        <w:ind w:right="-318"/>
        <w:jc w:val="both"/>
      </w:pPr>
      <w:r>
        <w:lastRenderedPageBreak/>
        <w:t>Srpen 2018</w:t>
      </w:r>
    </w:p>
    <w:p w:rsidR="00690D33" w:rsidRPr="00F30D3F" w:rsidRDefault="00690D33" w:rsidP="00522A64">
      <w:pPr>
        <w:ind w:right="-318"/>
        <w:jc w:val="both"/>
      </w:pPr>
    </w:p>
    <w:p w:rsidR="00554D84" w:rsidRPr="00F30D3F" w:rsidRDefault="00554D84" w:rsidP="00522A64">
      <w:pPr>
        <w:jc w:val="both"/>
      </w:pPr>
      <w:r w:rsidRPr="006B7975">
        <w:rPr>
          <w:b/>
          <w:highlight w:val="lightGray"/>
        </w:rPr>
        <w:t>15.</w:t>
      </w:r>
      <w:r w:rsidRPr="00F30D3F">
        <w:rPr>
          <w:b/>
        </w:rPr>
        <w:tab/>
        <w:t>DALŠÍ INFORMACE</w:t>
      </w:r>
    </w:p>
    <w:p w:rsidR="00554D84" w:rsidRPr="00F30D3F" w:rsidRDefault="00554D84" w:rsidP="00522A64">
      <w:pPr>
        <w:jc w:val="both"/>
      </w:pPr>
    </w:p>
    <w:p w:rsidR="00783464" w:rsidRPr="00690D33" w:rsidRDefault="00783464" w:rsidP="00522A64">
      <w:pPr>
        <w:jc w:val="both"/>
      </w:pPr>
      <w:r w:rsidRPr="00690D33">
        <w:t>Pouze pro zvířata.</w:t>
      </w:r>
    </w:p>
    <w:p w:rsidR="00783464" w:rsidRPr="00690D33" w:rsidRDefault="00783464" w:rsidP="00522A64">
      <w:pPr>
        <w:jc w:val="both"/>
      </w:pPr>
      <w:r w:rsidRPr="00690D33">
        <w:t>Veterinární léčivý přípravek je vydáván pouze na předpis.</w:t>
      </w:r>
    </w:p>
    <w:p w:rsidR="00783464" w:rsidRDefault="00783464" w:rsidP="00522A64">
      <w:pPr>
        <w:ind w:left="0" w:right="-318" w:firstLine="0"/>
        <w:jc w:val="both"/>
        <w:rPr>
          <w:u w:val="single"/>
        </w:rPr>
      </w:pPr>
    </w:p>
    <w:p w:rsidR="00783464" w:rsidRPr="00D81C0A" w:rsidRDefault="00783464" w:rsidP="00522A64">
      <w:pPr>
        <w:ind w:left="0" w:right="-318" w:firstLine="0"/>
        <w:jc w:val="both"/>
        <w:rPr>
          <w:u w:val="single"/>
        </w:rPr>
      </w:pPr>
      <w:r w:rsidRPr="00D81C0A">
        <w:rPr>
          <w:u w:val="single"/>
        </w:rPr>
        <w:t xml:space="preserve">Velikosti balení: </w:t>
      </w:r>
    </w:p>
    <w:p w:rsidR="00783464" w:rsidRDefault="00B23FBF" w:rsidP="00522A64">
      <w:pPr>
        <w:ind w:left="0" w:right="-318" w:firstLine="0"/>
        <w:jc w:val="both"/>
      </w:pPr>
      <w:r>
        <w:t>Papírová k</w:t>
      </w:r>
      <w:r w:rsidR="00783464">
        <w:t xml:space="preserve">rabička obsahující 1 skleněnou </w:t>
      </w:r>
      <w:r>
        <w:t xml:space="preserve">injekční </w:t>
      </w:r>
      <w:r w:rsidR="00783464">
        <w:t xml:space="preserve">lahvičku o objemu </w:t>
      </w:r>
      <w:r w:rsidR="00783464" w:rsidRPr="001A7124">
        <w:t xml:space="preserve">6, 20, 50 </w:t>
      </w:r>
      <w:r w:rsidR="00783464">
        <w:t>nebo</w:t>
      </w:r>
      <w:r w:rsidR="00783464" w:rsidRPr="001A7124">
        <w:t xml:space="preserve"> 100 ml</w:t>
      </w:r>
      <w:r w:rsidR="00783464">
        <w:t>.</w:t>
      </w:r>
    </w:p>
    <w:p w:rsidR="00783464" w:rsidRDefault="00B23FBF" w:rsidP="00522A64">
      <w:pPr>
        <w:ind w:left="0" w:right="-318" w:firstLine="0"/>
        <w:jc w:val="both"/>
      </w:pPr>
      <w:r>
        <w:t>Papírová k</w:t>
      </w:r>
      <w:r w:rsidR="00783464">
        <w:t xml:space="preserve">rabička obsahující 10 skleněných </w:t>
      </w:r>
      <w:r>
        <w:t xml:space="preserve">injekčních </w:t>
      </w:r>
      <w:r w:rsidR="00783464">
        <w:t xml:space="preserve">lahviček o objemu </w:t>
      </w:r>
      <w:r w:rsidR="00783464" w:rsidRPr="001A7124">
        <w:t>6</w:t>
      </w:r>
      <w:r w:rsidR="00783464">
        <w:t xml:space="preserve"> </w:t>
      </w:r>
      <w:r w:rsidR="00783464" w:rsidRPr="001A7124">
        <w:t>ml</w:t>
      </w:r>
      <w:r w:rsidR="00783464">
        <w:t>.</w:t>
      </w:r>
    </w:p>
    <w:p w:rsidR="00554D84" w:rsidRPr="00F30D3F" w:rsidRDefault="00554D84" w:rsidP="00522A64">
      <w:pPr>
        <w:jc w:val="both"/>
      </w:pPr>
      <w:r w:rsidRPr="00F30D3F">
        <w:t>Na trhu nemus</w:t>
      </w:r>
      <w:r w:rsidR="00783464">
        <w:t>í být všechny velikosti balení.</w:t>
      </w:r>
    </w:p>
    <w:p w:rsidR="00554D84" w:rsidRPr="00F30D3F" w:rsidRDefault="00554D84" w:rsidP="00522A64">
      <w:pPr>
        <w:ind w:right="-2"/>
        <w:jc w:val="both"/>
      </w:pPr>
    </w:p>
    <w:p w:rsidR="00554D84" w:rsidRPr="00690D33" w:rsidRDefault="00554D84" w:rsidP="00522A64">
      <w:pPr>
        <w:ind w:left="0" w:right="-2" w:firstLine="0"/>
        <w:jc w:val="both"/>
      </w:pPr>
      <w:r w:rsidRPr="00690D33">
        <w:t>Pokud chcete získat informace o tomto veterinárním léčivém přípravku, kontaktujte prosím příslušného místního zástupce držitele rozhodnutí o registraci.</w:t>
      </w:r>
    </w:p>
    <w:p w:rsidR="005E376A" w:rsidRPr="003633C9" w:rsidRDefault="005E376A" w:rsidP="00522A64">
      <w:pPr>
        <w:jc w:val="both"/>
        <w:rPr>
          <w:noProof/>
        </w:rPr>
      </w:pPr>
    </w:p>
    <w:p w:rsidR="00F51039" w:rsidRDefault="00F51039" w:rsidP="00522A64">
      <w:pPr>
        <w:jc w:val="both"/>
        <w:rPr>
          <w:noProof/>
        </w:rPr>
      </w:pPr>
    </w:p>
    <w:sectPr w:rsidR="00F51039">
      <w:footerReference w:type="defaul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03" w:rsidRDefault="00E27103">
      <w:r>
        <w:separator/>
      </w:r>
    </w:p>
  </w:endnote>
  <w:endnote w:type="continuationSeparator" w:id="0">
    <w:p w:rsidR="00E27103" w:rsidRDefault="00E2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B3" w:rsidRPr="000A6B2C" w:rsidRDefault="00CF7CB3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CF7CB3" w:rsidRPr="000A6B2C" w:rsidRDefault="00CF7CB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3633C9">
      <w:rPr>
        <w:rFonts w:ascii="Times New Roman" w:hAnsi="Times New Roman"/>
        <w:noProof/>
      </w:rPr>
      <w:t>5</w:t>
    </w:r>
    <w:r w:rsidRPr="000A6B2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B3" w:rsidRDefault="00CF7CB3">
    <w:pPr>
      <w:pStyle w:val="Zpat"/>
      <w:tabs>
        <w:tab w:val="clear" w:pos="8930"/>
        <w:tab w:val="right" w:pos="8931"/>
      </w:tabs>
    </w:pPr>
  </w:p>
  <w:p w:rsidR="00CF7CB3" w:rsidRPr="000A6B2C" w:rsidRDefault="00CF7CB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3633C9">
      <w:rPr>
        <w:rFonts w:ascii="Times New Roman" w:hAnsi="Times New Roman"/>
        <w:noProof/>
      </w:rPr>
      <w:t>1</w:t>
    </w:r>
    <w:r w:rsidRPr="000A6B2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03" w:rsidRDefault="00E27103">
      <w:r>
        <w:separator/>
      </w:r>
    </w:p>
  </w:footnote>
  <w:footnote w:type="continuationSeparator" w:id="0">
    <w:p w:rsidR="00E27103" w:rsidRDefault="00E27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5C773F1"/>
    <w:multiLevelType w:val="hybridMultilevel"/>
    <w:tmpl w:val="7D746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24407"/>
    <w:multiLevelType w:val="hybridMultilevel"/>
    <w:tmpl w:val="E196D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7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3A83DBA"/>
    <w:multiLevelType w:val="hybridMultilevel"/>
    <w:tmpl w:val="96363AC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>
    <w:nsid w:val="4DDA5A25"/>
    <w:multiLevelType w:val="hybridMultilevel"/>
    <w:tmpl w:val="54362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A3F65D8"/>
    <w:multiLevelType w:val="multilevel"/>
    <w:tmpl w:val="A02E932A"/>
    <w:numStyleLink w:val="BulletsAgency"/>
  </w:abstractNum>
  <w:abstractNum w:abstractNumId="31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2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6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8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2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45">
    <w:nsid w:val="7A490294"/>
    <w:multiLevelType w:val="hybridMultilevel"/>
    <w:tmpl w:val="1BC6B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2"/>
  </w:num>
  <w:num w:numId="5">
    <w:abstractNumId w:val="41"/>
  </w:num>
  <w:num w:numId="6">
    <w:abstractNumId w:val="14"/>
  </w:num>
  <w:num w:numId="7">
    <w:abstractNumId w:val="27"/>
  </w:num>
  <w:num w:numId="8">
    <w:abstractNumId w:val="25"/>
  </w:num>
  <w:num w:numId="9">
    <w:abstractNumId w:val="7"/>
  </w:num>
  <w:num w:numId="10">
    <w:abstractNumId w:val="39"/>
  </w:num>
  <w:num w:numId="11">
    <w:abstractNumId w:val="40"/>
  </w:num>
  <w:num w:numId="12">
    <w:abstractNumId w:val="20"/>
  </w:num>
  <w:num w:numId="13">
    <w:abstractNumId w:val="16"/>
  </w:num>
  <w:num w:numId="14">
    <w:abstractNumId w:val="2"/>
  </w:num>
  <w:num w:numId="15">
    <w:abstractNumId w:val="37"/>
  </w:num>
  <w:num w:numId="16">
    <w:abstractNumId w:val="23"/>
  </w:num>
  <w:num w:numId="17">
    <w:abstractNumId w:val="43"/>
  </w:num>
  <w:num w:numId="18">
    <w:abstractNumId w:val="8"/>
  </w:num>
  <w:num w:numId="19">
    <w:abstractNumId w:val="1"/>
  </w:num>
  <w:num w:numId="20">
    <w:abstractNumId w:val="21"/>
  </w:num>
  <w:num w:numId="21">
    <w:abstractNumId w:val="3"/>
  </w:num>
  <w:num w:numId="22">
    <w:abstractNumId w:val="6"/>
  </w:num>
  <w:num w:numId="23">
    <w:abstractNumId w:val="31"/>
  </w:num>
  <w:num w:numId="24">
    <w:abstractNumId w:val="11"/>
  </w:num>
  <w:num w:numId="25">
    <w:abstractNumId w:val="36"/>
  </w:num>
  <w:num w:numId="26">
    <w:abstractNumId w:val="29"/>
  </w:num>
  <w:num w:numId="27">
    <w:abstractNumId w:val="15"/>
  </w:num>
  <w:num w:numId="28">
    <w:abstractNumId w:val="10"/>
  </w:num>
  <w:num w:numId="29">
    <w:abstractNumId w:val="24"/>
  </w:num>
  <w:num w:numId="30">
    <w:abstractNumId w:val="28"/>
  </w:num>
  <w:num w:numId="31">
    <w:abstractNumId w:val="18"/>
  </w:num>
  <w:num w:numId="32">
    <w:abstractNumId w:val="9"/>
  </w:num>
  <w:num w:numId="33">
    <w:abstractNumId w:val="34"/>
  </w:num>
  <w:num w:numId="34">
    <w:abstractNumId w:val="35"/>
  </w:num>
  <w:num w:numId="35">
    <w:abstractNumId w:val="33"/>
  </w:num>
  <w:num w:numId="36">
    <w:abstractNumId w:val="19"/>
  </w:num>
  <w:num w:numId="37">
    <w:abstractNumId w:val="4"/>
  </w:num>
  <w:num w:numId="38">
    <w:abstractNumId w:val="44"/>
  </w:num>
  <w:num w:numId="39">
    <w:abstractNumId w:val="17"/>
  </w:num>
  <w:num w:numId="40">
    <w:abstractNumId w:val="5"/>
  </w:num>
  <w:num w:numId="41">
    <w:abstractNumId w:val="30"/>
  </w:num>
  <w:num w:numId="42">
    <w:abstractNumId w:val="38"/>
  </w:num>
  <w:num w:numId="43">
    <w:abstractNumId w:val="13"/>
  </w:num>
  <w:num w:numId="44">
    <w:abstractNumId w:val="26"/>
  </w:num>
  <w:num w:numId="45">
    <w:abstractNumId w:val="22"/>
  </w:num>
  <w:num w:numId="46">
    <w:abstractNumId w:val="4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72D5"/>
    <w:rsid w:val="00013853"/>
    <w:rsid w:val="00013E5A"/>
    <w:rsid w:val="00044181"/>
    <w:rsid w:val="00056330"/>
    <w:rsid w:val="00067640"/>
    <w:rsid w:val="00077875"/>
    <w:rsid w:val="00084DED"/>
    <w:rsid w:val="000A6B2C"/>
    <w:rsid w:val="000A7089"/>
    <w:rsid w:val="000B12E8"/>
    <w:rsid w:val="000F1AB7"/>
    <w:rsid w:val="000F5B91"/>
    <w:rsid w:val="00116F84"/>
    <w:rsid w:val="00140775"/>
    <w:rsid w:val="001443DA"/>
    <w:rsid w:val="00151D8A"/>
    <w:rsid w:val="00152E20"/>
    <w:rsid w:val="001556FD"/>
    <w:rsid w:val="00155E9D"/>
    <w:rsid w:val="001652DE"/>
    <w:rsid w:val="001751C8"/>
    <w:rsid w:val="00175CFD"/>
    <w:rsid w:val="001A24A9"/>
    <w:rsid w:val="001A5B3A"/>
    <w:rsid w:val="001C6818"/>
    <w:rsid w:val="001E0872"/>
    <w:rsid w:val="001E1F34"/>
    <w:rsid w:val="001F66B4"/>
    <w:rsid w:val="0020738F"/>
    <w:rsid w:val="00224025"/>
    <w:rsid w:val="002374AD"/>
    <w:rsid w:val="0025393A"/>
    <w:rsid w:val="00270447"/>
    <w:rsid w:val="002742A8"/>
    <w:rsid w:val="00293BE7"/>
    <w:rsid w:val="00294D9B"/>
    <w:rsid w:val="00296924"/>
    <w:rsid w:val="002B7702"/>
    <w:rsid w:val="002B7F7D"/>
    <w:rsid w:val="002C4E18"/>
    <w:rsid w:val="002D131D"/>
    <w:rsid w:val="002D585B"/>
    <w:rsid w:val="002E18DB"/>
    <w:rsid w:val="002E703B"/>
    <w:rsid w:val="003537B9"/>
    <w:rsid w:val="00362DA6"/>
    <w:rsid w:val="003633C9"/>
    <w:rsid w:val="00381254"/>
    <w:rsid w:val="003A7224"/>
    <w:rsid w:val="003C663E"/>
    <w:rsid w:val="003D4FDD"/>
    <w:rsid w:val="003E0D57"/>
    <w:rsid w:val="003E3E6C"/>
    <w:rsid w:val="003E408E"/>
    <w:rsid w:val="003F7E7F"/>
    <w:rsid w:val="00401AB8"/>
    <w:rsid w:val="00403374"/>
    <w:rsid w:val="00410FC4"/>
    <w:rsid w:val="004454F9"/>
    <w:rsid w:val="00445529"/>
    <w:rsid w:val="00445750"/>
    <w:rsid w:val="00453EE6"/>
    <w:rsid w:val="00455F65"/>
    <w:rsid w:val="00464269"/>
    <w:rsid w:val="00476943"/>
    <w:rsid w:val="0049115A"/>
    <w:rsid w:val="004A4A2C"/>
    <w:rsid w:val="004A6C10"/>
    <w:rsid w:val="004C6BD4"/>
    <w:rsid w:val="004D3940"/>
    <w:rsid w:val="004E33B0"/>
    <w:rsid w:val="004F3604"/>
    <w:rsid w:val="004F5876"/>
    <w:rsid w:val="0051545F"/>
    <w:rsid w:val="00522A64"/>
    <w:rsid w:val="00525669"/>
    <w:rsid w:val="00537604"/>
    <w:rsid w:val="00554D84"/>
    <w:rsid w:val="005623C9"/>
    <w:rsid w:val="0056452D"/>
    <w:rsid w:val="005657D9"/>
    <w:rsid w:val="00575EB0"/>
    <w:rsid w:val="00592696"/>
    <w:rsid w:val="005B64B8"/>
    <w:rsid w:val="005E27E9"/>
    <w:rsid w:val="005E376A"/>
    <w:rsid w:val="005E50A5"/>
    <w:rsid w:val="005F2E32"/>
    <w:rsid w:val="005F7959"/>
    <w:rsid w:val="005F7FA2"/>
    <w:rsid w:val="0061779F"/>
    <w:rsid w:val="00617DF7"/>
    <w:rsid w:val="0063683D"/>
    <w:rsid w:val="006669B8"/>
    <w:rsid w:val="00682E55"/>
    <w:rsid w:val="00690D33"/>
    <w:rsid w:val="006924E6"/>
    <w:rsid w:val="006A2F72"/>
    <w:rsid w:val="006B7975"/>
    <w:rsid w:val="006C4941"/>
    <w:rsid w:val="006C733F"/>
    <w:rsid w:val="006D067E"/>
    <w:rsid w:val="006D2E0C"/>
    <w:rsid w:val="006D4FCD"/>
    <w:rsid w:val="006D699C"/>
    <w:rsid w:val="006E2117"/>
    <w:rsid w:val="006E66ED"/>
    <w:rsid w:val="006F09CF"/>
    <w:rsid w:val="006F64E7"/>
    <w:rsid w:val="006F665B"/>
    <w:rsid w:val="00702703"/>
    <w:rsid w:val="00711992"/>
    <w:rsid w:val="00714D0D"/>
    <w:rsid w:val="00717DDF"/>
    <w:rsid w:val="00725273"/>
    <w:rsid w:val="00730F7C"/>
    <w:rsid w:val="00742EB3"/>
    <w:rsid w:val="00743110"/>
    <w:rsid w:val="0077431E"/>
    <w:rsid w:val="00783464"/>
    <w:rsid w:val="007A5610"/>
    <w:rsid w:val="007C1E9F"/>
    <w:rsid w:val="007C495D"/>
    <w:rsid w:val="007C5608"/>
    <w:rsid w:val="007C6C15"/>
    <w:rsid w:val="007F0B23"/>
    <w:rsid w:val="007F6A96"/>
    <w:rsid w:val="008039B0"/>
    <w:rsid w:val="008043EC"/>
    <w:rsid w:val="0081008D"/>
    <w:rsid w:val="00870214"/>
    <w:rsid w:val="008758DA"/>
    <w:rsid w:val="00877ACB"/>
    <w:rsid w:val="0088105E"/>
    <w:rsid w:val="008963C9"/>
    <w:rsid w:val="008A1D73"/>
    <w:rsid w:val="008B1355"/>
    <w:rsid w:val="008C210D"/>
    <w:rsid w:val="008E0201"/>
    <w:rsid w:val="008E1461"/>
    <w:rsid w:val="008E2455"/>
    <w:rsid w:val="008E66D3"/>
    <w:rsid w:val="00941A51"/>
    <w:rsid w:val="00944997"/>
    <w:rsid w:val="00945D2D"/>
    <w:rsid w:val="00947B5B"/>
    <w:rsid w:val="00952E34"/>
    <w:rsid w:val="00953EB1"/>
    <w:rsid w:val="00955A6D"/>
    <w:rsid w:val="00961016"/>
    <w:rsid w:val="00976E1F"/>
    <w:rsid w:val="00976FEC"/>
    <w:rsid w:val="00990893"/>
    <w:rsid w:val="009A2A10"/>
    <w:rsid w:val="009C5E42"/>
    <w:rsid w:val="009C6FB2"/>
    <w:rsid w:val="009D5C28"/>
    <w:rsid w:val="009F3DD7"/>
    <w:rsid w:val="00A121C4"/>
    <w:rsid w:val="00A219CA"/>
    <w:rsid w:val="00A304F8"/>
    <w:rsid w:val="00A33D05"/>
    <w:rsid w:val="00A51E19"/>
    <w:rsid w:val="00A60A84"/>
    <w:rsid w:val="00A62170"/>
    <w:rsid w:val="00A94807"/>
    <w:rsid w:val="00AC6513"/>
    <w:rsid w:val="00AD2658"/>
    <w:rsid w:val="00AE3E60"/>
    <w:rsid w:val="00AF0F5F"/>
    <w:rsid w:val="00B1150B"/>
    <w:rsid w:val="00B230BC"/>
    <w:rsid w:val="00B23FBF"/>
    <w:rsid w:val="00B41526"/>
    <w:rsid w:val="00B52AFE"/>
    <w:rsid w:val="00B53127"/>
    <w:rsid w:val="00B62DA0"/>
    <w:rsid w:val="00BA7E09"/>
    <w:rsid w:val="00BC21D8"/>
    <w:rsid w:val="00BD0D80"/>
    <w:rsid w:val="00BD6DD5"/>
    <w:rsid w:val="00BD7E5A"/>
    <w:rsid w:val="00BF52CC"/>
    <w:rsid w:val="00C009AF"/>
    <w:rsid w:val="00C124BB"/>
    <w:rsid w:val="00C27C63"/>
    <w:rsid w:val="00C30F59"/>
    <w:rsid w:val="00C36E0D"/>
    <w:rsid w:val="00C420A0"/>
    <w:rsid w:val="00C61682"/>
    <w:rsid w:val="00C71CE4"/>
    <w:rsid w:val="00C7574D"/>
    <w:rsid w:val="00C82DDD"/>
    <w:rsid w:val="00C8461A"/>
    <w:rsid w:val="00C8498E"/>
    <w:rsid w:val="00C9401A"/>
    <w:rsid w:val="00CA0601"/>
    <w:rsid w:val="00CA0A9E"/>
    <w:rsid w:val="00CB1ED6"/>
    <w:rsid w:val="00CD72B6"/>
    <w:rsid w:val="00CF421C"/>
    <w:rsid w:val="00CF5161"/>
    <w:rsid w:val="00CF7CB3"/>
    <w:rsid w:val="00D042A0"/>
    <w:rsid w:val="00D135CF"/>
    <w:rsid w:val="00D26FFF"/>
    <w:rsid w:val="00D629B6"/>
    <w:rsid w:val="00D86292"/>
    <w:rsid w:val="00D8668E"/>
    <w:rsid w:val="00D92FD1"/>
    <w:rsid w:val="00DA2C11"/>
    <w:rsid w:val="00DA6885"/>
    <w:rsid w:val="00DE2E3E"/>
    <w:rsid w:val="00DE44F8"/>
    <w:rsid w:val="00DF1B51"/>
    <w:rsid w:val="00E27103"/>
    <w:rsid w:val="00E32C0F"/>
    <w:rsid w:val="00E53AB5"/>
    <w:rsid w:val="00E54A11"/>
    <w:rsid w:val="00E80297"/>
    <w:rsid w:val="00E97859"/>
    <w:rsid w:val="00EA67B0"/>
    <w:rsid w:val="00EA74C5"/>
    <w:rsid w:val="00EB45EB"/>
    <w:rsid w:val="00EB566F"/>
    <w:rsid w:val="00EC0BFB"/>
    <w:rsid w:val="00ED08CE"/>
    <w:rsid w:val="00F0568D"/>
    <w:rsid w:val="00F10A37"/>
    <w:rsid w:val="00F16315"/>
    <w:rsid w:val="00F223E8"/>
    <w:rsid w:val="00F30D3F"/>
    <w:rsid w:val="00F45F6F"/>
    <w:rsid w:val="00F467E9"/>
    <w:rsid w:val="00F50BCE"/>
    <w:rsid w:val="00F51039"/>
    <w:rsid w:val="00F55472"/>
    <w:rsid w:val="00F564C7"/>
    <w:rsid w:val="00F637CA"/>
    <w:rsid w:val="00F658EE"/>
    <w:rsid w:val="00F75554"/>
    <w:rsid w:val="00FA4BEE"/>
    <w:rsid w:val="00FA6998"/>
    <w:rsid w:val="00FB42E6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NewRoman,Italic" w:hAnsi="TimesNewRoman,Italic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013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NewRoman,Italic" w:hAnsi="TimesNewRoman,Italic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013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5E089-8CD4-458A-8D1C-7B0DD21F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6821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CS_qrd_veterinary template_v. 8.1_clean</vt:lpstr>
      <vt:lpstr>CS_qrd_veterinary template_v. 8.1_clean</vt:lpstr>
    </vt:vector>
  </TitlesOfParts>
  <LinksUpToDate>false</LinksUpToDate>
  <CharactersWithSpaces>7961</CharactersWithSpaces>
  <SharedDoc>false</SharedDoc>
  <HLinks>
    <vt:vector size="6" baseType="variant">
      <vt:variant>
        <vt:i4>5963884</vt:i4>
      </vt:variant>
      <vt:variant>
        <vt:i4>0</vt:i4>
      </vt:variant>
      <vt:variant>
        <vt:i4>0</vt:i4>
      </vt:variant>
      <vt:variant>
        <vt:i4>5</vt:i4>
      </vt:variant>
      <vt:variant>
        <vt:lpwstr>mailto:mail@syva.es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template_v. 8.1_clean</dc:title>
  <dc:creator/>
  <cp:lastModifiedBy/>
  <cp:revision>1</cp:revision>
  <dcterms:created xsi:type="dcterms:W3CDTF">2018-06-18T08:47:00Z</dcterms:created>
  <dcterms:modified xsi:type="dcterms:W3CDTF">2018-11-21T06:33:00Z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CS_qrd_veterinary template_v. 8.1_clean</vt:lpwstr>
  </property>
  <property fmtid="{D5CDD505-2E9C-101B-9397-08002B2CF9AE}" pid="4" name="DM_Creation_Date">
    <vt:lpwstr>07/02/2017 17:08:10</vt:lpwstr>
  </property>
  <property fmtid="{D5CDD505-2E9C-101B-9397-08002B2CF9AE}" pid="5" name="DM_Modify_Date">
    <vt:lpwstr>07/02/2017 17:08:10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EMA/89123/2017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templates/13 V-template v.8.1 - publication/03 All other languages vet QRD PI_for publication/01 Cle</vt:lpwstr>
  </property>
  <property fmtid="{D5CDD505-2E9C-101B-9397-08002B2CF9AE}" pid="12" name="DM_emea_doc_ref_id">
    <vt:lpwstr>EMA/89123/2017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07/02/2017 17:08:10</vt:lpwstr>
  </property>
</Properties>
</file>