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7" w:rsidRDefault="001043B7" w:rsidP="001043B7">
      <w:pPr>
        <w:tabs>
          <w:tab w:val="clear" w:pos="567"/>
        </w:tabs>
        <w:spacing w:line="240" w:lineRule="auto"/>
        <w:rPr>
          <w:szCs w:val="22"/>
        </w:rPr>
      </w:pPr>
    </w:p>
    <w:p w:rsidR="00954DF4" w:rsidRDefault="00954DF4" w:rsidP="001043B7">
      <w:pPr>
        <w:tabs>
          <w:tab w:val="clear" w:pos="567"/>
        </w:tabs>
        <w:spacing w:line="240" w:lineRule="auto"/>
        <w:rPr>
          <w:szCs w:val="22"/>
        </w:rPr>
      </w:pPr>
    </w:p>
    <w:p w:rsidR="00954DF4" w:rsidRDefault="00954DF4" w:rsidP="001043B7">
      <w:pPr>
        <w:tabs>
          <w:tab w:val="clear" w:pos="567"/>
        </w:tabs>
        <w:spacing w:line="240" w:lineRule="auto"/>
        <w:rPr>
          <w:szCs w:val="22"/>
        </w:rPr>
      </w:pPr>
    </w:p>
    <w:p w:rsidR="00954DF4" w:rsidRPr="00EB25BE" w:rsidRDefault="00954DF4" w:rsidP="001043B7">
      <w:pPr>
        <w:tabs>
          <w:tab w:val="clear" w:pos="567"/>
        </w:tabs>
        <w:spacing w:line="240" w:lineRule="auto"/>
        <w:rPr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rPr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rPr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rPr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rPr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1043B7" w:rsidRPr="00EB25BE" w:rsidRDefault="001043B7" w:rsidP="001043B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</w:p>
    <w:p w:rsidR="006B33B7" w:rsidRPr="00EB25BE" w:rsidRDefault="00A9725E" w:rsidP="006B33B7">
      <w:pPr>
        <w:autoSpaceDE w:val="0"/>
        <w:autoSpaceDN w:val="0"/>
        <w:adjustRightInd w:val="0"/>
        <w:spacing w:line="240" w:lineRule="auto"/>
        <w:ind w:right="100"/>
        <w:jc w:val="center"/>
      </w:pPr>
      <w:r w:rsidRPr="00F30D3F">
        <w:rPr>
          <w:b/>
        </w:rPr>
        <w:t>PŘÍBALOVÁ INFORMACE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sectPr w:rsidR="006B33B7" w:rsidRPr="00EB25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B33B7" w:rsidRPr="00EB25BE" w:rsidRDefault="00A9725E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b/>
          <w:bCs/>
        </w:rPr>
      </w:pPr>
      <w:r w:rsidRPr="00F30D3F">
        <w:rPr>
          <w:b/>
        </w:rPr>
        <w:lastRenderedPageBreak/>
        <w:t>PŘÍBALOVÁ INFORMACE</w:t>
      </w:r>
      <w:r w:rsidR="00234D0C">
        <w:rPr>
          <w:b/>
        </w:rPr>
        <w:t xml:space="preserve"> PRO</w:t>
      </w:r>
      <w:r w:rsidRPr="00F30D3F">
        <w:rPr>
          <w:b/>
        </w:rPr>
        <w:t>: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  <w:rPr>
          <w:szCs w:val="22"/>
        </w:rPr>
      </w:pPr>
    </w:p>
    <w:p w:rsidR="00493379" w:rsidRPr="00074CDF" w:rsidRDefault="00493379" w:rsidP="00493379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Apravet</w:t>
      </w:r>
      <w:proofErr w:type="spellEnd"/>
      <w:r>
        <w:rPr>
          <w:color w:val="000000"/>
        </w:rPr>
        <w:t xml:space="preserve">  552 IU/mg prášek pro </w:t>
      </w:r>
      <w:r w:rsidR="0034267C">
        <w:rPr>
          <w:color w:val="000000"/>
        </w:rPr>
        <w:t xml:space="preserve">podání </w:t>
      </w:r>
      <w:r>
        <w:rPr>
          <w:color w:val="000000"/>
        </w:rPr>
        <w:t>v pitné vodě/mléce pro prasata, telata, kuřata a králíky</w:t>
      </w:r>
    </w:p>
    <w:p w:rsidR="00493379" w:rsidRPr="00074CDF" w:rsidRDefault="00493379" w:rsidP="00493379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right="100"/>
        <w:jc w:val="center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270" w:hanging="270"/>
        <w:rPr>
          <w:b/>
          <w:bCs/>
        </w:rPr>
      </w:pPr>
      <w:r>
        <w:rPr>
          <w:b/>
          <w:bCs/>
        </w:rPr>
        <w:t xml:space="preserve">1. JMÉNO A ADRESA DRŽITELE ROZHODNUTÍ O REGISTRACI A DRŽITELE POVOLENÍ K VÝROBĚ, ODPOVĚDNÉHO ZA UVOLNĚNÍ ŠARŽE, POKUD SE NESHODUJE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270" w:hanging="270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 xml:space="preserve">Držitel rozhodnutí o registraci: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proofErr w:type="spellStart"/>
      <w:r>
        <w:rPr>
          <w:bCs/>
        </w:rPr>
        <w:t>Huvepharma</w:t>
      </w:r>
      <w:proofErr w:type="spellEnd"/>
      <w:r>
        <w:rPr>
          <w:bCs/>
        </w:rPr>
        <w:t xml:space="preserve"> NV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proofErr w:type="spellStart"/>
      <w:r>
        <w:rPr>
          <w:bCs/>
        </w:rPr>
        <w:t>Uitbreidingstraat</w:t>
      </w:r>
      <w:proofErr w:type="spellEnd"/>
      <w:r>
        <w:rPr>
          <w:bCs/>
        </w:rPr>
        <w:t xml:space="preserve"> 80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r>
        <w:rPr>
          <w:bCs/>
        </w:rPr>
        <w:t xml:space="preserve">2600 </w:t>
      </w:r>
      <w:proofErr w:type="spellStart"/>
      <w:r>
        <w:rPr>
          <w:bCs/>
        </w:rPr>
        <w:t>Antwerp</w:t>
      </w:r>
      <w:r w:rsidR="0067316D">
        <w:rPr>
          <w:bCs/>
        </w:rPr>
        <w:t>en</w:t>
      </w:r>
      <w:bookmarkStart w:id="0" w:name="_GoBack"/>
      <w:bookmarkEnd w:id="0"/>
      <w:proofErr w:type="spellEnd"/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600" w:hanging="600"/>
        <w:rPr>
          <w:bCs/>
        </w:rPr>
      </w:pPr>
      <w:r>
        <w:rPr>
          <w:bCs/>
        </w:rPr>
        <w:t>Belgie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600" w:hanging="600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  <w:r>
        <w:rPr>
          <w:u w:val="single"/>
        </w:rPr>
        <w:t xml:space="preserve">Výrobce odpovědný za uvolnění šarže: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proofErr w:type="spellStart"/>
      <w:r>
        <w:rPr>
          <w:bCs/>
        </w:rPr>
        <w:t>Biovet</w:t>
      </w:r>
      <w:proofErr w:type="spellEnd"/>
      <w:r>
        <w:rPr>
          <w:bCs/>
        </w:rPr>
        <w:t xml:space="preserve"> JSC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rPr>
          <w:bCs/>
        </w:rPr>
        <w:t xml:space="preserve">39 Petar Rakov </w:t>
      </w:r>
      <w:proofErr w:type="spellStart"/>
      <w:r>
        <w:rPr>
          <w:bCs/>
        </w:rPr>
        <w:t>Str</w:t>
      </w:r>
      <w:proofErr w:type="spellEnd"/>
      <w:r>
        <w:rPr>
          <w:bCs/>
        </w:rPr>
        <w:t>,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rPr>
          <w:bCs/>
        </w:rPr>
        <w:t xml:space="preserve">4550 </w:t>
      </w:r>
      <w:proofErr w:type="spellStart"/>
      <w:r>
        <w:rPr>
          <w:bCs/>
        </w:rPr>
        <w:t>Peshtera</w:t>
      </w:r>
      <w:proofErr w:type="spellEnd"/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  <w:r>
        <w:rPr>
          <w:bCs/>
        </w:rPr>
        <w:t>Bulharsko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2. NÁZEV VETERINÁRNÍHO LÉČIVÉHO PŘÍPRAVKU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</w:p>
    <w:p w:rsidR="00493379" w:rsidRPr="00074CDF" w:rsidRDefault="00493379" w:rsidP="00493379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Apravet</w:t>
      </w:r>
      <w:proofErr w:type="spellEnd"/>
      <w:r>
        <w:rPr>
          <w:color w:val="000000"/>
        </w:rPr>
        <w:t xml:space="preserve">  552 IU/mg prášek pro </w:t>
      </w:r>
      <w:r w:rsidR="0034267C">
        <w:rPr>
          <w:color w:val="000000"/>
        </w:rPr>
        <w:t xml:space="preserve">podání </w:t>
      </w:r>
      <w:r>
        <w:rPr>
          <w:color w:val="000000"/>
        </w:rPr>
        <w:t>v pitné vodě/mléce pro prasata, telata, kuřata a králíky</w:t>
      </w:r>
    </w:p>
    <w:p w:rsidR="00493379" w:rsidRPr="00074CDF" w:rsidRDefault="00493379" w:rsidP="00493379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spellStart"/>
      <w:r>
        <w:rPr>
          <w:bCs/>
        </w:rPr>
        <w:t>Apramycin</w:t>
      </w:r>
      <w:r w:rsidR="0034267C">
        <w:rPr>
          <w:bCs/>
        </w:rPr>
        <w:t>um</w:t>
      </w:r>
      <w:proofErr w:type="spellEnd"/>
      <w:r>
        <w:rPr>
          <w:bCs/>
        </w:rPr>
        <w:t xml:space="preserve"> (</w:t>
      </w:r>
      <w:r w:rsidR="0034267C">
        <w:rPr>
          <w:bCs/>
        </w:rPr>
        <w:t>jako</w:t>
      </w:r>
      <w:r>
        <w:rPr>
          <w:bCs/>
        </w:rPr>
        <w:t xml:space="preserve"> </w:t>
      </w:r>
      <w:proofErr w:type="spellStart"/>
      <w:r>
        <w:rPr>
          <w:bCs/>
        </w:rPr>
        <w:t>apramycin</w:t>
      </w:r>
      <w:r w:rsidR="0034267C"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 w:rsidR="0034267C">
        <w:rPr>
          <w:bCs/>
        </w:rPr>
        <w:t>sulfas</w:t>
      </w:r>
      <w:proofErr w:type="spellEnd"/>
      <w:r>
        <w:rPr>
          <w:bCs/>
        </w:rPr>
        <w:t>)</w:t>
      </w:r>
    </w:p>
    <w:p w:rsidR="000E29C0" w:rsidRDefault="000E29C0" w:rsidP="006B33B7">
      <w:pPr>
        <w:autoSpaceDE w:val="0"/>
        <w:autoSpaceDN w:val="0"/>
        <w:adjustRightInd w:val="0"/>
        <w:spacing w:line="240" w:lineRule="auto"/>
      </w:pPr>
    </w:p>
    <w:p w:rsidR="006B33B7" w:rsidRDefault="006B33B7" w:rsidP="006B33B7">
      <w:pPr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3. </w:t>
      </w:r>
      <w:r w:rsidR="00A9725E" w:rsidRPr="00F30D3F">
        <w:rPr>
          <w:b/>
        </w:rPr>
        <w:t>OBSAH LÉČIVÝCH A OSTATNÍCH LÁTEK</w:t>
      </w:r>
    </w:p>
    <w:p w:rsidR="00A9725E" w:rsidRPr="00EB25BE" w:rsidRDefault="00A9725E" w:rsidP="006B33B7">
      <w:pPr>
        <w:autoSpaceDE w:val="0"/>
        <w:autoSpaceDN w:val="0"/>
        <w:adjustRightInd w:val="0"/>
        <w:spacing w:line="240" w:lineRule="auto"/>
      </w:pPr>
    </w:p>
    <w:p w:rsidR="00493379" w:rsidRPr="00066F44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 mg obsahuje:</w:t>
      </w:r>
    </w:p>
    <w:p w:rsidR="00493379" w:rsidRPr="001864DD" w:rsidRDefault="00493379" w:rsidP="00493379">
      <w:pPr>
        <w:tabs>
          <w:tab w:val="clear" w:pos="567"/>
        </w:tabs>
        <w:spacing w:line="240" w:lineRule="auto"/>
        <w:rPr>
          <w:szCs w:val="22"/>
        </w:rPr>
      </w:pPr>
    </w:p>
    <w:p w:rsidR="00493379" w:rsidRPr="00066F44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Léčivá látka:</w:t>
      </w:r>
    </w:p>
    <w:p w:rsidR="00493379" w:rsidRPr="00066F44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Apramycin</w:t>
      </w:r>
      <w:r w:rsidR="0034267C">
        <w:rPr>
          <w:szCs w:val="22"/>
        </w:rPr>
        <w:t>um</w:t>
      </w:r>
      <w:proofErr w:type="spellEnd"/>
      <w:r>
        <w:rPr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szCs w:val="22"/>
        </w:rPr>
        <w:t>552 IU*</w:t>
      </w:r>
    </w:p>
    <w:p w:rsidR="00493379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(</w:t>
      </w:r>
      <w:r w:rsidR="0034267C">
        <w:rPr>
          <w:szCs w:val="22"/>
        </w:rPr>
        <w:t>jako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apramycin</w:t>
      </w:r>
      <w:r w:rsidR="0034267C"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 w:rsidR="0034267C">
        <w:rPr>
          <w:szCs w:val="22"/>
        </w:rPr>
        <w:t>sulfas</w:t>
      </w:r>
      <w:proofErr w:type="spellEnd"/>
      <w:r>
        <w:rPr>
          <w:szCs w:val="22"/>
        </w:rPr>
        <w:t>)</w:t>
      </w:r>
    </w:p>
    <w:p w:rsidR="00C84955" w:rsidRPr="00066F44" w:rsidRDefault="00C84955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*IU – mezinárodní jednotky</w:t>
      </w:r>
    </w:p>
    <w:p w:rsidR="00493379" w:rsidRPr="001864DD" w:rsidRDefault="00493379" w:rsidP="006B33B7">
      <w:pPr>
        <w:tabs>
          <w:tab w:val="clear" w:pos="567"/>
          <w:tab w:val="left" w:pos="1701"/>
        </w:tabs>
        <w:spacing w:line="240" w:lineRule="auto"/>
        <w:rPr>
          <w:szCs w:val="22"/>
        </w:rPr>
      </w:pPr>
    </w:p>
    <w:p w:rsidR="00493379" w:rsidRPr="006A3441" w:rsidRDefault="002D20D0" w:rsidP="00493379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6A3441">
        <w:rPr>
          <w:b/>
          <w:bCs/>
        </w:rPr>
        <w:t>Excipiens</w:t>
      </w:r>
      <w:proofErr w:type="spellEnd"/>
      <w:r w:rsidR="00493379" w:rsidRPr="006A3441">
        <w:rPr>
          <w:b/>
          <w:szCs w:val="22"/>
        </w:rPr>
        <w:t>:</w:t>
      </w:r>
    </w:p>
    <w:p w:rsidR="00493379" w:rsidRPr="00EB25BE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Žádné</w:t>
      </w:r>
    </w:p>
    <w:p w:rsidR="006B33B7" w:rsidRDefault="006B33B7" w:rsidP="006B33B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93379" w:rsidRPr="00EB25BE" w:rsidRDefault="00493379" w:rsidP="00493379">
      <w:pPr>
        <w:rPr>
          <w:sz w:val="24"/>
          <w:szCs w:val="24"/>
        </w:rPr>
      </w:pPr>
      <w:r>
        <w:rPr>
          <w:szCs w:val="22"/>
        </w:rPr>
        <w:t xml:space="preserve">Prášek po </w:t>
      </w:r>
      <w:r w:rsidR="0034267C">
        <w:rPr>
          <w:szCs w:val="22"/>
        </w:rPr>
        <w:t>podání v pitné vodě/mléce</w:t>
      </w:r>
    </w:p>
    <w:p w:rsidR="00493379" w:rsidRDefault="00493379" w:rsidP="0049337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Bělavý až žlutý prášek.</w:t>
      </w:r>
    </w:p>
    <w:p w:rsidR="00493379" w:rsidRPr="00EB25BE" w:rsidRDefault="00493379" w:rsidP="006B33B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B33B7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>4. INDIKACE</w:t>
      </w:r>
    </w:p>
    <w:p w:rsidR="002D20D0" w:rsidRPr="00EB25BE" w:rsidRDefault="002D20D0" w:rsidP="006B33B7">
      <w:pPr>
        <w:autoSpaceDE w:val="0"/>
        <w:autoSpaceDN w:val="0"/>
        <w:adjustRightInd w:val="0"/>
        <w:spacing w:line="240" w:lineRule="auto"/>
        <w:ind w:left="560" w:hanging="560"/>
      </w:pPr>
    </w:p>
    <w:p w:rsidR="006F6E06" w:rsidRPr="006A3441" w:rsidRDefault="006F6E06" w:rsidP="006F6E06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A3441">
        <w:rPr>
          <w:szCs w:val="22"/>
          <w:u w:val="single"/>
        </w:rPr>
        <w:t>Prasata (odstavená selata):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Léčba bakteriální enteritidy </w:t>
      </w:r>
      <w:r w:rsidR="00851569">
        <w:rPr>
          <w:szCs w:val="22"/>
        </w:rPr>
        <w:t>vyvolané</w:t>
      </w:r>
      <w:r>
        <w:rPr>
          <w:szCs w:val="22"/>
        </w:rPr>
        <w:t xml:space="preserve"> </w:t>
      </w:r>
      <w:proofErr w:type="spellStart"/>
      <w:r w:rsidRPr="006A3441">
        <w:rPr>
          <w:i/>
          <w:szCs w:val="22"/>
        </w:rPr>
        <w:t>Escherichia</w:t>
      </w:r>
      <w:proofErr w:type="spellEnd"/>
      <w:r w:rsidRPr="006A3441">
        <w:rPr>
          <w:i/>
          <w:szCs w:val="22"/>
        </w:rPr>
        <w:t xml:space="preserve"> coli</w:t>
      </w:r>
      <w:r>
        <w:rPr>
          <w:szCs w:val="22"/>
        </w:rPr>
        <w:t xml:space="preserve">, citlivé </w:t>
      </w:r>
      <w:r w:rsidR="00234D0C">
        <w:rPr>
          <w:szCs w:val="22"/>
        </w:rPr>
        <w:t xml:space="preserve">k </w:t>
      </w:r>
      <w:proofErr w:type="spellStart"/>
      <w:r>
        <w:rPr>
          <w:szCs w:val="22"/>
        </w:rPr>
        <w:t>apramycin</w:t>
      </w:r>
      <w:r w:rsidR="00234D0C">
        <w:rPr>
          <w:szCs w:val="22"/>
        </w:rPr>
        <w:t>u</w:t>
      </w:r>
      <w:proofErr w:type="spellEnd"/>
      <w:r>
        <w:rPr>
          <w:szCs w:val="22"/>
        </w:rPr>
        <w:t>.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szCs w:val="22"/>
        </w:rPr>
      </w:pPr>
    </w:p>
    <w:p w:rsidR="006F6E06" w:rsidRPr="006A3441" w:rsidRDefault="00234D0C" w:rsidP="006F6E06">
      <w:pPr>
        <w:tabs>
          <w:tab w:val="clear" w:pos="567"/>
        </w:tabs>
        <w:spacing w:line="240" w:lineRule="auto"/>
        <w:rPr>
          <w:szCs w:val="22"/>
          <w:u w:val="single"/>
        </w:rPr>
      </w:pPr>
      <w:proofErr w:type="spellStart"/>
      <w:r w:rsidRPr="006A3441">
        <w:rPr>
          <w:szCs w:val="22"/>
          <w:u w:val="single"/>
        </w:rPr>
        <w:t>Neruminující</w:t>
      </w:r>
      <w:proofErr w:type="spellEnd"/>
      <w:r w:rsidRPr="006A3441">
        <w:rPr>
          <w:szCs w:val="22"/>
          <w:u w:val="single"/>
        </w:rPr>
        <w:t xml:space="preserve"> </w:t>
      </w:r>
      <w:r w:rsidR="006F6E06" w:rsidRPr="006A3441">
        <w:rPr>
          <w:szCs w:val="22"/>
          <w:u w:val="single"/>
        </w:rPr>
        <w:t>telata:</w:t>
      </w:r>
    </w:p>
    <w:p w:rsidR="006F6E06" w:rsidRDefault="006F6E06" w:rsidP="006F6E0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Léčba bakteriální enteritidy, </w:t>
      </w:r>
      <w:r w:rsidR="00851569">
        <w:rPr>
          <w:szCs w:val="22"/>
        </w:rPr>
        <w:t>vyvolané</w:t>
      </w:r>
      <w:r>
        <w:rPr>
          <w:szCs w:val="22"/>
        </w:rPr>
        <w:t xml:space="preserve"> bakterií </w:t>
      </w:r>
      <w:proofErr w:type="spellStart"/>
      <w:r w:rsidRPr="006A3441">
        <w:rPr>
          <w:i/>
          <w:szCs w:val="22"/>
        </w:rPr>
        <w:t>Escherichia</w:t>
      </w:r>
      <w:proofErr w:type="spellEnd"/>
      <w:r w:rsidRPr="006A3441">
        <w:rPr>
          <w:i/>
          <w:szCs w:val="22"/>
        </w:rPr>
        <w:t xml:space="preserve"> coli</w:t>
      </w:r>
      <w:r>
        <w:rPr>
          <w:szCs w:val="22"/>
        </w:rPr>
        <w:t xml:space="preserve"> a klinické šíření nákazy </w:t>
      </w:r>
      <w:r w:rsidR="00851569">
        <w:rPr>
          <w:szCs w:val="22"/>
        </w:rPr>
        <w:t>vyvolané</w:t>
      </w:r>
      <w:r>
        <w:rPr>
          <w:szCs w:val="22"/>
        </w:rPr>
        <w:t xml:space="preserve"> </w:t>
      </w:r>
      <w:proofErr w:type="spellStart"/>
      <w:r>
        <w:rPr>
          <w:i/>
          <w:szCs w:val="22"/>
        </w:rPr>
        <w:t>Salmonella</w:t>
      </w:r>
      <w:proofErr w:type="spellEnd"/>
      <w:r>
        <w:rPr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rPr>
          <w:i/>
          <w:szCs w:val="22"/>
        </w:rPr>
        <w:t xml:space="preserve"> </w:t>
      </w:r>
      <w:proofErr w:type="spellStart"/>
      <w:r w:rsidR="00234D0C">
        <w:rPr>
          <w:szCs w:val="22"/>
        </w:rPr>
        <w:t>subsp</w:t>
      </w:r>
      <w:proofErr w:type="spellEnd"/>
      <w:r w:rsidR="00234D0C">
        <w:rPr>
          <w:szCs w:val="22"/>
        </w:rPr>
        <w:t>.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sérotyp Dublin (</w:t>
      </w:r>
      <w:proofErr w:type="spellStart"/>
      <w:r>
        <w:rPr>
          <w:i/>
          <w:szCs w:val="22"/>
        </w:rPr>
        <w:t>Salmonella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Dublin), citliv</w:t>
      </w:r>
      <w:r w:rsidR="00851569">
        <w:rPr>
          <w:szCs w:val="22"/>
        </w:rPr>
        <w:t>é</w:t>
      </w:r>
      <w:r>
        <w:rPr>
          <w:szCs w:val="22"/>
        </w:rPr>
        <w:t xml:space="preserve"> </w:t>
      </w:r>
      <w:r w:rsidR="00234D0C">
        <w:rPr>
          <w:szCs w:val="22"/>
        </w:rPr>
        <w:t xml:space="preserve">k </w:t>
      </w:r>
      <w:proofErr w:type="spellStart"/>
      <w:r>
        <w:rPr>
          <w:szCs w:val="22"/>
        </w:rPr>
        <w:t>apramycin</w:t>
      </w:r>
      <w:r w:rsidR="00234D0C">
        <w:rPr>
          <w:szCs w:val="22"/>
        </w:rPr>
        <w:t>u</w:t>
      </w:r>
      <w:proofErr w:type="spellEnd"/>
      <w:r>
        <w:rPr>
          <w:szCs w:val="22"/>
        </w:rPr>
        <w:t xml:space="preserve">. Léčba musí být založena na předchozím potvrzení sérotypů </w:t>
      </w:r>
      <w:proofErr w:type="spellStart"/>
      <w:r>
        <w:rPr>
          <w:i/>
          <w:szCs w:val="22"/>
        </w:rPr>
        <w:t>Salmonella</w:t>
      </w:r>
      <w:proofErr w:type="spellEnd"/>
      <w:r>
        <w:rPr>
          <w:szCs w:val="22"/>
        </w:rPr>
        <w:t xml:space="preserve"> nebo alespoň musí být dostupné epidemiologické údaje potvrzující přítomnost tohoto sérotypu.</w:t>
      </w:r>
    </w:p>
    <w:p w:rsidR="00E568D8" w:rsidRPr="00A31C1D" w:rsidRDefault="00E568D8" w:rsidP="006F6E06">
      <w:pPr>
        <w:tabs>
          <w:tab w:val="clear" w:pos="567"/>
        </w:tabs>
        <w:spacing w:line="240" w:lineRule="auto"/>
        <w:rPr>
          <w:szCs w:val="22"/>
        </w:rPr>
      </w:pPr>
    </w:p>
    <w:p w:rsidR="006F6E06" w:rsidRPr="006A3441" w:rsidRDefault="006F6E06" w:rsidP="006F6E06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A3441">
        <w:rPr>
          <w:szCs w:val="22"/>
          <w:u w:val="single"/>
        </w:rPr>
        <w:t>Kuřata:</w:t>
      </w:r>
    </w:p>
    <w:p w:rsidR="00A31C1D" w:rsidRDefault="006F6E06" w:rsidP="006F6E0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Léčba kolibacilózy, </w:t>
      </w:r>
      <w:r w:rsidR="009C1CFD">
        <w:rPr>
          <w:szCs w:val="22"/>
        </w:rPr>
        <w:t xml:space="preserve">vyvolané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rPr>
          <w:szCs w:val="22"/>
        </w:rPr>
        <w:t xml:space="preserve">, citlivé </w:t>
      </w:r>
      <w:r w:rsidR="00234D0C">
        <w:rPr>
          <w:szCs w:val="22"/>
        </w:rPr>
        <w:t xml:space="preserve">k </w:t>
      </w:r>
      <w:proofErr w:type="spellStart"/>
      <w:r>
        <w:rPr>
          <w:szCs w:val="22"/>
        </w:rPr>
        <w:t>apramycin</w:t>
      </w:r>
      <w:r w:rsidR="00234D0C">
        <w:rPr>
          <w:szCs w:val="22"/>
        </w:rPr>
        <w:t>u</w:t>
      </w:r>
      <w:proofErr w:type="spellEnd"/>
      <w:r>
        <w:rPr>
          <w:szCs w:val="22"/>
        </w:rPr>
        <w:t>.</w:t>
      </w:r>
    </w:p>
    <w:p w:rsidR="00E568D8" w:rsidRDefault="00E568D8" w:rsidP="006F6E06">
      <w:pPr>
        <w:tabs>
          <w:tab w:val="clear" w:pos="567"/>
        </w:tabs>
        <w:spacing w:line="240" w:lineRule="auto"/>
        <w:rPr>
          <w:szCs w:val="22"/>
        </w:rPr>
      </w:pPr>
    </w:p>
    <w:p w:rsidR="006F6E06" w:rsidRPr="006A3441" w:rsidRDefault="006F6E06" w:rsidP="006F6E06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A3441">
        <w:rPr>
          <w:szCs w:val="22"/>
          <w:u w:val="single"/>
        </w:rPr>
        <w:t>Králíci: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 xml:space="preserve">Léčba a </w:t>
      </w:r>
      <w:proofErr w:type="spellStart"/>
      <w:r>
        <w:rPr>
          <w:szCs w:val="22"/>
        </w:rPr>
        <w:t>metafylaxe</w:t>
      </w:r>
      <w:proofErr w:type="spellEnd"/>
      <w:r>
        <w:rPr>
          <w:szCs w:val="22"/>
        </w:rPr>
        <w:t xml:space="preserve"> bakteriální enteritidy, </w:t>
      </w:r>
      <w:r w:rsidR="009C1CFD">
        <w:rPr>
          <w:szCs w:val="22"/>
        </w:rPr>
        <w:t xml:space="preserve">vyvolané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</w:t>
      </w:r>
      <w:r>
        <w:rPr>
          <w:szCs w:val="22"/>
        </w:rPr>
        <w:t xml:space="preserve">li, citlivé </w:t>
      </w:r>
      <w:r w:rsidR="009C1CFD">
        <w:rPr>
          <w:szCs w:val="22"/>
        </w:rPr>
        <w:t xml:space="preserve">k </w:t>
      </w:r>
      <w:proofErr w:type="spellStart"/>
      <w:r>
        <w:rPr>
          <w:szCs w:val="22"/>
        </w:rPr>
        <w:t>apramycin</w:t>
      </w:r>
      <w:r w:rsidR="009C1CFD">
        <w:rPr>
          <w:szCs w:val="22"/>
        </w:rPr>
        <w:t>u</w:t>
      </w:r>
      <w:proofErr w:type="spellEnd"/>
      <w:r>
        <w:rPr>
          <w:szCs w:val="22"/>
        </w:rPr>
        <w:t>.</w:t>
      </w:r>
    </w:p>
    <w:p w:rsidR="006B33B7" w:rsidRDefault="006F6E06" w:rsidP="006B33B7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rPr>
          <w:szCs w:val="22"/>
        </w:rPr>
        <w:t xml:space="preserve">Před použitím </w:t>
      </w:r>
      <w:r w:rsidR="009C1CFD">
        <w:rPr>
          <w:szCs w:val="22"/>
        </w:rPr>
        <w:t xml:space="preserve">přípravku </w:t>
      </w:r>
      <w:r>
        <w:rPr>
          <w:szCs w:val="22"/>
        </w:rPr>
        <w:t xml:space="preserve">je třeba stanovit přítomnost </w:t>
      </w:r>
      <w:r w:rsidR="009C1CFD">
        <w:rPr>
          <w:szCs w:val="22"/>
        </w:rPr>
        <w:t xml:space="preserve">onemocnění </w:t>
      </w:r>
      <w:r>
        <w:rPr>
          <w:szCs w:val="22"/>
        </w:rPr>
        <w:t>ve stádu.</w:t>
      </w:r>
    </w:p>
    <w:p w:rsidR="00A31C1D" w:rsidRPr="00A31C1D" w:rsidRDefault="00A31C1D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</w:rPr>
        <w:t xml:space="preserve">5. KONTRAINDIKACE </w:t>
      </w:r>
      <w:r>
        <w:br/>
      </w: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Nepodávat v případě přecitlivělosti na apramycin.</w:t>
      </w:r>
    </w:p>
    <w:p w:rsidR="006B33B7" w:rsidRDefault="006B33B7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Nepoužívat u telat s funkčním bachorem.</w:t>
      </w:r>
    </w:p>
    <w:p w:rsidR="006F6E06" w:rsidRPr="00EB25BE" w:rsidRDefault="006F6E06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Nepoužívat u zvířat, která trpí </w:t>
      </w:r>
      <w:r w:rsidR="00465FAE">
        <w:rPr>
          <w:szCs w:val="22"/>
        </w:rPr>
        <w:t xml:space="preserve">onemocněním </w:t>
      </w:r>
      <w:r>
        <w:rPr>
          <w:szCs w:val="22"/>
        </w:rPr>
        <w:t>ledvin.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 xml:space="preserve">6. NEŽÁDOUCÍ ÚČINKY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3B7" w:rsidRDefault="006B33B7" w:rsidP="006B33B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Nejsou známy.</w:t>
      </w:r>
    </w:p>
    <w:p w:rsidR="007D6364" w:rsidRDefault="007D6364" w:rsidP="007D6364"/>
    <w:p w:rsidR="007D6364" w:rsidRDefault="007D6364" w:rsidP="007D6364"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7D6364" w:rsidRDefault="007D6364" w:rsidP="007D6364">
      <w:r>
        <w:t xml:space="preserve">Ústav pro státní kontrolu veterinárních biopreparátů a léčiv </w:t>
      </w:r>
    </w:p>
    <w:p w:rsidR="007D6364" w:rsidRDefault="007D6364" w:rsidP="007D6364">
      <w:r>
        <w:t>Hudcova 56a</w:t>
      </w:r>
    </w:p>
    <w:p w:rsidR="007D6364" w:rsidRDefault="007D6364" w:rsidP="007D6364">
      <w:r>
        <w:t>621 00 Brno </w:t>
      </w:r>
    </w:p>
    <w:p w:rsidR="007D6364" w:rsidRDefault="007D6364" w:rsidP="007D6364">
      <w:r>
        <w:t xml:space="preserve">Mail: </w:t>
      </w:r>
      <w:hyperlink r:id="rId15" w:history="1">
        <w:r>
          <w:rPr>
            <w:rStyle w:val="Hypertextovodkaz"/>
          </w:rPr>
          <w:t>adr@uskvbl.cz</w:t>
        </w:r>
      </w:hyperlink>
    </w:p>
    <w:p w:rsidR="00667104" w:rsidRPr="00EB25BE" w:rsidRDefault="007D6364" w:rsidP="007D636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Webové stránky: </w:t>
      </w:r>
      <w:hyperlink r:id="rId16" w:history="1">
        <w:r>
          <w:rPr>
            <w:rStyle w:val="Hypertextovodkaz"/>
          </w:rPr>
          <w:t>http://www.uskvbl.cz/cs/farmakovigilance</w:t>
        </w:r>
      </w:hyperlink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 xml:space="preserve">7. CÍLOVÝ DRUH ZVÍŘAT </w:t>
      </w:r>
      <w:r>
        <w:br/>
      </w:r>
    </w:p>
    <w:p w:rsidR="006B33B7" w:rsidRDefault="006F6E06" w:rsidP="006B33B7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rPr>
          <w:szCs w:val="22"/>
        </w:rPr>
        <w:t>Prasata (odstavená selata), skot (</w:t>
      </w:r>
      <w:proofErr w:type="spellStart"/>
      <w:r w:rsidR="005B43DC">
        <w:rPr>
          <w:szCs w:val="22"/>
        </w:rPr>
        <w:t>neruminující</w:t>
      </w:r>
      <w:proofErr w:type="spellEnd"/>
      <w:r w:rsidR="005B43DC">
        <w:rPr>
          <w:szCs w:val="22"/>
        </w:rPr>
        <w:t xml:space="preserve"> </w:t>
      </w:r>
      <w:r>
        <w:rPr>
          <w:szCs w:val="22"/>
        </w:rPr>
        <w:t>telata</w:t>
      </w:r>
      <w:r w:rsidR="005B43DC">
        <w:rPr>
          <w:szCs w:val="22"/>
        </w:rPr>
        <w:t>)</w:t>
      </w:r>
      <w:r>
        <w:rPr>
          <w:szCs w:val="22"/>
        </w:rPr>
        <w:t>, kuřata (brojleři) a králíci.</w:t>
      </w:r>
    </w:p>
    <w:p w:rsidR="00A31C1D" w:rsidRPr="00EB25BE" w:rsidRDefault="00A31C1D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szCs w:val="22"/>
        </w:rPr>
      </w:pPr>
      <w:r>
        <w:rPr>
          <w:b/>
          <w:bCs/>
        </w:rPr>
        <w:t xml:space="preserve">8. DÁVKOVÁNÍ PRO KAŽDÝ DRUH, </w:t>
      </w:r>
      <w:proofErr w:type="gramStart"/>
      <w:r>
        <w:rPr>
          <w:b/>
          <w:bCs/>
        </w:rPr>
        <w:t>CESTA(Y) A ZPŮSOB</w:t>
      </w:r>
      <w:proofErr w:type="gramEnd"/>
      <w:r>
        <w:rPr>
          <w:b/>
          <w:bCs/>
        </w:rPr>
        <w:t xml:space="preserve"> PODÁNÍ </w:t>
      </w:r>
      <w:r>
        <w:br/>
      </w: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Cesta podání:</w:t>
      </w: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Podávat prostřednictvím pitné vody. Aby se předešlo snížení účinnosti, musí být napájecí systémy čisté a nesmí obsahovat rez.</w:t>
      </w:r>
    </w:p>
    <w:p w:rsidR="006B33B7" w:rsidRPr="00EB25BE" w:rsidRDefault="00A87757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</w:t>
      </w:r>
      <w:r w:rsidR="006F6E06">
        <w:rPr>
          <w:szCs w:val="22"/>
        </w:rPr>
        <w:t>elat</w:t>
      </w:r>
      <w:r>
        <w:rPr>
          <w:szCs w:val="22"/>
        </w:rPr>
        <w:t>ům</w:t>
      </w:r>
      <w:r w:rsidR="006F6E06">
        <w:rPr>
          <w:szCs w:val="22"/>
        </w:rPr>
        <w:t xml:space="preserve"> se </w:t>
      </w:r>
      <w:r>
        <w:rPr>
          <w:szCs w:val="22"/>
        </w:rPr>
        <w:t xml:space="preserve">přípravek </w:t>
      </w:r>
      <w:r w:rsidR="006F6E06">
        <w:rPr>
          <w:szCs w:val="22"/>
        </w:rPr>
        <w:t xml:space="preserve">může podávat v mléce nebo </w:t>
      </w:r>
      <w:r>
        <w:rPr>
          <w:szCs w:val="22"/>
        </w:rPr>
        <w:t>mléčné náhražce</w:t>
      </w:r>
      <w:r w:rsidR="006F6E06">
        <w:rPr>
          <w:szCs w:val="22"/>
        </w:rPr>
        <w:t>.</w:t>
      </w:r>
    </w:p>
    <w:p w:rsidR="00A31C1D" w:rsidRDefault="00A31C1D" w:rsidP="006B33B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Dávkování</w:t>
      </w: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Prasata: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Podávat 12</w:t>
      </w:r>
      <w:r w:rsidR="00F5546B">
        <w:rPr>
          <w:szCs w:val="22"/>
        </w:rPr>
        <w:t xml:space="preserve"> </w:t>
      </w:r>
      <w:r>
        <w:rPr>
          <w:szCs w:val="22"/>
        </w:rPr>
        <w:t xml:space="preserve">500 IU </w:t>
      </w:r>
      <w:proofErr w:type="spellStart"/>
      <w:r>
        <w:rPr>
          <w:szCs w:val="22"/>
        </w:rPr>
        <w:t>apramycin</w:t>
      </w:r>
      <w:proofErr w:type="spellEnd"/>
      <w:r>
        <w:rPr>
          <w:szCs w:val="22"/>
        </w:rPr>
        <w:t xml:space="preserve"> sulfátu na kilogram </w:t>
      </w:r>
      <w:r w:rsidR="00B12CE7">
        <w:rPr>
          <w:szCs w:val="22"/>
        </w:rPr>
        <w:t>živé</w:t>
      </w:r>
      <w:r>
        <w:rPr>
          <w:szCs w:val="22"/>
        </w:rPr>
        <w:t xml:space="preserve"> hmotnosti (odpovídá 22,5 mg </w:t>
      </w:r>
      <w:r w:rsidR="00F5546B">
        <w:rPr>
          <w:szCs w:val="22"/>
        </w:rPr>
        <w:t>přípravk</w:t>
      </w:r>
      <w:r>
        <w:rPr>
          <w:szCs w:val="22"/>
        </w:rPr>
        <w:t xml:space="preserve">u/kg </w:t>
      </w:r>
      <w:r w:rsidR="00B12CE7">
        <w:rPr>
          <w:szCs w:val="22"/>
        </w:rPr>
        <w:t>živé</w:t>
      </w:r>
      <w:r>
        <w:rPr>
          <w:szCs w:val="22"/>
        </w:rPr>
        <w:t xml:space="preserve"> hmotnosti) na den po dobu 7 po sobě jdoucích dnů.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Telata: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Podávat 40</w:t>
      </w:r>
      <w:r w:rsidR="00F5546B">
        <w:rPr>
          <w:szCs w:val="22"/>
        </w:rPr>
        <w:t xml:space="preserve"> </w:t>
      </w:r>
      <w:r>
        <w:rPr>
          <w:szCs w:val="22"/>
        </w:rPr>
        <w:t xml:space="preserve">000 IU </w:t>
      </w:r>
      <w:proofErr w:type="spellStart"/>
      <w:r>
        <w:rPr>
          <w:szCs w:val="22"/>
        </w:rPr>
        <w:t>apramycin</w:t>
      </w:r>
      <w:proofErr w:type="spellEnd"/>
      <w:r>
        <w:rPr>
          <w:szCs w:val="22"/>
        </w:rPr>
        <w:t xml:space="preserve"> sulfátu na kilogram </w:t>
      </w:r>
      <w:r w:rsidR="00B12CE7">
        <w:rPr>
          <w:szCs w:val="22"/>
        </w:rPr>
        <w:t>živé</w:t>
      </w:r>
      <w:r>
        <w:rPr>
          <w:szCs w:val="22"/>
        </w:rPr>
        <w:t xml:space="preserve"> hmotnosti (odpovídá 72 mg </w:t>
      </w:r>
      <w:r w:rsidR="00F5546B">
        <w:rPr>
          <w:szCs w:val="22"/>
        </w:rPr>
        <w:t>přípravk</w:t>
      </w:r>
      <w:r>
        <w:rPr>
          <w:szCs w:val="22"/>
        </w:rPr>
        <w:t xml:space="preserve">u/kg </w:t>
      </w:r>
      <w:r w:rsidR="00B12CE7">
        <w:rPr>
          <w:szCs w:val="22"/>
        </w:rPr>
        <w:t>živé</w:t>
      </w:r>
      <w:r>
        <w:rPr>
          <w:szCs w:val="22"/>
        </w:rPr>
        <w:t xml:space="preserve"> hmotnosti) na den po dobu 5 po sobě jdoucích dnů.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Kuřata:</w:t>
      </w:r>
    </w:p>
    <w:p w:rsidR="006F6E06" w:rsidRPr="00A31C1D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Podávat 80</w:t>
      </w:r>
      <w:r w:rsidR="00F5546B">
        <w:rPr>
          <w:szCs w:val="22"/>
        </w:rPr>
        <w:t xml:space="preserve"> </w:t>
      </w:r>
      <w:r>
        <w:rPr>
          <w:szCs w:val="22"/>
        </w:rPr>
        <w:t xml:space="preserve">000 IU </w:t>
      </w:r>
      <w:proofErr w:type="spellStart"/>
      <w:r>
        <w:rPr>
          <w:szCs w:val="22"/>
        </w:rPr>
        <w:t>apramycin</w:t>
      </w:r>
      <w:proofErr w:type="spellEnd"/>
      <w:r>
        <w:rPr>
          <w:szCs w:val="22"/>
        </w:rPr>
        <w:t xml:space="preserve"> sulfátu na kilogram </w:t>
      </w:r>
      <w:r w:rsidR="00B12CE7">
        <w:rPr>
          <w:szCs w:val="22"/>
        </w:rPr>
        <w:t>živé</w:t>
      </w:r>
      <w:r>
        <w:rPr>
          <w:szCs w:val="22"/>
        </w:rPr>
        <w:t xml:space="preserve"> hmotnosti (odpovídá 144 mg </w:t>
      </w:r>
      <w:r w:rsidR="00F5546B">
        <w:rPr>
          <w:szCs w:val="22"/>
        </w:rPr>
        <w:t>přípravk</w:t>
      </w:r>
      <w:r>
        <w:rPr>
          <w:szCs w:val="22"/>
        </w:rPr>
        <w:t xml:space="preserve">u/kg </w:t>
      </w:r>
      <w:r w:rsidR="00B12CE7">
        <w:rPr>
          <w:szCs w:val="22"/>
        </w:rPr>
        <w:t>živé</w:t>
      </w:r>
      <w:r>
        <w:rPr>
          <w:szCs w:val="22"/>
        </w:rPr>
        <w:t xml:space="preserve"> hmotnosti) na den po dobu 5 po sobě jdoucích dnů.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>
        <w:rPr>
          <w:szCs w:val="22"/>
          <w:u w:val="single"/>
        </w:rPr>
        <w:t>Králíci:</w:t>
      </w:r>
    </w:p>
    <w:p w:rsidR="006B33B7" w:rsidRDefault="006F6E06" w:rsidP="006B33B7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Podávat 20</w:t>
      </w:r>
      <w:r w:rsidR="00F5546B">
        <w:rPr>
          <w:szCs w:val="22"/>
        </w:rPr>
        <w:t xml:space="preserve"> </w:t>
      </w:r>
      <w:r>
        <w:rPr>
          <w:szCs w:val="22"/>
        </w:rPr>
        <w:t xml:space="preserve">000 IU </w:t>
      </w:r>
      <w:proofErr w:type="spellStart"/>
      <w:r>
        <w:rPr>
          <w:szCs w:val="22"/>
        </w:rPr>
        <w:t>apramycin</w:t>
      </w:r>
      <w:proofErr w:type="spellEnd"/>
      <w:r>
        <w:rPr>
          <w:szCs w:val="22"/>
        </w:rPr>
        <w:t xml:space="preserve"> sulfátu na kilogram </w:t>
      </w:r>
      <w:r w:rsidR="00B12CE7">
        <w:rPr>
          <w:szCs w:val="22"/>
        </w:rPr>
        <w:t>živé</w:t>
      </w:r>
      <w:r>
        <w:rPr>
          <w:szCs w:val="22"/>
        </w:rPr>
        <w:t xml:space="preserve"> hmotnosti (odpovídá 36 mg </w:t>
      </w:r>
      <w:r w:rsidR="00F5546B">
        <w:rPr>
          <w:szCs w:val="22"/>
        </w:rPr>
        <w:t>přípravk</w:t>
      </w:r>
      <w:r>
        <w:rPr>
          <w:szCs w:val="22"/>
        </w:rPr>
        <w:t xml:space="preserve">u/kg </w:t>
      </w:r>
      <w:r w:rsidR="00B12CE7">
        <w:rPr>
          <w:szCs w:val="22"/>
        </w:rPr>
        <w:t>živé</w:t>
      </w:r>
      <w:r>
        <w:rPr>
          <w:szCs w:val="22"/>
        </w:rPr>
        <w:t xml:space="preserve"> hmotnosti) na den po dobu 5 po sobě jdoucích dnů.</w:t>
      </w:r>
    </w:p>
    <w:p w:rsidR="00A31C1D" w:rsidRPr="00A31C1D" w:rsidRDefault="00A31C1D" w:rsidP="006B33B7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</w:rPr>
        <w:t xml:space="preserve">9. POKYNY PRO SPRÁVNÉ PODÁNÍ </w:t>
      </w:r>
      <w:r>
        <w:br/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Příjem medikované vody závisí na klinickém stavu zvířat. Aby bylo dosaženo správné dávky, musí být příslušným způsobem upravena koncentrace veterinárního léčivého přípravku.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Množství přípravku (mg), který má být obsažen v 1 l vody nebo mléka, je třeba stanovit podle následujícího vzorce:</w:t>
      </w:r>
    </w:p>
    <w:p w:rsid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798"/>
        <w:gridCol w:w="2855"/>
        <w:gridCol w:w="621"/>
        <w:gridCol w:w="3115"/>
      </w:tblGrid>
      <w:tr w:rsidR="006F6E06" w:rsidTr="00F07136">
        <w:trPr>
          <w:trHeight w:val="383"/>
        </w:trPr>
        <w:tc>
          <w:tcPr>
            <w:tcW w:w="1956" w:type="dxa"/>
            <w:vMerge w:val="restart"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 xml:space="preserve">Dávka (mg </w:t>
            </w:r>
            <w:r w:rsidR="00F5546B">
              <w:rPr>
                <w:szCs w:val="22"/>
              </w:rPr>
              <w:t>přípravk</w:t>
            </w:r>
            <w:r>
              <w:rPr>
                <w:szCs w:val="22"/>
              </w:rPr>
              <w:t xml:space="preserve">u na kilogram </w:t>
            </w:r>
            <w:r w:rsidR="00B12CE7">
              <w:rPr>
                <w:szCs w:val="22"/>
              </w:rPr>
              <w:t>živé</w:t>
            </w:r>
            <w:r>
              <w:rPr>
                <w:szCs w:val="22"/>
              </w:rPr>
              <w:t xml:space="preserve"> hmotnosti na den)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2950" w:type="dxa"/>
            <w:vMerge w:val="restart"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>průměrná tělesná hmotnost (kg) zvířat, která mají být ošetřena</w:t>
            </w:r>
          </w:p>
        </w:tc>
        <w:tc>
          <w:tcPr>
            <w:tcW w:w="3850" w:type="dxa"/>
            <w:gridSpan w:val="2"/>
            <w:vAlign w:val="center"/>
          </w:tcPr>
          <w:p w:rsidR="006F6E06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F6E06" w:rsidTr="00F07136">
        <w:trPr>
          <w:trHeight w:val="382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F6E06" w:rsidRDefault="006F6E06" w:rsidP="00F07136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>=</w:t>
            </w:r>
          </w:p>
        </w:tc>
        <w:tc>
          <w:tcPr>
            <w:tcW w:w="3214" w:type="dxa"/>
            <w:vMerge w:val="restart"/>
            <w:vAlign w:val="center"/>
          </w:tcPr>
          <w:p w:rsidR="006F6E06" w:rsidRDefault="006F6E06" w:rsidP="00F07136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 xml:space="preserve">mg </w:t>
            </w:r>
            <w:r w:rsidR="00F5546B">
              <w:rPr>
                <w:szCs w:val="22"/>
              </w:rPr>
              <w:t>přípravk</w:t>
            </w:r>
            <w:r>
              <w:rPr>
                <w:szCs w:val="22"/>
              </w:rPr>
              <w:t>u na litr pitné vody/mléka</w:t>
            </w:r>
          </w:p>
        </w:tc>
      </w:tr>
      <w:tr w:rsidR="006F6E06" w:rsidTr="00F07136">
        <w:trPr>
          <w:trHeight w:val="253"/>
        </w:trPr>
        <w:tc>
          <w:tcPr>
            <w:tcW w:w="57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F6E06" w:rsidRDefault="006F6E06" w:rsidP="00F07136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rPr>
                <w:szCs w:val="22"/>
              </w:rPr>
              <w:t>Průměrná denní spotřeba vody (l/zvíře)</w:t>
            </w:r>
          </w:p>
        </w:tc>
        <w:tc>
          <w:tcPr>
            <w:tcW w:w="636" w:type="dxa"/>
            <w:vMerge/>
            <w:vAlign w:val="center"/>
          </w:tcPr>
          <w:p w:rsidR="006F6E06" w:rsidRPr="00523AA1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Merge/>
            <w:vAlign w:val="center"/>
          </w:tcPr>
          <w:p w:rsidR="006F6E06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F6E06" w:rsidTr="00F07136">
        <w:tc>
          <w:tcPr>
            <w:tcW w:w="5726" w:type="dxa"/>
            <w:gridSpan w:val="3"/>
            <w:vMerge/>
            <w:vAlign w:val="center"/>
          </w:tcPr>
          <w:p w:rsidR="006F6E06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6F6E06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14" w:type="dxa"/>
            <w:vAlign w:val="center"/>
          </w:tcPr>
          <w:p w:rsidR="006F6E06" w:rsidRDefault="006F6E06" w:rsidP="00F07136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F6E06" w:rsidRPr="00EB25BE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 xml:space="preserve">Aby bylo zajištěno správné dávkování, měla by se tělesná hmotnost zvířat určit co nejpřesněji, aby </w:t>
      </w:r>
      <w:r w:rsidR="00916523">
        <w:rPr>
          <w:szCs w:val="22"/>
        </w:rPr>
        <w:t xml:space="preserve">se předešlo poddávkování. </w:t>
      </w:r>
      <w:r>
        <w:rPr>
          <w:szCs w:val="22"/>
        </w:rPr>
        <w:t>Roztok připravte s čerstvou pitnou vodou (nebo pro telata s mlékem/</w:t>
      </w:r>
      <w:r w:rsidR="00267FE7">
        <w:rPr>
          <w:szCs w:val="22"/>
        </w:rPr>
        <w:t xml:space="preserve">mléčnou </w:t>
      </w:r>
      <w:r>
        <w:rPr>
          <w:szCs w:val="22"/>
        </w:rPr>
        <w:t xml:space="preserve">náhražkou) těsně před použitím. </w:t>
      </w:r>
      <w:r w:rsidR="00267FE7">
        <w:rPr>
          <w:szCs w:val="22"/>
        </w:rPr>
        <w:t>Mléčná n</w:t>
      </w:r>
      <w:r>
        <w:rPr>
          <w:szCs w:val="22"/>
        </w:rPr>
        <w:t>áhražk</w:t>
      </w:r>
      <w:r w:rsidR="00267FE7">
        <w:rPr>
          <w:szCs w:val="22"/>
        </w:rPr>
        <w:t>a</w:t>
      </w:r>
      <w:r>
        <w:rPr>
          <w:szCs w:val="22"/>
        </w:rPr>
        <w:t xml:space="preserve"> by se měla připravit před přidáním prášku. Roztok by se měl energicky míchat po dobu 5 minut. Medikovaná pitná voda by se měla obnovovat nebo vyměňovat každých 24 hodin. </w:t>
      </w:r>
      <w:proofErr w:type="spellStart"/>
      <w:r>
        <w:rPr>
          <w:szCs w:val="22"/>
        </w:rPr>
        <w:t>Medikovaná</w:t>
      </w:r>
      <w:proofErr w:type="spellEnd"/>
      <w:r>
        <w:rPr>
          <w:szCs w:val="22"/>
        </w:rPr>
        <w:t xml:space="preserve"> </w:t>
      </w:r>
      <w:r w:rsidR="00267FE7">
        <w:rPr>
          <w:szCs w:val="22"/>
        </w:rPr>
        <w:t>mléčná náhražka</w:t>
      </w:r>
      <w:r>
        <w:rPr>
          <w:szCs w:val="22"/>
        </w:rPr>
        <w:t xml:space="preserve"> by se měla </w:t>
      </w:r>
      <w:r w:rsidR="00267FE7">
        <w:rPr>
          <w:szCs w:val="22"/>
        </w:rPr>
        <w:t xml:space="preserve">zkrmit </w:t>
      </w:r>
      <w:r>
        <w:rPr>
          <w:szCs w:val="22"/>
        </w:rPr>
        <w:t>okamžitě po přípravě. Během medikace by se měl v pravidelných intervalech monitorovat příjem vody. Aby se zajistil</w:t>
      </w:r>
      <w:r w:rsidR="00F5546B">
        <w:rPr>
          <w:szCs w:val="22"/>
        </w:rPr>
        <w:t>o</w:t>
      </w:r>
      <w:r>
        <w:rPr>
          <w:szCs w:val="22"/>
        </w:rPr>
        <w:t xml:space="preserve"> </w:t>
      </w:r>
      <w:r w:rsidR="00F5546B">
        <w:rPr>
          <w:szCs w:val="22"/>
        </w:rPr>
        <w:t>vypití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medikované</w:t>
      </w:r>
      <w:proofErr w:type="spellEnd"/>
      <w:r>
        <w:rPr>
          <w:szCs w:val="22"/>
        </w:rPr>
        <w:t xml:space="preserve"> vody, neměla by zvířata mít po dobu léčby přístup k jinému zdroji vody. Po ukončení</w:t>
      </w:r>
      <w:r>
        <w:t xml:space="preserve"> </w:t>
      </w:r>
      <w:r>
        <w:rPr>
          <w:szCs w:val="22"/>
        </w:rPr>
        <w:t>medika</w:t>
      </w:r>
      <w:r w:rsidR="0043269B">
        <w:rPr>
          <w:szCs w:val="22"/>
        </w:rPr>
        <w:t xml:space="preserve">ce </w:t>
      </w:r>
      <w:r>
        <w:rPr>
          <w:szCs w:val="22"/>
        </w:rPr>
        <w:t xml:space="preserve">by se měl napájecí systém řádně vyčistit, aby se předešlo příjmu léčivé látky v nižším než terapeutickém množství. Pokud není možno docílit dostatečného příjmu medikované vody, měla by se zvířata léčit parenterálně (tam, kde je to vhodné). Maximální rozpustnost </w:t>
      </w:r>
      <w:r w:rsidR="00F5546B">
        <w:rPr>
          <w:szCs w:val="22"/>
        </w:rPr>
        <w:t>přípravk</w:t>
      </w:r>
      <w:r>
        <w:rPr>
          <w:szCs w:val="22"/>
        </w:rPr>
        <w:t xml:space="preserve">u ve vodě a </w:t>
      </w:r>
      <w:r w:rsidR="0043269B">
        <w:rPr>
          <w:szCs w:val="22"/>
        </w:rPr>
        <w:t xml:space="preserve">v mléčné </w:t>
      </w:r>
      <w:r>
        <w:rPr>
          <w:szCs w:val="22"/>
        </w:rPr>
        <w:t>náhražce</w:t>
      </w:r>
      <w:r w:rsidR="0043269B">
        <w:rPr>
          <w:szCs w:val="22"/>
        </w:rPr>
        <w:t xml:space="preserve"> </w:t>
      </w:r>
      <w:r>
        <w:rPr>
          <w:szCs w:val="22"/>
        </w:rPr>
        <w:t xml:space="preserve">je přibližně 1000 g/l. Doporučuje se používat </w:t>
      </w:r>
      <w:r w:rsidR="00F5546B">
        <w:rPr>
          <w:szCs w:val="22"/>
        </w:rPr>
        <w:t xml:space="preserve">vhodně </w:t>
      </w:r>
      <w:r>
        <w:rPr>
          <w:szCs w:val="22"/>
        </w:rPr>
        <w:t xml:space="preserve">kalibrovanou váhu, aby se zajistilo přesné měření množství </w:t>
      </w:r>
      <w:r w:rsidR="00F5546B">
        <w:rPr>
          <w:szCs w:val="22"/>
        </w:rPr>
        <w:t>přípravk</w:t>
      </w:r>
      <w:r>
        <w:rPr>
          <w:szCs w:val="22"/>
        </w:rPr>
        <w:t>u, které se má podávat.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OCHRANN</w:t>
      </w:r>
      <w:r w:rsidR="00012C90">
        <w:rPr>
          <w:b/>
          <w:bCs/>
          <w:sz w:val="24"/>
          <w:szCs w:val="24"/>
        </w:rPr>
        <w:t>Á(</w:t>
      </w:r>
      <w:r>
        <w:rPr>
          <w:b/>
          <w:bCs/>
          <w:sz w:val="24"/>
          <w:szCs w:val="24"/>
        </w:rPr>
        <w:t>É</w:t>
      </w:r>
      <w:r w:rsidR="00012C9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LHŮT</w:t>
      </w:r>
      <w:r w:rsidR="00012C90">
        <w:rPr>
          <w:b/>
          <w:bCs/>
          <w:sz w:val="24"/>
          <w:szCs w:val="24"/>
        </w:rPr>
        <w:t>A(</w:t>
      </w:r>
      <w:r>
        <w:rPr>
          <w:b/>
          <w:bCs/>
          <w:sz w:val="24"/>
          <w:szCs w:val="24"/>
        </w:rPr>
        <w:t>Y</w:t>
      </w:r>
      <w:r w:rsidR="00012C90">
        <w:rPr>
          <w:b/>
          <w:bCs/>
          <w:sz w:val="24"/>
          <w:szCs w:val="24"/>
        </w:rPr>
        <w:t>)</w:t>
      </w:r>
      <w:proofErr w:type="gramEnd"/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sz w:val="24"/>
          <w:szCs w:val="24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Prasata: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 xml:space="preserve">Maso: </w:t>
      </w:r>
      <w:r w:rsidR="00012C90">
        <w:rPr>
          <w:iCs/>
          <w:szCs w:val="22"/>
        </w:rPr>
        <w:t>Bez ochranných lhůt.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Telata: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Maso: 28 dnů</w:t>
      </w:r>
    </w:p>
    <w:p w:rsidR="006F6E06" w:rsidRPr="006F6E06" w:rsidRDefault="00012C90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Kur domácí</w:t>
      </w:r>
      <w:r w:rsidR="006F6E06">
        <w:rPr>
          <w:iCs/>
          <w:szCs w:val="22"/>
        </w:rPr>
        <w:t>: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 xml:space="preserve">Maso: </w:t>
      </w:r>
      <w:r w:rsidR="00012C90">
        <w:rPr>
          <w:iCs/>
          <w:szCs w:val="22"/>
        </w:rPr>
        <w:t>Bez ochranných lhůt.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Nepoužívat u ptáků, snášejících nebo určených ke snášce vajec pro lidskou spotřebu. Nepoužívat během 4 týdnů před počátkem snášky.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iCs/>
          <w:szCs w:val="22"/>
        </w:rPr>
      </w:pPr>
      <w:r>
        <w:rPr>
          <w:iCs/>
          <w:szCs w:val="22"/>
        </w:rPr>
        <w:t>Králíci:</w:t>
      </w:r>
    </w:p>
    <w:p w:rsidR="006B33B7" w:rsidRPr="00EB25BE" w:rsidRDefault="006F6E06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iCs/>
          <w:szCs w:val="22"/>
        </w:rPr>
        <w:t>Maso:</w:t>
      </w:r>
      <w:r w:rsidR="00012C90">
        <w:rPr>
          <w:iCs/>
          <w:szCs w:val="22"/>
        </w:rPr>
        <w:t xml:space="preserve"> Bez ochranných lhůt.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  <w:r>
        <w:rPr>
          <w:b/>
          <w:bCs/>
        </w:rPr>
        <w:t xml:space="preserve">11. ZVLÁŠTNÍ OPATŘENÍ PRO UCHOVÁVÁNÍ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  <w:r>
        <w:t xml:space="preserve">Uchovávat mimo dohled a dosah dětí. </w:t>
      </w:r>
    </w:p>
    <w:p w:rsidR="006B33B7" w:rsidRPr="00EB25BE" w:rsidRDefault="00C202D9" w:rsidP="006B33B7">
      <w:pPr>
        <w:autoSpaceDE w:val="0"/>
        <w:autoSpaceDN w:val="0"/>
        <w:adjustRightInd w:val="0"/>
        <w:spacing w:line="240" w:lineRule="auto"/>
      </w:pPr>
      <w:r>
        <w:t xml:space="preserve">Uchovávejte při teplotě </w:t>
      </w:r>
      <w:r w:rsidR="00A9725E">
        <w:t>do</w:t>
      </w:r>
      <w:r>
        <w:t xml:space="preserve"> 25</w:t>
      </w:r>
      <w:r w:rsidR="0034267C">
        <w:t> </w:t>
      </w:r>
      <w:r>
        <w:t>°C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  <w:r>
        <w:t>Nepoužívejte tento veterinární léčivý přípravek po uplynutí doby použitelnost</w:t>
      </w:r>
      <w:r w:rsidR="0034267C">
        <w:t>i</w:t>
      </w:r>
      <w:r>
        <w:t xml:space="preserve"> uvedené na </w:t>
      </w:r>
      <w:r w:rsidR="0034267C">
        <w:t>etiketě</w:t>
      </w:r>
      <w:r>
        <w:t>. Doba použitelnosti končí posledním dnem v uvedeném měsíci.</w:t>
      </w:r>
    </w:p>
    <w:p w:rsidR="006F6E06" w:rsidRDefault="006F6E06" w:rsidP="006F6E06">
      <w:pPr>
        <w:autoSpaceDE w:val="0"/>
        <w:autoSpaceDN w:val="0"/>
        <w:adjustRightInd w:val="0"/>
        <w:spacing w:line="240" w:lineRule="auto"/>
      </w:pPr>
      <w:r>
        <w:t>Doba použitelnos</w:t>
      </w:r>
      <w:r w:rsidR="00C1312B">
        <w:t>ti</w:t>
      </w:r>
      <w:r>
        <w:t xml:space="preserve"> po prvním otevření vnitřního obalu (lahvička a </w:t>
      </w:r>
      <w:r w:rsidR="0034267C">
        <w:t>pytel</w:t>
      </w:r>
      <w:r>
        <w:t>): 28 dnů.</w:t>
      </w:r>
    </w:p>
    <w:p w:rsidR="006F6E06" w:rsidRDefault="006F6E06" w:rsidP="006F6E06">
      <w:pPr>
        <w:autoSpaceDE w:val="0"/>
        <w:autoSpaceDN w:val="0"/>
        <w:adjustRightInd w:val="0"/>
        <w:spacing w:line="240" w:lineRule="auto"/>
      </w:pPr>
      <w:r>
        <w:t xml:space="preserve">Doba použitelnosti po prvním otevření vnitřního obalu (sáček): </w:t>
      </w:r>
      <w:r w:rsidR="0034267C">
        <w:t>spotřebujte ihned</w:t>
      </w:r>
      <w:r>
        <w:t>.</w:t>
      </w:r>
    </w:p>
    <w:p w:rsidR="006F6E06" w:rsidRDefault="006F6E06" w:rsidP="006F6E06">
      <w:pPr>
        <w:autoSpaceDE w:val="0"/>
        <w:autoSpaceDN w:val="0"/>
        <w:adjustRightInd w:val="0"/>
        <w:spacing w:line="240" w:lineRule="auto"/>
      </w:pPr>
      <w:r>
        <w:t xml:space="preserve">Doba použitelnosti po rozpuštění v pitné vodě: 24 hodin. </w:t>
      </w:r>
    </w:p>
    <w:p w:rsidR="006B33B7" w:rsidRDefault="006F6E06" w:rsidP="006B33B7">
      <w:pPr>
        <w:autoSpaceDE w:val="0"/>
        <w:autoSpaceDN w:val="0"/>
        <w:adjustRightInd w:val="0"/>
        <w:spacing w:line="240" w:lineRule="auto"/>
      </w:pPr>
      <w:r>
        <w:t xml:space="preserve">Doba použitelnosti po rozpuštění v náhražce mléka: </w:t>
      </w:r>
      <w:r w:rsidR="0034267C">
        <w:t>spotřebujte ihned</w:t>
      </w:r>
      <w:r>
        <w:t xml:space="preserve">. </w:t>
      </w:r>
      <w:r w:rsidR="0034267C">
        <w:t>Neuchovávejte</w:t>
      </w:r>
      <w:r>
        <w:t xml:space="preserve">. </w:t>
      </w:r>
    </w:p>
    <w:p w:rsidR="00A31C1D" w:rsidRPr="00EB25BE" w:rsidRDefault="00A31C1D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12. ZVLÁŠTNÍ UPOZORNĚNÍ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</w:p>
    <w:p w:rsidR="006B33B7" w:rsidRPr="006A3441" w:rsidRDefault="006B33B7" w:rsidP="006B33B7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6A3441">
        <w:rPr>
          <w:bCs/>
          <w:u w:val="single"/>
        </w:rPr>
        <w:t>Zvláštní opatření pro použití u zvířat</w:t>
      </w:r>
      <w:r w:rsidR="00781698">
        <w:rPr>
          <w:bCs/>
          <w:u w:val="single"/>
        </w:rPr>
        <w:t>:</w:t>
      </w:r>
      <w:r w:rsidRPr="006A3441">
        <w:rPr>
          <w:bCs/>
          <w:u w:val="single"/>
        </w:rPr>
        <w:t xml:space="preserve"> </w:t>
      </w:r>
    </w:p>
    <w:p w:rsidR="006B33B7" w:rsidRPr="00EB25BE" w:rsidRDefault="006B33B7" w:rsidP="006B33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rPr>
          <w:szCs w:val="22"/>
        </w:rPr>
        <w:t xml:space="preserve">Použití veterinárního léčivého přípravku musí být založeno na testování citlivosti </w:t>
      </w:r>
      <w:r w:rsidR="009C1CFD">
        <w:rPr>
          <w:szCs w:val="22"/>
        </w:rPr>
        <w:t>izolátů z nemocného</w:t>
      </w:r>
      <w:r>
        <w:rPr>
          <w:szCs w:val="22"/>
        </w:rPr>
        <w:t xml:space="preserve"> zvířete. Pokud to není možné, je třeba založit terapii na základě místních epidemiologických</w:t>
      </w:r>
      <w:r w:rsidR="00C95B80">
        <w:rPr>
          <w:szCs w:val="22"/>
        </w:rPr>
        <w:t xml:space="preserve"> </w:t>
      </w:r>
      <w:proofErr w:type="gramStart"/>
      <w:r>
        <w:rPr>
          <w:szCs w:val="22"/>
        </w:rPr>
        <w:t>informacích</w:t>
      </w:r>
      <w:proofErr w:type="gramEnd"/>
      <w:r>
        <w:rPr>
          <w:szCs w:val="22"/>
        </w:rPr>
        <w:t xml:space="preserve"> (na úrovni regionu nebo farmy) o citlivosti cílové bakterie.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rPr>
          <w:szCs w:val="22"/>
        </w:rPr>
        <w:t xml:space="preserve">Tam, kde byla na farmě diagnostikována </w:t>
      </w:r>
      <w:proofErr w:type="spellStart"/>
      <w:r>
        <w:rPr>
          <w:i/>
          <w:szCs w:val="22"/>
        </w:rPr>
        <w:t>Salmonella</w:t>
      </w:r>
      <w:proofErr w:type="spellEnd"/>
      <w:r>
        <w:rPr>
          <w:szCs w:val="22"/>
        </w:rPr>
        <w:t xml:space="preserve"> Dublin, je třeba zvážit zavedení kontrolních opatření, včetně </w:t>
      </w:r>
      <w:r w:rsidR="0092664B">
        <w:rPr>
          <w:szCs w:val="22"/>
        </w:rPr>
        <w:t xml:space="preserve">neustálého </w:t>
      </w:r>
      <w:r>
        <w:rPr>
          <w:szCs w:val="22"/>
        </w:rPr>
        <w:t xml:space="preserve">monitorování stavu onemocnění, vakcinace, </w:t>
      </w:r>
      <w:r w:rsidR="0092664B">
        <w:rPr>
          <w:szCs w:val="22"/>
        </w:rPr>
        <w:t xml:space="preserve">dodržování zásad </w:t>
      </w:r>
      <w:proofErr w:type="spellStart"/>
      <w:r w:rsidR="0092664B">
        <w:rPr>
          <w:szCs w:val="22"/>
        </w:rPr>
        <w:t>biosecurity</w:t>
      </w:r>
      <w:proofErr w:type="spellEnd"/>
      <w:r w:rsidR="0092664B">
        <w:rPr>
          <w:szCs w:val="22"/>
        </w:rPr>
        <w:t xml:space="preserve"> </w:t>
      </w:r>
      <w:r>
        <w:rPr>
          <w:szCs w:val="22"/>
        </w:rPr>
        <w:t>a kontroly pohybu</w:t>
      </w:r>
      <w:r w:rsidR="0092664B">
        <w:rPr>
          <w:szCs w:val="22"/>
        </w:rPr>
        <w:t xml:space="preserve"> zvířat</w:t>
      </w:r>
      <w:r>
        <w:rPr>
          <w:szCs w:val="22"/>
        </w:rPr>
        <w:t>. Tam, kde jsou k dispozici, je třeba dodržovat národní kontrolní programy.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jc w:val="both"/>
        <w:rPr>
          <w:rFonts w:eastAsia="Arial"/>
          <w:szCs w:val="22"/>
        </w:rPr>
      </w:pPr>
      <w:r>
        <w:rPr>
          <w:szCs w:val="22"/>
        </w:rPr>
        <w:lastRenderedPageBreak/>
        <w:t xml:space="preserve">Použití veterinárního léčivého přípravku, </w:t>
      </w:r>
      <w:r w:rsidR="00B60487">
        <w:rPr>
          <w:szCs w:val="22"/>
        </w:rPr>
        <w:t>které je odlišné od pokynů</w:t>
      </w:r>
      <w:r>
        <w:rPr>
          <w:szCs w:val="22"/>
        </w:rPr>
        <w:t xml:space="preserve"> uvedených v </w:t>
      </w:r>
      <w:r w:rsidR="00B60487">
        <w:rPr>
          <w:szCs w:val="22"/>
        </w:rPr>
        <w:t>s</w:t>
      </w:r>
      <w:r>
        <w:rPr>
          <w:szCs w:val="22"/>
        </w:rPr>
        <w:t xml:space="preserve">ouhrnu údajů o přípravku, může zvýšit </w:t>
      </w:r>
      <w:r w:rsidR="00C95B80">
        <w:rPr>
          <w:szCs w:val="22"/>
        </w:rPr>
        <w:t xml:space="preserve">prevalenci </w:t>
      </w:r>
      <w:r>
        <w:rPr>
          <w:szCs w:val="22"/>
        </w:rPr>
        <w:t xml:space="preserve">bakterií rezistentních </w:t>
      </w:r>
      <w:r w:rsidR="00B60487">
        <w:rPr>
          <w:szCs w:val="22"/>
        </w:rPr>
        <w:t xml:space="preserve">k </w:t>
      </w:r>
      <w:proofErr w:type="spellStart"/>
      <w:r>
        <w:rPr>
          <w:szCs w:val="22"/>
        </w:rPr>
        <w:t>apramycinu</w:t>
      </w:r>
      <w:proofErr w:type="spellEnd"/>
      <w:r>
        <w:rPr>
          <w:szCs w:val="22"/>
        </w:rPr>
        <w:t xml:space="preserve">, a může snížit účinnost léčby aminoglykosidy z důvodu potenciální </w:t>
      </w:r>
      <w:r w:rsidR="00B60487">
        <w:rPr>
          <w:szCs w:val="22"/>
        </w:rPr>
        <w:t xml:space="preserve">zkřížené </w:t>
      </w:r>
      <w:r>
        <w:rPr>
          <w:szCs w:val="22"/>
        </w:rPr>
        <w:t>rezistence.</w:t>
      </w:r>
    </w:p>
    <w:p w:rsidR="00B60487" w:rsidRDefault="00B60487" w:rsidP="00B60487">
      <w:pPr>
        <w:autoSpaceDE w:val="0"/>
        <w:autoSpaceDN w:val="0"/>
        <w:adjustRightInd w:val="0"/>
        <w:spacing w:line="240" w:lineRule="atLeast"/>
      </w:pPr>
      <w:r>
        <w:t xml:space="preserve">Při použití přípravku je nutno vzít v úvahu oficiální a místní pravidla antibiotické politiky. </w:t>
      </w:r>
    </w:p>
    <w:p w:rsidR="00A31C1D" w:rsidRPr="00EB25BE" w:rsidRDefault="00A31C1D" w:rsidP="006B33B7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6B33B7" w:rsidRPr="006A3441" w:rsidRDefault="00A9725E" w:rsidP="006A3441">
      <w:pPr>
        <w:keepNext/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6A3441">
        <w:rPr>
          <w:bCs/>
          <w:szCs w:val="22"/>
          <w:u w:val="single"/>
        </w:rPr>
        <w:t>Zvláštní opatření určené osobám, které podávají veterinární léčivý přípravek zvířatům</w:t>
      </w:r>
      <w:r w:rsidR="00781698">
        <w:rPr>
          <w:bCs/>
          <w:szCs w:val="22"/>
          <w:u w:val="single"/>
        </w:rPr>
        <w:t>:</w:t>
      </w: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u w:val="single"/>
        </w:rPr>
      </w:pP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Lidé se známou přecitlivělostí na apramycin nebo na jakýkoliv jiný aminoglykosid by se měli vyhnout kontaktu s tímto přípravkem.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 xml:space="preserve">Přípravek může po kontaktu s pokožkou, očima nebo po vdechnutí způsobit podráždění nebo přecitlivělost.  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 xml:space="preserve">Zabraňte kontaktu s očima, pokožkou, sliznicemi a vdechování prášku při přípravě medikované vody/mléka. 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Při nakládání s veterinárním léčivým přípravkem používejte osobní ochranné prostředky skládající se z rukavic, masky, ochranných brýlí a ochranného oděvu.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Po použití si umyjte ruce.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V případě kontaktu s očima vyplachujte postižené místo velkým množstvím vody. V případě kontaktu s pokožkou důkladně omyjte mýdlem a vodou. Pokud podráždění přetrvává, vyhledejte lékařskou pomoc.</w:t>
      </w:r>
    </w:p>
    <w:p w:rsidR="00781698" w:rsidRPr="004E1109" w:rsidRDefault="00781698" w:rsidP="00781698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V případě náhodného požití vyhledejte ihned lékařskou pomoc a ukažte příbalovou informaci nebo etiketu praktickému lékaři.</w:t>
      </w:r>
    </w:p>
    <w:p w:rsidR="00177C4C" w:rsidRPr="00EB25BE" w:rsidRDefault="00781698" w:rsidP="006B33B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szCs w:val="22"/>
        </w:rPr>
        <w:t>Pokud se po kontaktu s přípravkem objeví příznaky jako například kožní vyrážka, vyhledejte ihned lékařskou pomoc a ukažte příbalovou informaci nebo etiketu praktickému lékaři. Otok obličeje, rtů či očí nebo potíže s dýcháním jsou vážné příznaky a vyžadují okamžité lékařské ošetření.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6A3441">
        <w:rPr>
          <w:bCs/>
          <w:u w:val="single"/>
        </w:rPr>
        <w:t>Použití v době březosti, laktace nebo snášky</w:t>
      </w:r>
      <w:r w:rsidR="00781698">
        <w:rPr>
          <w:bCs/>
          <w:u w:val="single"/>
        </w:rPr>
        <w:t>:</w:t>
      </w:r>
      <w:r w:rsidRPr="006A3441">
        <w:rPr>
          <w:bCs/>
          <w:u w:val="single"/>
        </w:rPr>
        <w:t xml:space="preserve"> </w:t>
      </w: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u w:val="single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Prasata:</w:t>
      </w:r>
    </w:p>
    <w:p w:rsidR="006F6E06" w:rsidRPr="006F6E06" w:rsidRDefault="00C95B80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B</w:t>
      </w:r>
      <w:r w:rsidR="006F6E06">
        <w:rPr>
          <w:szCs w:val="22"/>
        </w:rPr>
        <w:t xml:space="preserve">ezpečnost veterinárního léčivého přípravku pro použití během březosti a laktace </w:t>
      </w:r>
      <w:r>
        <w:rPr>
          <w:szCs w:val="22"/>
        </w:rPr>
        <w:t xml:space="preserve">u </w:t>
      </w:r>
      <w:r w:rsidR="006F6E06">
        <w:rPr>
          <w:szCs w:val="22"/>
        </w:rPr>
        <w:t>prasnic</w:t>
      </w:r>
      <w:r>
        <w:rPr>
          <w:szCs w:val="22"/>
        </w:rPr>
        <w:t xml:space="preserve"> nebyla stanovena</w:t>
      </w:r>
      <w:r w:rsidR="006F6E06">
        <w:rPr>
          <w:szCs w:val="22"/>
        </w:rPr>
        <w:t>. Použít pouze po zvážení terapeutického prospěchu a rizika odpovědným veterinárním lékařem.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F6E06" w:rsidRPr="006F6E06" w:rsidRDefault="00E52C2E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Skot</w:t>
      </w:r>
      <w:r w:rsidR="006F6E06">
        <w:rPr>
          <w:szCs w:val="22"/>
        </w:rPr>
        <w:t>:</w:t>
      </w:r>
    </w:p>
    <w:p w:rsidR="006F6E06" w:rsidRPr="006F6E06" w:rsidRDefault="00B60487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 xml:space="preserve">Přípravek není určen pro použití </w:t>
      </w:r>
      <w:r w:rsidR="006F6E06">
        <w:rPr>
          <w:szCs w:val="22"/>
        </w:rPr>
        <w:t>během březosti nebo laktace.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Králíci:</w:t>
      </w:r>
    </w:p>
    <w:p w:rsidR="006F6E06" w:rsidRPr="006F6E06" w:rsidRDefault="00B60487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D</w:t>
      </w:r>
      <w:r w:rsidR="006F6E06">
        <w:rPr>
          <w:szCs w:val="22"/>
        </w:rPr>
        <w:t xml:space="preserve">ávky </w:t>
      </w:r>
      <w:proofErr w:type="spellStart"/>
      <w:r w:rsidR="006F6E06">
        <w:rPr>
          <w:szCs w:val="22"/>
        </w:rPr>
        <w:t>apramycinu</w:t>
      </w:r>
      <w:proofErr w:type="spellEnd"/>
      <w:r w:rsidR="006F6E06">
        <w:rPr>
          <w:szCs w:val="22"/>
        </w:rPr>
        <w:t xml:space="preserve"> podávané </w:t>
      </w:r>
      <w:r>
        <w:rPr>
          <w:szCs w:val="22"/>
        </w:rPr>
        <w:t xml:space="preserve">perorálně </w:t>
      </w:r>
      <w:r w:rsidR="006F6E06">
        <w:rPr>
          <w:szCs w:val="22"/>
        </w:rPr>
        <w:t xml:space="preserve">od 6. do 18. dne březosti (včetně dávek nižších než terapeutické dávky) podaly důkaz o </w:t>
      </w:r>
      <w:proofErr w:type="spellStart"/>
      <w:r w:rsidR="006F6E06">
        <w:rPr>
          <w:szCs w:val="22"/>
        </w:rPr>
        <w:t>fetotoxických</w:t>
      </w:r>
      <w:proofErr w:type="spellEnd"/>
      <w:r w:rsidR="006F6E06">
        <w:rPr>
          <w:szCs w:val="22"/>
        </w:rPr>
        <w:t xml:space="preserve"> účincích. Nepoužívat během březosti.</w:t>
      </w: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6F6E06" w:rsidRPr="006F6E06" w:rsidRDefault="006F6E06" w:rsidP="006F6E06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>Kuřata:</w:t>
      </w:r>
    </w:p>
    <w:p w:rsidR="00177C4C" w:rsidRDefault="006F6E06" w:rsidP="006B33B7">
      <w:pPr>
        <w:autoSpaceDE w:val="0"/>
        <w:autoSpaceDN w:val="0"/>
        <w:adjustRightInd w:val="0"/>
        <w:spacing w:line="240" w:lineRule="auto"/>
        <w:rPr>
          <w:rFonts w:eastAsia="Calibri"/>
          <w:szCs w:val="22"/>
        </w:rPr>
      </w:pPr>
      <w:r>
        <w:rPr>
          <w:szCs w:val="22"/>
        </w:rPr>
        <w:t>Nepoužívat u nosnic a během 4 týdnů před počátkem snášky.</w:t>
      </w:r>
    </w:p>
    <w:p w:rsidR="00A31C1D" w:rsidRPr="00EB25BE" w:rsidRDefault="00A31C1D" w:rsidP="006B33B7">
      <w:pPr>
        <w:autoSpaceDE w:val="0"/>
        <w:autoSpaceDN w:val="0"/>
        <w:adjustRightInd w:val="0"/>
        <w:spacing w:line="240" w:lineRule="auto"/>
      </w:pP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6A3441">
        <w:rPr>
          <w:bCs/>
          <w:u w:val="single"/>
        </w:rPr>
        <w:t>Interakce s dalšími léčivými přípravky a další formy interakce</w:t>
      </w:r>
      <w:r w:rsidR="00781698">
        <w:rPr>
          <w:bCs/>
          <w:u w:val="single"/>
        </w:rPr>
        <w:t>:</w:t>
      </w:r>
      <w:r w:rsidRPr="006A3441">
        <w:rPr>
          <w:bCs/>
          <w:u w:val="single"/>
        </w:rPr>
        <w:t xml:space="preserve"> </w:t>
      </w: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u w:val="single"/>
        </w:rPr>
      </w:pPr>
    </w:p>
    <w:p w:rsidR="006828C3" w:rsidRPr="006828C3" w:rsidRDefault="006828C3" w:rsidP="006828C3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rPr>
          <w:szCs w:val="22"/>
        </w:rPr>
        <w:t xml:space="preserve">Aminoglykosidy mohou mít nežádoucí </w:t>
      </w:r>
      <w:r w:rsidR="00112504">
        <w:rPr>
          <w:szCs w:val="22"/>
        </w:rPr>
        <w:t xml:space="preserve">vliv </w:t>
      </w:r>
      <w:r>
        <w:rPr>
          <w:szCs w:val="22"/>
        </w:rPr>
        <w:t xml:space="preserve">na </w:t>
      </w:r>
      <w:r w:rsidR="00112504">
        <w:rPr>
          <w:szCs w:val="22"/>
        </w:rPr>
        <w:t xml:space="preserve">funkci </w:t>
      </w:r>
      <w:r>
        <w:rPr>
          <w:szCs w:val="22"/>
        </w:rPr>
        <w:t xml:space="preserve">ledvin. Podávání aminoglykosidů zvířatům trpícím </w:t>
      </w:r>
      <w:r w:rsidR="00112504">
        <w:rPr>
          <w:szCs w:val="22"/>
        </w:rPr>
        <w:t>onemocněním ledvin</w:t>
      </w:r>
      <w:r>
        <w:rPr>
          <w:szCs w:val="22"/>
        </w:rPr>
        <w:t xml:space="preserve"> nebo v kombinaci s látkami, které také ovlivňují renální funkci, může představovat riziko intoxikace.</w:t>
      </w:r>
    </w:p>
    <w:p w:rsidR="006B33B7" w:rsidRDefault="006828C3" w:rsidP="006B33B7">
      <w:pPr>
        <w:autoSpaceDE w:val="0"/>
        <w:autoSpaceDN w:val="0"/>
        <w:adjustRightInd w:val="0"/>
        <w:spacing w:line="240" w:lineRule="auto"/>
        <w:rPr>
          <w:rFonts w:eastAsia="Calibri"/>
          <w:szCs w:val="22"/>
        </w:rPr>
      </w:pPr>
      <w:r>
        <w:rPr>
          <w:szCs w:val="22"/>
        </w:rPr>
        <w:t xml:space="preserve">Aminoglykosidy mohou způsobovat </w:t>
      </w:r>
      <w:proofErr w:type="spellStart"/>
      <w:r>
        <w:rPr>
          <w:szCs w:val="22"/>
        </w:rPr>
        <w:t>neurosvalovou</w:t>
      </w:r>
      <w:proofErr w:type="spellEnd"/>
      <w:r>
        <w:rPr>
          <w:szCs w:val="22"/>
        </w:rPr>
        <w:t xml:space="preserve"> blokádu. Při podávání anestetik ošetřovaným zvířatům se doporučuje vzít v úvahu tento účinek.</w:t>
      </w:r>
    </w:p>
    <w:p w:rsidR="00A31C1D" w:rsidRPr="00EB25BE" w:rsidRDefault="00A31C1D" w:rsidP="006B33B7">
      <w:pPr>
        <w:autoSpaceDE w:val="0"/>
        <w:autoSpaceDN w:val="0"/>
        <w:adjustRightInd w:val="0"/>
        <w:spacing w:line="240" w:lineRule="auto"/>
      </w:pP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6A3441">
        <w:rPr>
          <w:bCs/>
          <w:u w:val="single"/>
        </w:rPr>
        <w:t>Předávkování (symptomy, první pomoc, antidota)</w:t>
      </w:r>
      <w:r w:rsidR="00781698">
        <w:rPr>
          <w:bCs/>
          <w:u w:val="single"/>
        </w:rPr>
        <w:t>:</w:t>
      </w:r>
      <w:r w:rsidRPr="006A3441">
        <w:rPr>
          <w:bCs/>
          <w:u w:val="single"/>
        </w:rPr>
        <w:t xml:space="preserve"> </w:t>
      </w: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rPr>
          <w:u w:val="single"/>
        </w:rPr>
      </w:pPr>
    </w:p>
    <w:p w:rsidR="006F6E06" w:rsidRPr="006F6E06" w:rsidRDefault="006F6E06" w:rsidP="006A3441">
      <w:pPr>
        <w:pStyle w:val="Zkladntextodsazen"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Prasata: </w:t>
      </w:r>
      <w:r w:rsidR="00B12CE7">
        <w:rPr>
          <w:b w:val="0"/>
          <w:szCs w:val="22"/>
        </w:rPr>
        <w:t xml:space="preserve">Prasatům byl podáván až devítinásobek doporučované dávky </w:t>
      </w:r>
      <w:r>
        <w:rPr>
          <w:b w:val="0"/>
          <w:szCs w:val="22"/>
        </w:rPr>
        <w:t>v pitné vodě po dobu 28 dnů, aniž by došlo k nepříznivým účinkům.</w:t>
      </w:r>
    </w:p>
    <w:p w:rsidR="006F6E06" w:rsidRPr="006F6E06" w:rsidRDefault="006F6E06" w:rsidP="006A3441">
      <w:pPr>
        <w:pStyle w:val="Zkladntextodsazen"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Telata:  </w:t>
      </w:r>
      <w:r w:rsidR="00B12CE7" w:rsidRPr="00B12CE7">
        <w:rPr>
          <w:b w:val="0"/>
          <w:szCs w:val="22"/>
        </w:rPr>
        <w:t xml:space="preserve">Telatům byl podáván </w:t>
      </w:r>
      <w:proofErr w:type="spellStart"/>
      <w:r w:rsidR="00B12CE7" w:rsidRPr="00B12CE7">
        <w:rPr>
          <w:b w:val="0"/>
          <w:szCs w:val="22"/>
        </w:rPr>
        <w:t>apramycin</w:t>
      </w:r>
      <w:proofErr w:type="spellEnd"/>
      <w:r w:rsidR="00B12CE7" w:rsidRPr="00B12CE7">
        <w:rPr>
          <w:b w:val="0"/>
          <w:szCs w:val="22"/>
        </w:rPr>
        <w:t xml:space="preserve"> v mléčné náhražce</w:t>
      </w:r>
      <w:r>
        <w:rPr>
          <w:b w:val="0"/>
          <w:szCs w:val="22"/>
        </w:rPr>
        <w:t xml:space="preserve"> denně po dobu pěti dnů v dávkách až 120 mg/kg </w:t>
      </w:r>
      <w:r w:rsidR="00B12CE7">
        <w:rPr>
          <w:b w:val="0"/>
          <w:szCs w:val="22"/>
        </w:rPr>
        <w:t>živé</w:t>
      </w:r>
      <w:r>
        <w:rPr>
          <w:b w:val="0"/>
          <w:szCs w:val="22"/>
        </w:rPr>
        <w:t xml:space="preserve"> hmotnosti. Nedošlo k toxickému účinku.</w:t>
      </w:r>
    </w:p>
    <w:p w:rsidR="006F6E06" w:rsidRPr="006F6E06" w:rsidRDefault="006F6E06" w:rsidP="006A3441">
      <w:pPr>
        <w:pStyle w:val="Zkladntextodsazen"/>
        <w:ind w:left="0" w:firstLine="0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Kuřata: Nedošlo k žádnému úmrtí, když </w:t>
      </w:r>
      <w:r w:rsidR="00B12CE7" w:rsidRPr="00B12CE7">
        <w:rPr>
          <w:b w:val="0"/>
          <w:szCs w:val="22"/>
        </w:rPr>
        <w:t>byla kuřatům podána jedna</w:t>
      </w:r>
      <w:r w:rsidR="00B12CE7">
        <w:rPr>
          <w:b w:val="0"/>
          <w:szCs w:val="22"/>
        </w:rPr>
        <w:t xml:space="preserve"> perorální </w:t>
      </w:r>
      <w:r>
        <w:rPr>
          <w:b w:val="0"/>
          <w:szCs w:val="22"/>
        </w:rPr>
        <w:t>dávk</w:t>
      </w:r>
      <w:r w:rsidR="00B12CE7">
        <w:rPr>
          <w:b w:val="0"/>
          <w:szCs w:val="22"/>
        </w:rPr>
        <w:t>a</w:t>
      </w:r>
      <w:r>
        <w:rPr>
          <w:b w:val="0"/>
          <w:szCs w:val="22"/>
        </w:rPr>
        <w:t xml:space="preserve"> 1 000 mg/kg </w:t>
      </w:r>
      <w:r w:rsidR="00B12CE7">
        <w:rPr>
          <w:b w:val="0"/>
          <w:szCs w:val="22"/>
        </w:rPr>
        <w:t>živé</w:t>
      </w:r>
      <w:r>
        <w:rPr>
          <w:b w:val="0"/>
          <w:szCs w:val="22"/>
        </w:rPr>
        <w:t xml:space="preserve"> hmotnosti. </w:t>
      </w:r>
      <w:r w:rsidR="00B12CE7" w:rsidRPr="00B12CE7">
        <w:rPr>
          <w:b w:val="0"/>
          <w:szCs w:val="22"/>
        </w:rPr>
        <w:t>Kuřatům byl podáván až pětinásobek doporučené dávky</w:t>
      </w:r>
      <w:r w:rsidR="00B12CE7">
        <w:rPr>
          <w:b w:val="0"/>
          <w:szCs w:val="22"/>
        </w:rPr>
        <w:t xml:space="preserve"> </w:t>
      </w:r>
      <w:r>
        <w:rPr>
          <w:b w:val="0"/>
          <w:szCs w:val="22"/>
        </w:rPr>
        <w:t>po dobu 15 dnů, aniž by došlo k nepříznivým účinkům.</w:t>
      </w:r>
    </w:p>
    <w:p w:rsidR="006F6E06" w:rsidRPr="006F6E06" w:rsidRDefault="006F6E06" w:rsidP="006F6E06">
      <w:pPr>
        <w:pStyle w:val="Zkladntextodsazen"/>
        <w:keepNext/>
        <w:keepLines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Možnou intoxikaci lze poznat z následujících příznaků: </w:t>
      </w:r>
      <w:r w:rsidR="00B12CE7">
        <w:rPr>
          <w:b w:val="0"/>
          <w:szCs w:val="22"/>
        </w:rPr>
        <w:t>měkký trus</w:t>
      </w:r>
      <w:r>
        <w:rPr>
          <w:b w:val="0"/>
          <w:szCs w:val="22"/>
        </w:rPr>
        <w:t>, průjem, zvracení (ztráta hmotnosti, anorexie a</w:t>
      </w:r>
      <w:r w:rsidR="00E52C2E">
        <w:rPr>
          <w:b w:val="0"/>
          <w:szCs w:val="22"/>
        </w:rPr>
        <w:t>pod.</w:t>
      </w:r>
      <w:r>
        <w:rPr>
          <w:b w:val="0"/>
          <w:szCs w:val="22"/>
        </w:rPr>
        <w:t>), poškození ledvin a vliv na centrální nervový systém (snížená aktivita, ztráta reflexů, křeče atd.).</w:t>
      </w:r>
    </w:p>
    <w:p w:rsidR="006B33B7" w:rsidRDefault="006F6E06" w:rsidP="006B33B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Nepřekračujte doporučené dávkování.</w:t>
      </w:r>
    </w:p>
    <w:p w:rsidR="00A31C1D" w:rsidRPr="00EB25BE" w:rsidRDefault="00A31C1D" w:rsidP="006B33B7">
      <w:pPr>
        <w:tabs>
          <w:tab w:val="clear" w:pos="567"/>
        </w:tabs>
        <w:spacing w:line="240" w:lineRule="auto"/>
        <w:rPr>
          <w:szCs w:val="22"/>
        </w:rPr>
      </w:pP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ind w:left="600" w:hanging="600"/>
        <w:rPr>
          <w:bCs/>
          <w:u w:val="single"/>
        </w:rPr>
      </w:pPr>
      <w:r w:rsidRPr="006A3441">
        <w:rPr>
          <w:bCs/>
          <w:u w:val="single"/>
        </w:rPr>
        <w:t>Inkompatibility</w:t>
      </w:r>
      <w:r w:rsidR="00781698">
        <w:rPr>
          <w:bCs/>
          <w:u w:val="single"/>
        </w:rPr>
        <w:t>:</w:t>
      </w:r>
      <w:r w:rsidRPr="006A3441">
        <w:rPr>
          <w:bCs/>
          <w:u w:val="single"/>
        </w:rPr>
        <w:t xml:space="preserve">  </w:t>
      </w:r>
    </w:p>
    <w:p w:rsidR="006B33B7" w:rsidRPr="006A3441" w:rsidRDefault="006B33B7" w:rsidP="006A3441">
      <w:pPr>
        <w:keepNext/>
        <w:autoSpaceDE w:val="0"/>
        <w:autoSpaceDN w:val="0"/>
        <w:adjustRightInd w:val="0"/>
        <w:spacing w:line="240" w:lineRule="auto"/>
        <w:ind w:left="600" w:hanging="600"/>
        <w:rPr>
          <w:u w:val="single"/>
        </w:rPr>
      </w:pPr>
    </w:p>
    <w:p w:rsidR="006B33B7" w:rsidRDefault="00BB0A58" w:rsidP="006B33B7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6F6E06" w:rsidRPr="00EB25BE" w:rsidRDefault="006F6E06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13. ZVLÁŠTNÍ OPATŘENÍ PRO ZNEŠKODŇOVÁNÍ NEPOUŽITÝCH PŘÍPRAVKŮ NEBO ODPADU, POKUD JE JICH TŘEBA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sz w:val="24"/>
          <w:szCs w:val="24"/>
        </w:rPr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14. DATUM POSLEDNÍ REVIZE PŘÍBALOVÉ INFORMACE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</w:pPr>
    </w:p>
    <w:p w:rsidR="006B33B7" w:rsidRPr="006A3441" w:rsidRDefault="00954DF4" w:rsidP="006B33B7">
      <w:pPr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Listopad</w:t>
      </w:r>
      <w:r w:rsidR="006C2CEC" w:rsidRPr="006A3441">
        <w:rPr>
          <w:iCs/>
        </w:rPr>
        <w:t xml:space="preserve"> 2018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ind w:left="560" w:hanging="560"/>
        <w:rPr>
          <w:b/>
          <w:bCs/>
        </w:rPr>
      </w:pPr>
      <w:r>
        <w:rPr>
          <w:b/>
          <w:bCs/>
        </w:rPr>
        <w:t xml:space="preserve">15. DALŠÍ INFORMACE </w:t>
      </w: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34267C" w:rsidRDefault="0034267C" w:rsidP="00BB0A58">
      <w:pPr>
        <w:keepNext/>
        <w:keepLines/>
        <w:tabs>
          <w:tab w:val="clear" w:pos="567"/>
        </w:tabs>
        <w:spacing w:line="240" w:lineRule="auto"/>
        <w:jc w:val="both"/>
      </w:pPr>
      <w:r>
        <w:t>HDPE</w:t>
      </w:r>
      <w:r w:rsidR="00BB0A58">
        <w:t xml:space="preserve"> lahve s polypropylenovými šroubovacími uzávěry</w:t>
      </w:r>
      <w:r>
        <w:t>.</w:t>
      </w:r>
    </w:p>
    <w:p w:rsidR="00BB0A58" w:rsidRDefault="00BB0A58" w:rsidP="00BB0A58">
      <w:pPr>
        <w:keepNext/>
        <w:keepLines/>
        <w:tabs>
          <w:tab w:val="clear" w:pos="567"/>
        </w:tabs>
        <w:spacing w:line="240" w:lineRule="auto"/>
        <w:jc w:val="both"/>
      </w:pPr>
      <w:r>
        <w:t xml:space="preserve">Lepenková krabice s obsahem 25 nebo 50 </w:t>
      </w:r>
      <w:r w:rsidR="0034267C">
        <w:t xml:space="preserve">sáčků z </w:t>
      </w:r>
      <w:proofErr w:type="spellStart"/>
      <w:r w:rsidR="0034267C">
        <w:t>polyethylenu</w:t>
      </w:r>
      <w:proofErr w:type="spellEnd"/>
      <w:r>
        <w:t>/</w:t>
      </w:r>
      <w:r w:rsidR="0034267C">
        <w:t>hliníku</w:t>
      </w:r>
      <w:r>
        <w:t>/polypropylen</w:t>
      </w:r>
      <w:r w:rsidR="0034267C">
        <w:t>u</w:t>
      </w:r>
      <w:r>
        <w:t xml:space="preserve"> </w:t>
      </w:r>
    </w:p>
    <w:p w:rsidR="006B33B7" w:rsidRPr="006C44C5" w:rsidRDefault="00BB0A58" w:rsidP="006B33B7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line="240" w:lineRule="auto"/>
        <w:jc w:val="both"/>
        <w:rPr>
          <w:b/>
          <w:szCs w:val="22"/>
        </w:rPr>
      </w:pPr>
      <w:r>
        <w:t xml:space="preserve">Laminované uzavíratelné </w:t>
      </w:r>
      <w:r w:rsidR="0034267C">
        <w:t xml:space="preserve">pytle s pevným dnem vyrobené z vrstev </w:t>
      </w:r>
      <w:proofErr w:type="spellStart"/>
      <w:r w:rsidR="0034267C">
        <w:t>polyethylenu</w:t>
      </w:r>
      <w:proofErr w:type="spellEnd"/>
      <w:r w:rsidR="0034267C">
        <w:t>/hliníku/</w:t>
      </w:r>
      <w:proofErr w:type="spellStart"/>
      <w:r w:rsidR="0034267C">
        <w:t>polyethylen</w:t>
      </w:r>
      <w:proofErr w:type="spellEnd"/>
      <w:r w:rsidR="0034267C">
        <w:t xml:space="preserve"> </w:t>
      </w:r>
      <w:proofErr w:type="spellStart"/>
      <w:r w:rsidR="0034267C">
        <w:t>tereftalátu</w:t>
      </w:r>
      <w:proofErr w:type="spellEnd"/>
      <w:r w:rsidR="0034267C">
        <w:t>.</w:t>
      </w:r>
    </w:p>
    <w:p w:rsidR="006F6E06" w:rsidRDefault="006F6E06" w:rsidP="006B33B7">
      <w:pPr>
        <w:autoSpaceDE w:val="0"/>
        <w:autoSpaceDN w:val="0"/>
        <w:adjustRightInd w:val="0"/>
        <w:spacing w:line="240" w:lineRule="auto"/>
      </w:pPr>
    </w:p>
    <w:p w:rsidR="006F6E06" w:rsidRDefault="006F6E06" w:rsidP="006F6E06">
      <w:pPr>
        <w:autoSpaceDE w:val="0"/>
        <w:autoSpaceDN w:val="0"/>
        <w:adjustRightInd w:val="0"/>
        <w:spacing w:line="240" w:lineRule="auto"/>
      </w:pPr>
      <w:r>
        <w:t>Lahvičky obsahující 90,58 g apramycin sulfátu nebo 50 000 000 IU.</w:t>
      </w:r>
    </w:p>
    <w:p w:rsidR="006F6E06" w:rsidRDefault="006F6E06" w:rsidP="006F6E06">
      <w:pPr>
        <w:autoSpaceDE w:val="0"/>
        <w:autoSpaceDN w:val="0"/>
        <w:adjustRightInd w:val="0"/>
        <w:spacing w:line="240" w:lineRule="auto"/>
      </w:pPr>
      <w:r>
        <w:t>Sáčky obsahující 1,812 g apramycin sulfátu nebo 1 000 000 IU.</w:t>
      </w:r>
    </w:p>
    <w:p w:rsidR="006F6E06" w:rsidRDefault="0034267C" w:rsidP="006F6E06">
      <w:pPr>
        <w:autoSpaceDE w:val="0"/>
        <w:autoSpaceDN w:val="0"/>
        <w:adjustRightInd w:val="0"/>
        <w:spacing w:line="240" w:lineRule="auto"/>
      </w:pPr>
      <w:r>
        <w:t xml:space="preserve">Pytle </w:t>
      </w:r>
      <w:r w:rsidR="006F6E06">
        <w:t>obsahující 1811,6 g apramycin sulfátu nebo 1 000 000 000 IU.</w:t>
      </w:r>
    </w:p>
    <w:p w:rsidR="006F6E06" w:rsidRDefault="006F6E06" w:rsidP="006B33B7">
      <w:pPr>
        <w:autoSpaceDE w:val="0"/>
        <w:autoSpaceDN w:val="0"/>
        <w:adjustRightInd w:val="0"/>
        <w:spacing w:line="240" w:lineRule="auto"/>
      </w:pPr>
    </w:p>
    <w:p w:rsidR="006B33B7" w:rsidRPr="00EB25BE" w:rsidRDefault="006B33B7" w:rsidP="006B33B7">
      <w:pPr>
        <w:autoSpaceDE w:val="0"/>
        <w:autoSpaceDN w:val="0"/>
        <w:adjustRightInd w:val="0"/>
        <w:spacing w:line="240" w:lineRule="auto"/>
      </w:pPr>
      <w:r>
        <w:t>Na trhu nemusí být všechny velikosti balení.</w:t>
      </w:r>
    </w:p>
    <w:p w:rsidR="006B33B7" w:rsidRPr="00EB25BE" w:rsidRDefault="006B33B7" w:rsidP="006B33B7"/>
    <w:p w:rsidR="006B33B7" w:rsidRDefault="006C2CEC" w:rsidP="006B33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Pouze pro zvířata.</w:t>
      </w:r>
    </w:p>
    <w:p w:rsidR="006C2CEC" w:rsidRDefault="006C2CEC" w:rsidP="006B33B7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C2CEC" w:rsidRPr="00EB25BE" w:rsidRDefault="006C2CEC" w:rsidP="006B33B7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Veterinární léčivý přípravek je vydáván pouze na předpis.</w:t>
      </w:r>
    </w:p>
    <w:p w:rsidR="00C114FF" w:rsidRPr="00EB25B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EB25BE" w:rsidSect="00297A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138" w:right="1411" w:bottom="1138" w:left="1411" w:header="734" w:footer="7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78" w:rsidRDefault="00671F78">
      <w:r>
        <w:separator/>
      </w:r>
    </w:p>
  </w:endnote>
  <w:endnote w:type="continuationSeparator" w:id="0">
    <w:p w:rsidR="00671F78" w:rsidRDefault="0067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3" w:rsidRDefault="00F37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3" w:rsidRDefault="00F370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3" w:rsidRDefault="00F370F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Default="001864DD">
    <w:pPr>
      <w:pStyle w:val="Zpat"/>
    </w:pPr>
  </w:p>
  <w:p w:rsidR="001864DD" w:rsidRDefault="001864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Pr="00A1495C" w:rsidRDefault="001864DD" w:rsidP="00D2542F">
    <w:pPr>
      <w:pStyle w:val="Zpat"/>
      <w:tabs>
        <w:tab w:val="clear" w:pos="8930"/>
        <w:tab w:val="right" w:pos="8931"/>
      </w:tabs>
      <w:jc w:val="center"/>
      <w:rPr>
        <w:rFonts w:ascii="Arial" w:eastAsia="Arial" w:hAnsi="Arial" w:cs="Arial"/>
        <w:w w:val="90"/>
        <w:sz w:val="15"/>
        <w:szCs w:val="15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67316D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  <w:r>
      <w:rPr>
        <w:rFonts w:ascii="Arial" w:hAnsi="Arial"/>
        <w:w w:val="90"/>
        <w:sz w:val="15"/>
        <w:szCs w:val="15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Default="001864DD">
    <w:pPr>
      <w:pStyle w:val="Zpat"/>
      <w:tabs>
        <w:tab w:val="clear" w:pos="8930"/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731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78" w:rsidRDefault="00671F78">
      <w:r>
        <w:separator/>
      </w:r>
    </w:p>
  </w:footnote>
  <w:footnote w:type="continuationSeparator" w:id="0">
    <w:p w:rsidR="00671F78" w:rsidRDefault="0067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3" w:rsidRDefault="00F37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F7" w:rsidRDefault="004352F7">
    <w:pPr>
      <w:pStyle w:val="Zhlav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3" w:rsidRDefault="00F370F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Default="001864DD">
    <w:pPr>
      <w:pStyle w:val="Zhlav"/>
    </w:pPr>
  </w:p>
  <w:p w:rsidR="001864DD" w:rsidRDefault="001864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Default="001864DD">
    <w:pPr>
      <w:pStyle w:val="Zhlav"/>
    </w:pPr>
  </w:p>
  <w:p w:rsidR="001864DD" w:rsidRDefault="001864D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D" w:rsidRDefault="001864DD">
    <w:pPr>
      <w:pStyle w:val="Zhlav"/>
    </w:pPr>
  </w:p>
  <w:p w:rsidR="001864DD" w:rsidRDefault="001864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98A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807CD"/>
    <w:multiLevelType w:val="hybridMultilevel"/>
    <w:tmpl w:val="8EAE40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4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6"/>
  </w:num>
  <w:num w:numId="31">
    <w:abstractNumId w:val="37"/>
  </w:num>
  <w:num w:numId="32">
    <w:abstractNumId w:val="20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  <w:num w:numId="37">
    <w:abstractNumId w:val="25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038C"/>
    <w:rsid w:val="0001259A"/>
    <w:rsid w:val="00012C90"/>
    <w:rsid w:val="00022682"/>
    <w:rsid w:val="00024E21"/>
    <w:rsid w:val="0002516E"/>
    <w:rsid w:val="00036C50"/>
    <w:rsid w:val="0003741D"/>
    <w:rsid w:val="00052D2B"/>
    <w:rsid w:val="00054F55"/>
    <w:rsid w:val="00062945"/>
    <w:rsid w:val="000633AF"/>
    <w:rsid w:val="00074CDF"/>
    <w:rsid w:val="000860CE"/>
    <w:rsid w:val="00090510"/>
    <w:rsid w:val="000938A6"/>
    <w:rsid w:val="000A05DF"/>
    <w:rsid w:val="000A09A3"/>
    <w:rsid w:val="000A1DF5"/>
    <w:rsid w:val="000A5678"/>
    <w:rsid w:val="000B5D80"/>
    <w:rsid w:val="000B7839"/>
    <w:rsid w:val="000B7873"/>
    <w:rsid w:val="000C1D4F"/>
    <w:rsid w:val="000D0742"/>
    <w:rsid w:val="000D19A8"/>
    <w:rsid w:val="000D5CEA"/>
    <w:rsid w:val="000D67D0"/>
    <w:rsid w:val="000D686F"/>
    <w:rsid w:val="000E195C"/>
    <w:rsid w:val="000E29C0"/>
    <w:rsid w:val="000E3602"/>
    <w:rsid w:val="000E3786"/>
    <w:rsid w:val="000F38DA"/>
    <w:rsid w:val="000F5822"/>
    <w:rsid w:val="000F796B"/>
    <w:rsid w:val="000F7E8C"/>
    <w:rsid w:val="0010031E"/>
    <w:rsid w:val="00100800"/>
    <w:rsid w:val="001012EB"/>
    <w:rsid w:val="001043B7"/>
    <w:rsid w:val="001078D1"/>
    <w:rsid w:val="00112504"/>
    <w:rsid w:val="00115782"/>
    <w:rsid w:val="00124F36"/>
    <w:rsid w:val="00125C80"/>
    <w:rsid w:val="00132DFF"/>
    <w:rsid w:val="00140DF6"/>
    <w:rsid w:val="00145D34"/>
    <w:rsid w:val="00146284"/>
    <w:rsid w:val="0014690F"/>
    <w:rsid w:val="00146E84"/>
    <w:rsid w:val="00164685"/>
    <w:rsid w:val="001674D3"/>
    <w:rsid w:val="00177C4C"/>
    <w:rsid w:val="001803D2"/>
    <w:rsid w:val="0018228B"/>
    <w:rsid w:val="00185B0A"/>
    <w:rsid w:val="00185B50"/>
    <w:rsid w:val="001864DD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C5288"/>
    <w:rsid w:val="001C5B03"/>
    <w:rsid w:val="001D4499"/>
    <w:rsid w:val="001F6622"/>
    <w:rsid w:val="001F69F6"/>
    <w:rsid w:val="002055D1"/>
    <w:rsid w:val="00205BB8"/>
    <w:rsid w:val="002100FC"/>
    <w:rsid w:val="00213890"/>
    <w:rsid w:val="00214E52"/>
    <w:rsid w:val="002207C0"/>
    <w:rsid w:val="002323AF"/>
    <w:rsid w:val="00234D0C"/>
    <w:rsid w:val="0023676E"/>
    <w:rsid w:val="002414B6"/>
    <w:rsid w:val="002422EB"/>
    <w:rsid w:val="00242397"/>
    <w:rsid w:val="00247D45"/>
    <w:rsid w:val="00250DD1"/>
    <w:rsid w:val="00251183"/>
    <w:rsid w:val="00251689"/>
    <w:rsid w:val="0025267C"/>
    <w:rsid w:val="00253B6B"/>
    <w:rsid w:val="00260E34"/>
    <w:rsid w:val="00261CE1"/>
    <w:rsid w:val="00265656"/>
    <w:rsid w:val="00266155"/>
    <w:rsid w:val="00267FE7"/>
    <w:rsid w:val="0027019F"/>
    <w:rsid w:val="0027270B"/>
    <w:rsid w:val="00287D71"/>
    <w:rsid w:val="00290805"/>
    <w:rsid w:val="00290C2A"/>
    <w:rsid w:val="002931DD"/>
    <w:rsid w:val="00294C2A"/>
    <w:rsid w:val="00295CB1"/>
    <w:rsid w:val="00297A1B"/>
    <w:rsid w:val="002A0E7C"/>
    <w:rsid w:val="002A21ED"/>
    <w:rsid w:val="002A3F88"/>
    <w:rsid w:val="002A5D6A"/>
    <w:rsid w:val="002B035C"/>
    <w:rsid w:val="002C324D"/>
    <w:rsid w:val="002C592B"/>
    <w:rsid w:val="002D20D0"/>
    <w:rsid w:val="002E3A90"/>
    <w:rsid w:val="002E62CB"/>
    <w:rsid w:val="002E6DF1"/>
    <w:rsid w:val="002F0957"/>
    <w:rsid w:val="002F43F6"/>
    <w:rsid w:val="002F4826"/>
    <w:rsid w:val="002F4880"/>
    <w:rsid w:val="00301697"/>
    <w:rsid w:val="003020BB"/>
    <w:rsid w:val="003031DF"/>
    <w:rsid w:val="00304393"/>
    <w:rsid w:val="00305AB2"/>
    <w:rsid w:val="0031032B"/>
    <w:rsid w:val="00316E87"/>
    <w:rsid w:val="003256AC"/>
    <w:rsid w:val="00326286"/>
    <w:rsid w:val="0033129D"/>
    <w:rsid w:val="003320ED"/>
    <w:rsid w:val="0033480E"/>
    <w:rsid w:val="00337123"/>
    <w:rsid w:val="0034104F"/>
    <w:rsid w:val="00341866"/>
    <w:rsid w:val="0034267C"/>
    <w:rsid w:val="00343279"/>
    <w:rsid w:val="003535E0"/>
    <w:rsid w:val="003626E5"/>
    <w:rsid w:val="00366F56"/>
    <w:rsid w:val="00370551"/>
    <w:rsid w:val="0037241A"/>
    <w:rsid w:val="003737C8"/>
    <w:rsid w:val="0037589D"/>
    <w:rsid w:val="00376BB1"/>
    <w:rsid w:val="00377E23"/>
    <w:rsid w:val="0038277C"/>
    <w:rsid w:val="003871CF"/>
    <w:rsid w:val="003909E0"/>
    <w:rsid w:val="00395B15"/>
    <w:rsid w:val="00395F06"/>
    <w:rsid w:val="00396026"/>
    <w:rsid w:val="003A6CCB"/>
    <w:rsid w:val="003B48EB"/>
    <w:rsid w:val="003C33FF"/>
    <w:rsid w:val="003C3BF7"/>
    <w:rsid w:val="003C64A5"/>
    <w:rsid w:val="003C7BAE"/>
    <w:rsid w:val="003D03CC"/>
    <w:rsid w:val="003D4BB7"/>
    <w:rsid w:val="003E0116"/>
    <w:rsid w:val="003E26C3"/>
    <w:rsid w:val="003E5821"/>
    <w:rsid w:val="003F0D6C"/>
    <w:rsid w:val="003F0F26"/>
    <w:rsid w:val="003F12D9"/>
    <w:rsid w:val="003F1B4C"/>
    <w:rsid w:val="004008F6"/>
    <w:rsid w:val="00414B20"/>
    <w:rsid w:val="00417DE3"/>
    <w:rsid w:val="00423968"/>
    <w:rsid w:val="00427054"/>
    <w:rsid w:val="004304B1"/>
    <w:rsid w:val="00431FBC"/>
    <w:rsid w:val="0043269B"/>
    <w:rsid w:val="0043320A"/>
    <w:rsid w:val="004352F7"/>
    <w:rsid w:val="00441C2A"/>
    <w:rsid w:val="004462B8"/>
    <w:rsid w:val="004518A6"/>
    <w:rsid w:val="00453E1D"/>
    <w:rsid w:val="00454161"/>
    <w:rsid w:val="00454589"/>
    <w:rsid w:val="004548DC"/>
    <w:rsid w:val="00456ED0"/>
    <w:rsid w:val="00456EF3"/>
    <w:rsid w:val="00457550"/>
    <w:rsid w:val="00465FAE"/>
    <w:rsid w:val="00467B27"/>
    <w:rsid w:val="00471755"/>
    <w:rsid w:val="00474C50"/>
    <w:rsid w:val="00486006"/>
    <w:rsid w:val="00486BAD"/>
    <w:rsid w:val="00486BBE"/>
    <w:rsid w:val="00487123"/>
    <w:rsid w:val="00493379"/>
    <w:rsid w:val="004A1BD5"/>
    <w:rsid w:val="004A61E1"/>
    <w:rsid w:val="004B2344"/>
    <w:rsid w:val="004B4EB8"/>
    <w:rsid w:val="004B798E"/>
    <w:rsid w:val="004C244A"/>
    <w:rsid w:val="004D3E58"/>
    <w:rsid w:val="004D6746"/>
    <w:rsid w:val="004E0F32"/>
    <w:rsid w:val="004E1109"/>
    <w:rsid w:val="004E23A1"/>
    <w:rsid w:val="004E5768"/>
    <w:rsid w:val="004E7ECE"/>
    <w:rsid w:val="005004EC"/>
    <w:rsid w:val="0050518A"/>
    <w:rsid w:val="005102BB"/>
    <w:rsid w:val="00515F11"/>
    <w:rsid w:val="00523AA1"/>
    <w:rsid w:val="00523C53"/>
    <w:rsid w:val="00527B8F"/>
    <w:rsid w:val="00542012"/>
    <w:rsid w:val="00543DF5"/>
    <w:rsid w:val="005445FB"/>
    <w:rsid w:val="0055260D"/>
    <w:rsid w:val="005529F2"/>
    <w:rsid w:val="00555810"/>
    <w:rsid w:val="00562DCA"/>
    <w:rsid w:val="0056568F"/>
    <w:rsid w:val="00571684"/>
    <w:rsid w:val="00576EF2"/>
    <w:rsid w:val="00580448"/>
    <w:rsid w:val="00582578"/>
    <w:rsid w:val="005B04A8"/>
    <w:rsid w:val="005B328D"/>
    <w:rsid w:val="005B3421"/>
    <w:rsid w:val="005B3503"/>
    <w:rsid w:val="005B43DC"/>
    <w:rsid w:val="005B4DCD"/>
    <w:rsid w:val="005B4FAD"/>
    <w:rsid w:val="005D0426"/>
    <w:rsid w:val="005D380C"/>
    <w:rsid w:val="005D6E04"/>
    <w:rsid w:val="005D7A12"/>
    <w:rsid w:val="005E53EE"/>
    <w:rsid w:val="005F0542"/>
    <w:rsid w:val="005F0F72"/>
    <w:rsid w:val="005F1C1F"/>
    <w:rsid w:val="005F2121"/>
    <w:rsid w:val="005F346D"/>
    <w:rsid w:val="005F38FB"/>
    <w:rsid w:val="006033A4"/>
    <w:rsid w:val="00606EA1"/>
    <w:rsid w:val="00610E7D"/>
    <w:rsid w:val="006128F0"/>
    <w:rsid w:val="0061726B"/>
    <w:rsid w:val="0062387A"/>
    <w:rsid w:val="006344BE"/>
    <w:rsid w:val="00634A66"/>
    <w:rsid w:val="006357B1"/>
    <w:rsid w:val="00640336"/>
    <w:rsid w:val="00640FC9"/>
    <w:rsid w:val="006432F2"/>
    <w:rsid w:val="0064700E"/>
    <w:rsid w:val="0065320F"/>
    <w:rsid w:val="00653D64"/>
    <w:rsid w:val="00654E13"/>
    <w:rsid w:val="006577E8"/>
    <w:rsid w:val="00657CB3"/>
    <w:rsid w:val="00665689"/>
    <w:rsid w:val="00667104"/>
    <w:rsid w:val="00667489"/>
    <w:rsid w:val="00670D44"/>
    <w:rsid w:val="00671F78"/>
    <w:rsid w:val="0067316D"/>
    <w:rsid w:val="006740BB"/>
    <w:rsid w:val="00676AFC"/>
    <w:rsid w:val="00677AFB"/>
    <w:rsid w:val="00677CC4"/>
    <w:rsid w:val="006807CD"/>
    <w:rsid w:val="006828C3"/>
    <w:rsid w:val="00682D43"/>
    <w:rsid w:val="006856E7"/>
    <w:rsid w:val="00685BAF"/>
    <w:rsid w:val="00686BD1"/>
    <w:rsid w:val="00696047"/>
    <w:rsid w:val="00697CB7"/>
    <w:rsid w:val="006A3441"/>
    <w:rsid w:val="006B12CB"/>
    <w:rsid w:val="006B220F"/>
    <w:rsid w:val="006B33B7"/>
    <w:rsid w:val="006B5916"/>
    <w:rsid w:val="006C2CEC"/>
    <w:rsid w:val="006C44C5"/>
    <w:rsid w:val="006C4F4A"/>
    <w:rsid w:val="006C58EF"/>
    <w:rsid w:val="006C5E80"/>
    <w:rsid w:val="006C6C9A"/>
    <w:rsid w:val="006C7CEE"/>
    <w:rsid w:val="006D075E"/>
    <w:rsid w:val="006D7C6E"/>
    <w:rsid w:val="006E1A9A"/>
    <w:rsid w:val="006E2F95"/>
    <w:rsid w:val="006F6E06"/>
    <w:rsid w:val="00701345"/>
    <w:rsid w:val="00705EAF"/>
    <w:rsid w:val="007101CC"/>
    <w:rsid w:val="00715393"/>
    <w:rsid w:val="0071728F"/>
    <w:rsid w:val="00724E3B"/>
    <w:rsid w:val="00725EEA"/>
    <w:rsid w:val="00727D7F"/>
    <w:rsid w:val="00730CE9"/>
    <w:rsid w:val="0073373D"/>
    <w:rsid w:val="007409A0"/>
    <w:rsid w:val="007439DB"/>
    <w:rsid w:val="00745E51"/>
    <w:rsid w:val="00750E5B"/>
    <w:rsid w:val="00754D7C"/>
    <w:rsid w:val="00765316"/>
    <w:rsid w:val="007708C8"/>
    <w:rsid w:val="00771FF6"/>
    <w:rsid w:val="0077719D"/>
    <w:rsid w:val="00780DF0"/>
    <w:rsid w:val="00781698"/>
    <w:rsid w:val="00782F0F"/>
    <w:rsid w:val="00787482"/>
    <w:rsid w:val="007A0F6D"/>
    <w:rsid w:val="007A113B"/>
    <w:rsid w:val="007A286D"/>
    <w:rsid w:val="007A38DF"/>
    <w:rsid w:val="007A461C"/>
    <w:rsid w:val="007A5045"/>
    <w:rsid w:val="007B20CF"/>
    <w:rsid w:val="007B2499"/>
    <w:rsid w:val="007B5A7F"/>
    <w:rsid w:val="007B72E1"/>
    <w:rsid w:val="007B783A"/>
    <w:rsid w:val="007C1B95"/>
    <w:rsid w:val="007D6364"/>
    <w:rsid w:val="007E2F2D"/>
    <w:rsid w:val="007F1433"/>
    <w:rsid w:val="007F1491"/>
    <w:rsid w:val="007F2B7F"/>
    <w:rsid w:val="007F2F03"/>
    <w:rsid w:val="00800FE0"/>
    <w:rsid w:val="008066AD"/>
    <w:rsid w:val="00814DDB"/>
    <w:rsid w:val="0081517F"/>
    <w:rsid w:val="008151BE"/>
    <w:rsid w:val="00815370"/>
    <w:rsid w:val="0082153D"/>
    <w:rsid w:val="00822642"/>
    <w:rsid w:val="008255AA"/>
    <w:rsid w:val="008260D9"/>
    <w:rsid w:val="00827FE3"/>
    <w:rsid w:val="00830FF3"/>
    <w:rsid w:val="0083404A"/>
    <w:rsid w:val="00836B8C"/>
    <w:rsid w:val="008410C5"/>
    <w:rsid w:val="00846C08"/>
    <w:rsid w:val="00851569"/>
    <w:rsid w:val="008530E7"/>
    <w:rsid w:val="00857675"/>
    <w:rsid w:val="00870229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6EBD"/>
    <w:rsid w:val="008A5665"/>
    <w:rsid w:val="008A620D"/>
    <w:rsid w:val="008B24A8"/>
    <w:rsid w:val="008B3D78"/>
    <w:rsid w:val="008C00D5"/>
    <w:rsid w:val="008C261B"/>
    <w:rsid w:val="008C4FCA"/>
    <w:rsid w:val="008C7882"/>
    <w:rsid w:val="008D1426"/>
    <w:rsid w:val="008D2261"/>
    <w:rsid w:val="008D4C28"/>
    <w:rsid w:val="008D577B"/>
    <w:rsid w:val="008E17C4"/>
    <w:rsid w:val="008E2AB5"/>
    <w:rsid w:val="008E45C4"/>
    <w:rsid w:val="008E64B1"/>
    <w:rsid w:val="008E64FA"/>
    <w:rsid w:val="008F4DEF"/>
    <w:rsid w:val="009048E1"/>
    <w:rsid w:val="00912DA5"/>
    <w:rsid w:val="00913885"/>
    <w:rsid w:val="00916523"/>
    <w:rsid w:val="0092664B"/>
    <w:rsid w:val="0093026C"/>
    <w:rsid w:val="00931D41"/>
    <w:rsid w:val="00933D18"/>
    <w:rsid w:val="009362A8"/>
    <w:rsid w:val="00942221"/>
    <w:rsid w:val="00950FBB"/>
    <w:rsid w:val="00953349"/>
    <w:rsid w:val="00954DF4"/>
    <w:rsid w:val="00954E0C"/>
    <w:rsid w:val="00961156"/>
    <w:rsid w:val="00966F1F"/>
    <w:rsid w:val="00976D32"/>
    <w:rsid w:val="009844F7"/>
    <w:rsid w:val="009A05AA"/>
    <w:rsid w:val="009A0BD2"/>
    <w:rsid w:val="009A2D5A"/>
    <w:rsid w:val="009A3428"/>
    <w:rsid w:val="009A47E4"/>
    <w:rsid w:val="009B142E"/>
    <w:rsid w:val="009B18C9"/>
    <w:rsid w:val="009B2C7E"/>
    <w:rsid w:val="009B5848"/>
    <w:rsid w:val="009C1CFD"/>
    <w:rsid w:val="009C2E47"/>
    <w:rsid w:val="009C5D8F"/>
    <w:rsid w:val="009C6BFB"/>
    <w:rsid w:val="009D0C05"/>
    <w:rsid w:val="009D3058"/>
    <w:rsid w:val="009E2C00"/>
    <w:rsid w:val="009E5F55"/>
    <w:rsid w:val="009E70F4"/>
    <w:rsid w:val="009F1AD2"/>
    <w:rsid w:val="009F5968"/>
    <w:rsid w:val="00A044FC"/>
    <w:rsid w:val="00A11755"/>
    <w:rsid w:val="00A1495C"/>
    <w:rsid w:val="00A207FB"/>
    <w:rsid w:val="00A265A1"/>
    <w:rsid w:val="00A26F44"/>
    <w:rsid w:val="00A313EA"/>
    <w:rsid w:val="00A31C1D"/>
    <w:rsid w:val="00A4313D"/>
    <w:rsid w:val="00A50120"/>
    <w:rsid w:val="00A56ECC"/>
    <w:rsid w:val="00A60351"/>
    <w:rsid w:val="00A61C6D"/>
    <w:rsid w:val="00A63015"/>
    <w:rsid w:val="00A649A1"/>
    <w:rsid w:val="00A678B4"/>
    <w:rsid w:val="00A704A3"/>
    <w:rsid w:val="00A74A56"/>
    <w:rsid w:val="00A75E23"/>
    <w:rsid w:val="00A82AA0"/>
    <w:rsid w:val="00A82F8A"/>
    <w:rsid w:val="00A85A40"/>
    <w:rsid w:val="00A87757"/>
    <w:rsid w:val="00A9226B"/>
    <w:rsid w:val="00A9575C"/>
    <w:rsid w:val="00A95B56"/>
    <w:rsid w:val="00A969AF"/>
    <w:rsid w:val="00A9725E"/>
    <w:rsid w:val="00AA2629"/>
    <w:rsid w:val="00AA2819"/>
    <w:rsid w:val="00AA36AB"/>
    <w:rsid w:val="00AB1A2E"/>
    <w:rsid w:val="00AB25CF"/>
    <w:rsid w:val="00AB328A"/>
    <w:rsid w:val="00AB4918"/>
    <w:rsid w:val="00AB4BC8"/>
    <w:rsid w:val="00AB5551"/>
    <w:rsid w:val="00AB6BA7"/>
    <w:rsid w:val="00AD0710"/>
    <w:rsid w:val="00AD0C98"/>
    <w:rsid w:val="00AD4DB9"/>
    <w:rsid w:val="00AD63C0"/>
    <w:rsid w:val="00AE35B2"/>
    <w:rsid w:val="00AE6AA0"/>
    <w:rsid w:val="00B06668"/>
    <w:rsid w:val="00B119A2"/>
    <w:rsid w:val="00B12CE7"/>
    <w:rsid w:val="00B177F2"/>
    <w:rsid w:val="00B201F1"/>
    <w:rsid w:val="00B304E7"/>
    <w:rsid w:val="00B318B6"/>
    <w:rsid w:val="00B40E8A"/>
    <w:rsid w:val="00B43441"/>
    <w:rsid w:val="00B60487"/>
    <w:rsid w:val="00B60AC9"/>
    <w:rsid w:val="00B67323"/>
    <w:rsid w:val="00B71527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5C89"/>
    <w:rsid w:val="00BB0A58"/>
    <w:rsid w:val="00BB4CE2"/>
    <w:rsid w:val="00BB6380"/>
    <w:rsid w:val="00BC0EFB"/>
    <w:rsid w:val="00BC2E39"/>
    <w:rsid w:val="00BD4733"/>
    <w:rsid w:val="00BE3261"/>
    <w:rsid w:val="00BE597D"/>
    <w:rsid w:val="00BF58FC"/>
    <w:rsid w:val="00C01F77"/>
    <w:rsid w:val="00C01FFC"/>
    <w:rsid w:val="00C06AE4"/>
    <w:rsid w:val="00C114FF"/>
    <w:rsid w:val="00C12FCF"/>
    <w:rsid w:val="00C1312B"/>
    <w:rsid w:val="00C16FA5"/>
    <w:rsid w:val="00C171A1"/>
    <w:rsid w:val="00C171A4"/>
    <w:rsid w:val="00C17F12"/>
    <w:rsid w:val="00C202D9"/>
    <w:rsid w:val="00C21FC5"/>
    <w:rsid w:val="00C237E9"/>
    <w:rsid w:val="00C2490A"/>
    <w:rsid w:val="00C36883"/>
    <w:rsid w:val="00C40928"/>
    <w:rsid w:val="00C43F01"/>
    <w:rsid w:val="00C460BD"/>
    <w:rsid w:val="00C47552"/>
    <w:rsid w:val="00C56E72"/>
    <w:rsid w:val="00C57A81"/>
    <w:rsid w:val="00C60193"/>
    <w:rsid w:val="00C61B93"/>
    <w:rsid w:val="00C62E30"/>
    <w:rsid w:val="00C634D4"/>
    <w:rsid w:val="00C63AA5"/>
    <w:rsid w:val="00C65071"/>
    <w:rsid w:val="00C65D33"/>
    <w:rsid w:val="00C73F6D"/>
    <w:rsid w:val="00C74F6E"/>
    <w:rsid w:val="00C77663"/>
    <w:rsid w:val="00C77FA4"/>
    <w:rsid w:val="00C77FFA"/>
    <w:rsid w:val="00C80401"/>
    <w:rsid w:val="00C81C97"/>
    <w:rsid w:val="00C840C2"/>
    <w:rsid w:val="00C84101"/>
    <w:rsid w:val="00C84955"/>
    <w:rsid w:val="00C8535F"/>
    <w:rsid w:val="00C90EDA"/>
    <w:rsid w:val="00C959E7"/>
    <w:rsid w:val="00C95B80"/>
    <w:rsid w:val="00CB5DE7"/>
    <w:rsid w:val="00CC1E65"/>
    <w:rsid w:val="00CC567A"/>
    <w:rsid w:val="00CD4059"/>
    <w:rsid w:val="00CD4E5A"/>
    <w:rsid w:val="00CE03CE"/>
    <w:rsid w:val="00CE7552"/>
    <w:rsid w:val="00CF0DCD"/>
    <w:rsid w:val="00CF0DFF"/>
    <w:rsid w:val="00CF1BFC"/>
    <w:rsid w:val="00D01982"/>
    <w:rsid w:val="00D0359D"/>
    <w:rsid w:val="00D04DED"/>
    <w:rsid w:val="00D0742C"/>
    <w:rsid w:val="00D1089A"/>
    <w:rsid w:val="00D116BD"/>
    <w:rsid w:val="00D2542F"/>
    <w:rsid w:val="00D304C5"/>
    <w:rsid w:val="00D33B1D"/>
    <w:rsid w:val="00D3691A"/>
    <w:rsid w:val="00D377E2"/>
    <w:rsid w:val="00D40926"/>
    <w:rsid w:val="00D42DCB"/>
    <w:rsid w:val="00D46DF2"/>
    <w:rsid w:val="00D47674"/>
    <w:rsid w:val="00D5338C"/>
    <w:rsid w:val="00D606B2"/>
    <w:rsid w:val="00D63EA3"/>
    <w:rsid w:val="00D65777"/>
    <w:rsid w:val="00D728A0"/>
    <w:rsid w:val="00D81195"/>
    <w:rsid w:val="00D97E7D"/>
    <w:rsid w:val="00DA7A2F"/>
    <w:rsid w:val="00DB3439"/>
    <w:rsid w:val="00DC19E9"/>
    <w:rsid w:val="00DC2946"/>
    <w:rsid w:val="00DC550F"/>
    <w:rsid w:val="00DC64FD"/>
    <w:rsid w:val="00DE127F"/>
    <w:rsid w:val="00DE424A"/>
    <w:rsid w:val="00DE4419"/>
    <w:rsid w:val="00DF0ACA"/>
    <w:rsid w:val="00DF2245"/>
    <w:rsid w:val="00DF6E4B"/>
    <w:rsid w:val="00DF77CF"/>
    <w:rsid w:val="00E026E8"/>
    <w:rsid w:val="00E14C47"/>
    <w:rsid w:val="00E22698"/>
    <w:rsid w:val="00E25B7C"/>
    <w:rsid w:val="00E3725B"/>
    <w:rsid w:val="00E372EF"/>
    <w:rsid w:val="00E40DC9"/>
    <w:rsid w:val="00E434D1"/>
    <w:rsid w:val="00E52C2E"/>
    <w:rsid w:val="00E568D8"/>
    <w:rsid w:val="00E56CBB"/>
    <w:rsid w:val="00E61E51"/>
    <w:rsid w:val="00E6552A"/>
    <w:rsid w:val="00E6707D"/>
    <w:rsid w:val="00E70E7C"/>
    <w:rsid w:val="00E71313"/>
    <w:rsid w:val="00E72606"/>
    <w:rsid w:val="00E73C3E"/>
    <w:rsid w:val="00E75499"/>
    <w:rsid w:val="00E84E9D"/>
    <w:rsid w:val="00E9262D"/>
    <w:rsid w:val="00E935AF"/>
    <w:rsid w:val="00EA17B0"/>
    <w:rsid w:val="00EA49CE"/>
    <w:rsid w:val="00EB0E20"/>
    <w:rsid w:val="00EB25BE"/>
    <w:rsid w:val="00EB3A4D"/>
    <w:rsid w:val="00EC4F3A"/>
    <w:rsid w:val="00EC7C64"/>
    <w:rsid w:val="00ED594D"/>
    <w:rsid w:val="00EE36E1"/>
    <w:rsid w:val="00EF45EC"/>
    <w:rsid w:val="00F0054D"/>
    <w:rsid w:val="00F02467"/>
    <w:rsid w:val="00F0336E"/>
    <w:rsid w:val="00F06042"/>
    <w:rsid w:val="00F07136"/>
    <w:rsid w:val="00F12214"/>
    <w:rsid w:val="00F12565"/>
    <w:rsid w:val="00F14ACA"/>
    <w:rsid w:val="00F17343"/>
    <w:rsid w:val="00F23927"/>
    <w:rsid w:val="00F26A05"/>
    <w:rsid w:val="00F307CE"/>
    <w:rsid w:val="00F370F3"/>
    <w:rsid w:val="00F37108"/>
    <w:rsid w:val="00F4681D"/>
    <w:rsid w:val="00F47BAA"/>
    <w:rsid w:val="00F5067D"/>
    <w:rsid w:val="00F52EAB"/>
    <w:rsid w:val="00F5546B"/>
    <w:rsid w:val="00F6113D"/>
    <w:rsid w:val="00F67A2D"/>
    <w:rsid w:val="00F70A1B"/>
    <w:rsid w:val="00F72FDF"/>
    <w:rsid w:val="00F75960"/>
    <w:rsid w:val="00F82526"/>
    <w:rsid w:val="00F84672"/>
    <w:rsid w:val="00F84802"/>
    <w:rsid w:val="00FA06FD"/>
    <w:rsid w:val="00FA515B"/>
    <w:rsid w:val="00FA6B90"/>
    <w:rsid w:val="00FA74CB"/>
    <w:rsid w:val="00FB2886"/>
    <w:rsid w:val="00FB466E"/>
    <w:rsid w:val="00FC7FDE"/>
    <w:rsid w:val="00FD0492"/>
    <w:rsid w:val="00FD13EC"/>
    <w:rsid w:val="00FD2849"/>
    <w:rsid w:val="00FD4DA8"/>
    <w:rsid w:val="00FD4EEF"/>
    <w:rsid w:val="00FD5461"/>
    <w:rsid w:val="00FD6BDB"/>
    <w:rsid w:val="00FD6F00"/>
    <w:rsid w:val="00FD7B98"/>
    <w:rsid w:val="00FE5CCB"/>
    <w:rsid w:val="00FF18D2"/>
    <w:rsid w:val="00FF22F5"/>
    <w:rsid w:val="00FF36FA"/>
    <w:rsid w:val="00FF430A"/>
    <w:rsid w:val="00FF4664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CDF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2B035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2B035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B035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2B035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B035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B035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B035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B035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B035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035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B03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B035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B035C"/>
    <w:rPr>
      <w:vertAlign w:val="superscript"/>
    </w:rPr>
  </w:style>
  <w:style w:type="character" w:styleId="Znakapoznpodarou">
    <w:name w:val="footnote reference"/>
    <w:semiHidden/>
    <w:rsid w:val="002B035C"/>
    <w:rPr>
      <w:vertAlign w:val="superscript"/>
    </w:rPr>
  </w:style>
  <w:style w:type="paragraph" w:styleId="Textpoznpodarou">
    <w:name w:val="footnote text"/>
    <w:basedOn w:val="Normln"/>
    <w:semiHidden/>
    <w:rsid w:val="002B035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B035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B035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B035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B035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B035C"/>
    <w:pPr>
      <w:spacing w:line="240" w:lineRule="auto"/>
    </w:pPr>
  </w:style>
  <w:style w:type="character" w:styleId="Odkaznakoment">
    <w:name w:val="annotation reference"/>
    <w:semiHidden/>
    <w:rsid w:val="002B035C"/>
    <w:rPr>
      <w:sz w:val="16"/>
    </w:rPr>
  </w:style>
  <w:style w:type="paragraph" w:styleId="Zkladntextodsazen2">
    <w:name w:val="Body Text Indent 2"/>
    <w:basedOn w:val="Normln"/>
    <w:rsid w:val="002B035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B035C"/>
    <w:rPr>
      <w:sz w:val="20"/>
    </w:rPr>
  </w:style>
  <w:style w:type="paragraph" w:styleId="Zkladntextodsazen3">
    <w:name w:val="Body Text Indent 3"/>
    <w:basedOn w:val="Normln"/>
    <w:rsid w:val="002B035C"/>
    <w:pPr>
      <w:spacing w:line="240" w:lineRule="auto"/>
      <w:ind w:left="567" w:hanging="567"/>
    </w:pPr>
  </w:style>
  <w:style w:type="character" w:styleId="Hypertextovodkaz">
    <w:name w:val="Hyperlink"/>
    <w:rsid w:val="002B035C"/>
    <w:rPr>
      <w:color w:val="0000FF"/>
      <w:u w:val="single"/>
    </w:rPr>
  </w:style>
  <w:style w:type="paragraph" w:customStyle="1" w:styleId="AHeader1">
    <w:name w:val="AHeader 1"/>
    <w:basedOn w:val="Normln"/>
    <w:rsid w:val="002B035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B035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B035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B035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B035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B035C"/>
    <w:rPr>
      <w:color w:val="800080"/>
      <w:u w:val="single"/>
    </w:rPr>
  </w:style>
  <w:style w:type="paragraph" w:styleId="Zkladntextodsazen">
    <w:name w:val="Body Text Indent"/>
    <w:basedOn w:val="Normln"/>
    <w:rsid w:val="002B035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B0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B035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 Math" w:hAnsi="Cambria Math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Odstavecseseznamem">
    <w:name w:val="List Paragraph"/>
    <w:basedOn w:val="Normln"/>
    <w:uiPriority w:val="72"/>
    <w:rsid w:val="00B7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CDF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2B035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2B035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B035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2B035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B035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B035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B035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B035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B035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035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B03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B035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B035C"/>
    <w:rPr>
      <w:vertAlign w:val="superscript"/>
    </w:rPr>
  </w:style>
  <w:style w:type="character" w:styleId="Znakapoznpodarou">
    <w:name w:val="footnote reference"/>
    <w:semiHidden/>
    <w:rsid w:val="002B035C"/>
    <w:rPr>
      <w:vertAlign w:val="superscript"/>
    </w:rPr>
  </w:style>
  <w:style w:type="paragraph" w:styleId="Textpoznpodarou">
    <w:name w:val="footnote text"/>
    <w:basedOn w:val="Normln"/>
    <w:semiHidden/>
    <w:rsid w:val="002B035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B035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B035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B035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B035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B035C"/>
    <w:pPr>
      <w:spacing w:line="240" w:lineRule="auto"/>
    </w:pPr>
  </w:style>
  <w:style w:type="character" w:styleId="Odkaznakoment">
    <w:name w:val="annotation reference"/>
    <w:semiHidden/>
    <w:rsid w:val="002B035C"/>
    <w:rPr>
      <w:sz w:val="16"/>
    </w:rPr>
  </w:style>
  <w:style w:type="paragraph" w:styleId="Zkladntextodsazen2">
    <w:name w:val="Body Text Indent 2"/>
    <w:basedOn w:val="Normln"/>
    <w:rsid w:val="002B035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B035C"/>
    <w:rPr>
      <w:sz w:val="20"/>
    </w:rPr>
  </w:style>
  <w:style w:type="paragraph" w:styleId="Zkladntextodsazen3">
    <w:name w:val="Body Text Indent 3"/>
    <w:basedOn w:val="Normln"/>
    <w:rsid w:val="002B035C"/>
    <w:pPr>
      <w:spacing w:line="240" w:lineRule="auto"/>
      <w:ind w:left="567" w:hanging="567"/>
    </w:pPr>
  </w:style>
  <w:style w:type="character" w:styleId="Hypertextovodkaz">
    <w:name w:val="Hyperlink"/>
    <w:rsid w:val="002B035C"/>
    <w:rPr>
      <w:color w:val="0000FF"/>
      <w:u w:val="single"/>
    </w:rPr>
  </w:style>
  <w:style w:type="paragraph" w:customStyle="1" w:styleId="AHeader1">
    <w:name w:val="AHeader 1"/>
    <w:basedOn w:val="Normln"/>
    <w:rsid w:val="002B035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B035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B035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B035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B035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B035C"/>
    <w:rPr>
      <w:color w:val="800080"/>
      <w:u w:val="single"/>
    </w:rPr>
  </w:style>
  <w:style w:type="paragraph" w:styleId="Zkladntextodsazen">
    <w:name w:val="Body Text Indent"/>
    <w:basedOn w:val="Normln"/>
    <w:rsid w:val="002B035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B0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B035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 Math" w:hAnsi="Cambria Math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Odstavecseseznamem">
    <w:name w:val="List Paragraph"/>
    <w:basedOn w:val="Normln"/>
    <w:uiPriority w:val="72"/>
    <w:rsid w:val="00B7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skvbl.cz/cs/farmakovigilanc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r@uskvbl.c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D80D4-B707-45A0-8A45-57EB8B6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1601</Words>
  <Characters>9450</Characters>
  <Application>Microsoft Office Word</Application>
  <DocSecurity>0</DocSecurity>
  <Lines>78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Davy Vangaver</dc:creator>
  <cp:lastModifiedBy>Neugebauerová Kateřina</cp:lastModifiedBy>
  <cp:revision>25</cp:revision>
  <cp:lastPrinted>2018-11-08T14:25:00Z</cp:lastPrinted>
  <dcterms:created xsi:type="dcterms:W3CDTF">2018-08-23T12:13:00Z</dcterms:created>
  <dcterms:modified xsi:type="dcterms:W3CDTF">2018-11-08T14:25:00Z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