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9" w:rsidRPr="00266C65" w:rsidRDefault="00A71EB9" w:rsidP="00266C65">
      <w:pPr>
        <w:pStyle w:val="Bezmezer"/>
        <w:jc w:val="center"/>
        <w:rPr>
          <w:b/>
          <w:szCs w:val="22"/>
          <w:lang w:val="cs-CZ"/>
        </w:rPr>
      </w:pPr>
      <w:bookmarkStart w:id="0" w:name="_GoBack"/>
      <w:bookmarkEnd w:id="0"/>
      <w:r w:rsidRPr="00266C65">
        <w:rPr>
          <w:b/>
          <w:szCs w:val="22"/>
          <w:lang w:val="cs-CZ"/>
        </w:rPr>
        <w:t>PŘÍBALOVÁ INFORMACE</w:t>
      </w:r>
    </w:p>
    <w:p w:rsidR="00A71EB9" w:rsidRPr="00266C65" w:rsidRDefault="00A71EB9" w:rsidP="00266C65">
      <w:pPr>
        <w:pStyle w:val="Bezmezer"/>
        <w:jc w:val="center"/>
        <w:rPr>
          <w:szCs w:val="22"/>
          <w:lang w:val="cs-CZ"/>
        </w:rPr>
      </w:pPr>
      <w:r w:rsidRPr="00266C65">
        <w:rPr>
          <w:szCs w:val="22"/>
          <w:lang w:val="cs-CZ"/>
        </w:rPr>
        <w:t>TYLAN 100% (w/w) prášek pro přípravu perorálního roztoku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1.</w:t>
      </w:r>
      <w:r w:rsidRPr="00266C65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iCs/>
          <w:szCs w:val="22"/>
          <w:lang w:val="cs-CZ"/>
        </w:rPr>
      </w:pPr>
      <w:r w:rsidRPr="00266C65">
        <w:rPr>
          <w:iCs/>
          <w:szCs w:val="22"/>
          <w:u w:val="single"/>
          <w:lang w:val="cs-CZ"/>
        </w:rPr>
        <w:t>Držitel rozhodnutí o registraci</w:t>
      </w:r>
      <w:r w:rsidRPr="00266C65">
        <w:rPr>
          <w:iCs/>
          <w:szCs w:val="22"/>
          <w:lang w:val="cs-CZ"/>
        </w:rPr>
        <w:t>:</w:t>
      </w:r>
    </w:p>
    <w:p w:rsidR="00FC3740" w:rsidRPr="00561753" w:rsidRDefault="00FC3740" w:rsidP="00FC3740">
      <w:pPr>
        <w:ind w:right="-318"/>
        <w:rPr>
          <w:bCs/>
          <w:szCs w:val="22"/>
        </w:rPr>
      </w:pPr>
      <w:r w:rsidRPr="00561753">
        <w:rPr>
          <w:bCs/>
          <w:szCs w:val="22"/>
        </w:rPr>
        <w:t>Elanco GmbH</w:t>
      </w:r>
    </w:p>
    <w:p w:rsidR="00FC3740" w:rsidRPr="00561753" w:rsidRDefault="00FC3740" w:rsidP="00FC3740">
      <w:pPr>
        <w:ind w:right="-318"/>
        <w:rPr>
          <w:bCs/>
          <w:szCs w:val="22"/>
        </w:rPr>
      </w:pPr>
      <w:r w:rsidRPr="00561753">
        <w:rPr>
          <w:bCs/>
          <w:szCs w:val="22"/>
        </w:rPr>
        <w:t>Heinz-Lohmann-Str. 4</w:t>
      </w:r>
    </w:p>
    <w:p w:rsidR="00FC3740" w:rsidRPr="00561753" w:rsidRDefault="00FC3740" w:rsidP="00FC3740">
      <w:pPr>
        <w:ind w:right="-318"/>
        <w:rPr>
          <w:bCs/>
          <w:szCs w:val="22"/>
        </w:rPr>
      </w:pPr>
      <w:r w:rsidRPr="00561753">
        <w:rPr>
          <w:bCs/>
          <w:szCs w:val="22"/>
        </w:rPr>
        <w:t>27472 Cuxhaven</w:t>
      </w:r>
    </w:p>
    <w:p w:rsidR="00FC3740" w:rsidRPr="00561753" w:rsidRDefault="00FC3740" w:rsidP="00FC3740">
      <w:pPr>
        <w:ind w:right="-318"/>
        <w:rPr>
          <w:szCs w:val="22"/>
        </w:rPr>
      </w:pPr>
      <w:r w:rsidRPr="00561753">
        <w:rPr>
          <w:szCs w:val="22"/>
          <w:lang w:val="sl-SI"/>
        </w:rPr>
        <w:t>Německo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szCs w:val="22"/>
          <w:u w:val="single"/>
          <w:lang w:val="cs-CZ"/>
        </w:rPr>
      </w:pPr>
      <w:r w:rsidRPr="00266C65">
        <w:rPr>
          <w:bCs/>
          <w:szCs w:val="22"/>
          <w:u w:val="single"/>
          <w:lang w:val="cs-CZ"/>
        </w:rPr>
        <w:t>Výrobce odpovědný za uvolnění šarže</w:t>
      </w:r>
      <w:r w:rsidRPr="00266C65">
        <w:rPr>
          <w:szCs w:val="22"/>
          <w:lang w:val="cs-CZ"/>
        </w:rPr>
        <w:t>:</w:t>
      </w:r>
    </w:p>
    <w:p w:rsidR="00A71EB9" w:rsidRPr="00296E02" w:rsidRDefault="00FB331A" w:rsidP="00266C65">
      <w:pPr>
        <w:pStyle w:val="Bezmezer"/>
        <w:rPr>
          <w:szCs w:val="22"/>
          <w:highlight w:val="lightGray"/>
          <w:lang w:val="cs-CZ"/>
        </w:rPr>
      </w:pPr>
      <w:r>
        <w:rPr>
          <w:szCs w:val="22"/>
          <w:highlight w:val="lightGray"/>
          <w:lang w:val="cs-CZ"/>
        </w:rPr>
        <w:t>Elanco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Speke Operations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Fleming Road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Liverpool, L24 9LN</w:t>
      </w:r>
    </w:p>
    <w:p w:rsidR="00A71EB9" w:rsidRDefault="00CA5833" w:rsidP="00266C65">
      <w:pPr>
        <w:pStyle w:val="Bezmezer"/>
        <w:rPr>
          <w:szCs w:val="22"/>
          <w:lang w:val="cs-CZ"/>
        </w:rPr>
      </w:pPr>
      <w:r w:rsidRPr="00AA1F04">
        <w:rPr>
          <w:szCs w:val="22"/>
          <w:highlight w:val="lightGray"/>
          <w:lang w:val="cs-CZ"/>
        </w:rPr>
        <w:t>Spojené království</w:t>
      </w:r>
    </w:p>
    <w:p w:rsidR="00296E02" w:rsidRPr="00266C65" w:rsidRDefault="00296E02" w:rsidP="00266C65">
      <w:pPr>
        <w:pStyle w:val="Bezmezer"/>
        <w:rPr>
          <w:szCs w:val="22"/>
          <w:lang w:val="cs-CZ"/>
        </w:rPr>
      </w:pPr>
    </w:p>
    <w:p w:rsidR="00296E02" w:rsidRDefault="00296E02" w:rsidP="00DD4C58">
      <w:pPr>
        <w:rPr>
          <w:szCs w:val="22"/>
          <w:lang w:val="fr-FR"/>
        </w:rPr>
      </w:pPr>
      <w:r>
        <w:rPr>
          <w:szCs w:val="22"/>
          <w:lang w:val="fr-FR"/>
        </w:rPr>
        <w:t>Elanco France S.A.S.</w:t>
      </w:r>
      <w:r w:rsidR="00DD4C58" w:rsidRPr="00E778D4">
        <w:rPr>
          <w:szCs w:val="22"/>
          <w:lang w:val="fr-FR"/>
        </w:rPr>
        <w:t xml:space="preserve"> </w:t>
      </w:r>
    </w:p>
    <w:p w:rsidR="00296E02" w:rsidRDefault="00296E02" w:rsidP="00DD4C58">
      <w:pPr>
        <w:rPr>
          <w:szCs w:val="22"/>
          <w:lang w:val="fr-FR"/>
        </w:rPr>
      </w:pPr>
      <w:r>
        <w:rPr>
          <w:szCs w:val="22"/>
          <w:lang w:val="fr-FR"/>
        </w:rPr>
        <w:t>26 Rue de la Chapelle</w:t>
      </w:r>
    </w:p>
    <w:p w:rsidR="00296E02" w:rsidRDefault="00DD4C58" w:rsidP="00DD4C58">
      <w:pPr>
        <w:rPr>
          <w:szCs w:val="22"/>
          <w:lang w:val="fr-FR"/>
        </w:rPr>
      </w:pPr>
      <w:r w:rsidRPr="00E778D4">
        <w:rPr>
          <w:szCs w:val="22"/>
          <w:lang w:val="fr-FR"/>
        </w:rPr>
        <w:t xml:space="preserve">68330 </w:t>
      </w:r>
      <w:r w:rsidR="00296E02">
        <w:rPr>
          <w:szCs w:val="22"/>
          <w:lang w:val="fr-FR"/>
        </w:rPr>
        <w:t>Huningue</w:t>
      </w:r>
    </w:p>
    <w:p w:rsidR="00DD4C58" w:rsidRPr="00E778D4" w:rsidRDefault="00DD4C58" w:rsidP="00DD4C58">
      <w:pPr>
        <w:rPr>
          <w:szCs w:val="22"/>
          <w:lang w:val="fr-FR"/>
        </w:rPr>
      </w:pPr>
      <w:r w:rsidRPr="00E778D4">
        <w:rPr>
          <w:szCs w:val="22"/>
          <w:lang w:val="fr-FR"/>
        </w:rPr>
        <w:t>Francie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2.</w:t>
      </w:r>
      <w:r w:rsidRPr="00266C65">
        <w:rPr>
          <w:b/>
          <w:szCs w:val="22"/>
          <w:lang w:val="cs-CZ"/>
        </w:rPr>
        <w:tab/>
        <w:t>NÁZEV VETERINÁRNÍHO LÉČIVÉHO PŘÍPRAVKU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TYLAN 100% (w/w) prášek pro přípravu perorálního roztoku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Tylosinum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3.</w:t>
      </w:r>
      <w:r w:rsidRPr="00266C65">
        <w:rPr>
          <w:b/>
          <w:szCs w:val="22"/>
          <w:lang w:val="cs-CZ"/>
        </w:rPr>
        <w:tab/>
        <w:t>OBSAH LÉČIVÝCH A OSTATNÍCH LÁTEK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 balení obsahuje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Léčivá látka: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100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 xml:space="preserve">g lahev: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Tylosinum 100 aktivních gramů ve formě Tylosini Tartras (což odpovídá 100 x 10</w:t>
      </w:r>
      <w:r w:rsidRPr="00266C65">
        <w:rPr>
          <w:szCs w:val="22"/>
          <w:vertAlign w:val="superscript"/>
          <w:lang w:val="cs-CZ"/>
        </w:rPr>
        <w:t xml:space="preserve">6 </w:t>
      </w:r>
      <w:r w:rsidRPr="00266C65">
        <w:rPr>
          <w:szCs w:val="22"/>
          <w:lang w:val="cs-CZ"/>
        </w:rPr>
        <w:t>IU)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1000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>g sáček: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 1000 aktivních gramů v pytli ve formě Tylosin tartrátu (to odpovídá 1000 x10</w:t>
      </w:r>
      <w:r w:rsidRPr="00266C65">
        <w:rPr>
          <w:szCs w:val="22"/>
          <w:vertAlign w:val="superscript"/>
          <w:lang w:val="cs-CZ"/>
        </w:rPr>
        <w:t>6</w:t>
      </w:r>
      <w:r w:rsidRPr="00266C65">
        <w:rPr>
          <w:szCs w:val="22"/>
          <w:lang w:val="cs-CZ"/>
        </w:rPr>
        <w:t xml:space="preserve"> IU)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Prášek pro přípravu perorálního roztoku</w:t>
      </w:r>
      <w:r w:rsidR="00266C65"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Světle až středně žlutý, granulovaný prášek</w:t>
      </w:r>
      <w:r w:rsidR="00266C65"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4.</w:t>
      </w:r>
      <w:r w:rsidRPr="00266C65">
        <w:rPr>
          <w:b/>
          <w:szCs w:val="22"/>
          <w:lang w:val="cs-CZ"/>
        </w:rPr>
        <w:tab/>
        <w:t>INDIKACE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lastRenderedPageBreak/>
        <w:t xml:space="preserve">Kur domácí: Prevence a tlumení infekcí způsobených </w:t>
      </w:r>
      <w:r w:rsidRPr="00266C65">
        <w:rPr>
          <w:i/>
          <w:szCs w:val="22"/>
          <w:lang w:val="cs-CZ"/>
        </w:rPr>
        <w:t>Mycoplasma gallisepticum</w:t>
      </w:r>
      <w:r w:rsidRPr="00266C65">
        <w:rPr>
          <w:szCs w:val="22"/>
          <w:lang w:val="cs-CZ"/>
        </w:rPr>
        <w:t xml:space="preserve"> a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 xml:space="preserve">aerosakulitidy vyvolané </w:t>
      </w:r>
      <w:r w:rsidRPr="00266C65">
        <w:rPr>
          <w:i/>
          <w:szCs w:val="22"/>
          <w:lang w:val="cs-CZ"/>
        </w:rPr>
        <w:t>Mycoplasma synoviae</w:t>
      </w:r>
      <w:r w:rsidRPr="00266C65">
        <w:rPr>
          <w:szCs w:val="22"/>
          <w:lang w:val="cs-CZ"/>
        </w:rPr>
        <w:t xml:space="preserve">. V praxi je prokázáno, že přípravek snižuje morbiditu, způsobenou postvakcinačním stresem.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Krůty: Prevence a tlumení infekcí způsobených </w:t>
      </w:r>
      <w:r w:rsidRPr="00266C65">
        <w:rPr>
          <w:i/>
          <w:szCs w:val="22"/>
          <w:lang w:val="cs-CZ"/>
        </w:rPr>
        <w:t>Mycoplasma gallisepticum</w:t>
      </w:r>
      <w:r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szCs w:val="22"/>
          <w:lang w:val="cs-CZ"/>
        </w:rPr>
        <w:t>Prasata: Léčba a tlumení p</w:t>
      </w:r>
      <w:r w:rsidRPr="00266C65">
        <w:rPr>
          <w:bCs/>
          <w:iCs/>
          <w:szCs w:val="22"/>
          <w:lang w:val="cs-CZ"/>
        </w:rPr>
        <w:t xml:space="preserve">roliferativní enteritidy prasat, způsobené </w:t>
      </w:r>
      <w:r w:rsidRPr="00266C65">
        <w:rPr>
          <w:bCs/>
          <w:i/>
          <w:iCs/>
          <w:szCs w:val="22"/>
          <w:lang w:val="cs-CZ"/>
        </w:rPr>
        <w:t>Lawsonia intracellularis</w:t>
      </w:r>
      <w:r w:rsidRPr="00266C65">
        <w:rPr>
          <w:bCs/>
          <w:iCs/>
          <w:szCs w:val="22"/>
          <w:lang w:val="cs-CZ"/>
        </w:rPr>
        <w:t xml:space="preserve">. </w:t>
      </w:r>
      <w:r w:rsidRPr="00266C65">
        <w:rPr>
          <w:szCs w:val="22"/>
          <w:lang w:val="cs-CZ"/>
        </w:rPr>
        <w:t xml:space="preserve">Tlumení enzootické pneumonie způsobené </w:t>
      </w:r>
      <w:r w:rsidRPr="00266C65">
        <w:rPr>
          <w:i/>
          <w:szCs w:val="22"/>
          <w:lang w:val="cs-CZ"/>
        </w:rPr>
        <w:t>Mycoplasma hyopneumoniae</w:t>
      </w:r>
      <w:r w:rsidRPr="00266C65">
        <w:rPr>
          <w:szCs w:val="22"/>
          <w:lang w:val="cs-CZ"/>
        </w:rPr>
        <w:t xml:space="preserve">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Telata: Tlumení pneumonie telat, způsobené </w:t>
      </w:r>
      <w:r w:rsidRPr="00266C65">
        <w:rPr>
          <w:i/>
          <w:szCs w:val="22"/>
          <w:lang w:val="cs-CZ"/>
        </w:rPr>
        <w:t>Mycoplasma</w:t>
      </w:r>
      <w:r w:rsidRPr="00266C65">
        <w:rPr>
          <w:szCs w:val="22"/>
          <w:lang w:val="cs-CZ"/>
        </w:rPr>
        <w:t xml:space="preserve"> spp. a </w:t>
      </w:r>
      <w:r w:rsidRPr="00266C65">
        <w:rPr>
          <w:i/>
          <w:szCs w:val="22"/>
          <w:lang w:val="cs-CZ"/>
        </w:rPr>
        <w:t>Pasteurella multocida</w:t>
      </w:r>
      <w:r w:rsidRPr="00266C65">
        <w:rPr>
          <w:szCs w:val="22"/>
          <w:lang w:val="cs-CZ"/>
        </w:rPr>
        <w:t xml:space="preserve">, citlivými na tylosin.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 xml:space="preserve">5. </w:t>
      </w:r>
      <w:r w:rsidRPr="00266C65">
        <w:rPr>
          <w:b/>
          <w:szCs w:val="22"/>
          <w:lang w:val="cs-CZ"/>
        </w:rPr>
        <w:tab/>
        <w:t>KONTRAINDIKACE</w:t>
      </w: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Nepoužívejte v případě přecitlivělosti na léčivou látku.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6.</w:t>
      </w:r>
      <w:r w:rsidRPr="00266C65">
        <w:rPr>
          <w:b/>
          <w:szCs w:val="22"/>
          <w:lang w:val="cs-CZ"/>
        </w:rPr>
        <w:tab/>
        <w:t>NEŽÁDOUCÍ ÚČINKY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i/>
          <w:szCs w:val="22"/>
          <w:lang w:val="cs-CZ"/>
        </w:rPr>
      </w:pPr>
      <w:r w:rsidRPr="00266C65">
        <w:rPr>
          <w:szCs w:val="22"/>
          <w:lang w:val="cs-CZ"/>
        </w:rPr>
        <w:t xml:space="preserve">Po podání doporučených dávek nebyly pozorovány. 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Pokud zaznamenáte jiné vážné vedlejší účinky, než jsou uvedeny v tomto letáku, informujte, laskavě  svého veterináře.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7.</w:t>
      </w:r>
      <w:r w:rsidRPr="00266C65">
        <w:rPr>
          <w:b/>
          <w:szCs w:val="22"/>
          <w:lang w:val="cs-CZ"/>
        </w:rPr>
        <w:tab/>
        <w:t>CÍLOVÝ DRUH ZVÍŘAT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Kur domácí (brojleři, plemenní jedinci, nosnice)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Krůty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Prasata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8.</w:t>
      </w:r>
      <w:r w:rsidRPr="00266C65">
        <w:rPr>
          <w:b/>
          <w:szCs w:val="22"/>
          <w:lang w:val="cs-CZ"/>
        </w:rPr>
        <w:tab/>
        <w:t>DÁVKOVÁNÍ PRO KAŽDÝ DRUH, CESTA(Y) A ZPŮSOB PODÁNÍ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Kur domácí a krůty: 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Obvyklá dávka pro léčebné  a preventivní podání: Přípravek se podává v pitné vodě v koncentraci 80 až 100 mg tylosinu/kg ž.</w:t>
      </w:r>
      <w:r w:rsidR="00266C65">
        <w:rPr>
          <w:color w:val="000000"/>
          <w:szCs w:val="22"/>
          <w:lang w:val="cs-CZ" w:eastAsia="cs-CZ"/>
        </w:rPr>
        <w:t xml:space="preserve"> </w:t>
      </w:r>
      <w:r w:rsidRPr="00266C65">
        <w:rPr>
          <w:color w:val="000000"/>
          <w:szCs w:val="22"/>
          <w:lang w:val="cs-CZ" w:eastAsia="cs-CZ"/>
        </w:rPr>
        <w:t>hm./den (0,5 g přípravku/l vody).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To odpovídá dávce 80–100 mg tylosinu/kg živé hmotnosti/den u kuřat ve výkrmu.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V prvním týdnu života, by měla léčba trvat nejméně 3 dny u brojlerů a 5 dnů u krůt.</w:t>
      </w:r>
      <w:r w:rsidRPr="00266C65">
        <w:rPr>
          <w:color w:val="000000"/>
          <w:szCs w:val="22"/>
          <w:lang w:val="cs-CZ" w:eastAsia="cs-CZ"/>
        </w:rPr>
        <w:br/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Viz. příklad v tabulce: plán pro aplikaci pří</w:t>
      </w:r>
      <w:r w:rsidR="00710376" w:rsidRPr="00266C65">
        <w:rPr>
          <w:color w:val="000000"/>
          <w:szCs w:val="22"/>
          <w:lang w:val="cs-CZ" w:eastAsia="cs-CZ"/>
        </w:rPr>
        <w:t>pravku u drůbeže (pro 1 000 ks)</w:t>
      </w:r>
      <w:r w:rsidRPr="00266C65">
        <w:rPr>
          <w:vanish/>
          <w:color w:val="1111CC"/>
          <w:szCs w:val="22"/>
          <w:lang w:val="cs-CZ" w:eastAsia="cs-CZ"/>
        </w:rPr>
        <w:t>Poslech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67"/>
        <w:gridCol w:w="1207"/>
        <w:gridCol w:w="2074"/>
        <w:gridCol w:w="2079"/>
      </w:tblGrid>
      <w:tr w:rsidR="00A71EB9" w:rsidRPr="00266C65" w:rsidTr="008B5446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Věk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Doba aplikace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Množství</w:t>
            </w:r>
          </w:p>
        </w:tc>
      </w:tr>
      <w:tr w:rsidR="00A71EB9" w:rsidRPr="00266C65" w:rsidTr="008B5446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Přípravek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Pitná voda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Brojleři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kura domácího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70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70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 xml:space="preserve">Kuřice a </w:t>
            </w:r>
            <w:r w:rsidRPr="00266C65">
              <w:rPr>
                <w:szCs w:val="22"/>
                <w:lang w:val="cs-CZ"/>
              </w:rPr>
              <w:lastRenderedPageBreak/>
              <w:t>nosnice z rod.chovů, kuřice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z užitkových chovů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lastRenderedPageBreak/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40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9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150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300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400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Krůty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 dnů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100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100 l</w:t>
            </w:r>
          </w:p>
        </w:tc>
      </w:tr>
    </w:tbl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Telata: 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>Přípravek se podává v mléce nebo mléčné náhražce v dávce 1 g dvakrát denně 7 až 14 dnů, což odpovídá 20 mg</w:t>
      </w:r>
      <w:r w:rsidR="009D500D" w:rsidRPr="00266C65">
        <w:rPr>
          <w:color w:val="000000"/>
          <w:szCs w:val="22"/>
          <w:lang w:val="cs-CZ"/>
        </w:rPr>
        <w:t xml:space="preserve"> tylosinu</w:t>
      </w:r>
      <w:r w:rsidRPr="00266C65">
        <w:rPr>
          <w:color w:val="000000"/>
          <w:szCs w:val="22"/>
          <w:lang w:val="cs-CZ"/>
        </w:rPr>
        <w:t>/kg živé hmotnosti</w:t>
      </w:r>
      <w:r w:rsidR="009D500D" w:rsidRPr="00266C65">
        <w:rPr>
          <w:color w:val="000000"/>
          <w:szCs w:val="22"/>
          <w:lang w:val="cs-CZ"/>
        </w:rPr>
        <w:t>/</w:t>
      </w:r>
      <w:r w:rsidRPr="00266C65">
        <w:rPr>
          <w:color w:val="000000"/>
          <w:szCs w:val="22"/>
          <w:lang w:val="cs-CZ"/>
        </w:rPr>
        <w:t>dvakrát denně u 50 kg telete.</w:t>
      </w:r>
    </w:p>
    <w:p w:rsidR="00A71EB9" w:rsidRPr="00266C65" w:rsidRDefault="00A71EB9" w:rsidP="00266C65">
      <w:pPr>
        <w:pStyle w:val="Bezmezer"/>
        <w:rPr>
          <w:color w:val="FF0000"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Prasata: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Tlumení enzootické pneumonie: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Přípravek se podává v pitné vodě </w:t>
      </w:r>
      <w:r w:rsidRPr="00266C65">
        <w:rPr>
          <w:color w:val="000000"/>
          <w:szCs w:val="22"/>
          <w:lang w:val="cs-CZ"/>
        </w:rPr>
        <w:t>v</w:t>
      </w:r>
      <w:r w:rsidRPr="00266C65">
        <w:rPr>
          <w:szCs w:val="22"/>
          <w:lang w:val="cs-CZ"/>
        </w:rPr>
        <w:t xml:space="preserve"> koncentraci 25 mg tylosinu/kg živé hmotnosti/den (této dávky lze dosáhnout rozpuštěním 0</w:t>
      </w:r>
      <w:r w:rsidR="009D500D" w:rsidRPr="00266C65">
        <w:rPr>
          <w:szCs w:val="22"/>
          <w:lang w:val="cs-CZ"/>
        </w:rPr>
        <w:t>,</w:t>
      </w:r>
      <w:r w:rsidRPr="00266C65">
        <w:rPr>
          <w:szCs w:val="22"/>
          <w:lang w:val="cs-CZ"/>
        </w:rPr>
        <w:t xml:space="preserve">25 g přípravku v jednom litru pitné vody). </w:t>
      </w:r>
      <w:r w:rsidRPr="00266C65">
        <w:rPr>
          <w:bCs/>
          <w:iCs/>
          <w:szCs w:val="22"/>
          <w:lang w:val="cs-CZ"/>
        </w:rPr>
        <w:t>Podávejte 3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 xml:space="preserve">10 dnů. </w:t>
      </w:r>
      <w:r w:rsidRPr="00266C65">
        <w:rPr>
          <w:szCs w:val="22"/>
          <w:lang w:val="cs-CZ"/>
        </w:rPr>
        <w:t>Pokud zvířata do 5 dnů od podání nevykazují zlepšení</w:t>
      </w:r>
      <w:r w:rsidRPr="00266C65">
        <w:rPr>
          <w:color w:val="000000"/>
          <w:szCs w:val="22"/>
          <w:lang w:val="cs-CZ"/>
        </w:rPr>
        <w:t>,</w:t>
      </w:r>
      <w:r w:rsidRPr="00266C65">
        <w:rPr>
          <w:szCs w:val="22"/>
          <w:lang w:val="cs-CZ"/>
        </w:rPr>
        <w:t xml:space="preserve"> je třeba přehodnotit diagnózu a zvážit použití jiného antimikrobika.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bCs/>
          <w:iCs/>
          <w:szCs w:val="22"/>
          <w:lang w:val="cs-CZ"/>
        </w:rPr>
        <w:t xml:space="preserve">Léčba a tlumení proliferativní enteritidy prasat (ileitidy): </w:t>
      </w: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szCs w:val="22"/>
          <w:lang w:val="cs-CZ"/>
        </w:rPr>
        <w:t xml:space="preserve">Přípravek se podává v pitné vodě </w:t>
      </w:r>
      <w:r w:rsidRPr="00266C65">
        <w:rPr>
          <w:color w:val="000000"/>
          <w:szCs w:val="22"/>
          <w:lang w:val="cs-CZ"/>
        </w:rPr>
        <w:t>v</w:t>
      </w:r>
      <w:r w:rsidRPr="00266C65">
        <w:rPr>
          <w:szCs w:val="22"/>
          <w:lang w:val="cs-CZ"/>
        </w:rPr>
        <w:t xml:space="preserve"> koncentraci</w:t>
      </w:r>
      <w:r w:rsidRPr="00266C65">
        <w:rPr>
          <w:bCs/>
          <w:iCs/>
          <w:szCs w:val="22"/>
          <w:lang w:val="cs-CZ"/>
        </w:rPr>
        <w:t xml:space="preserve"> 5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>10 mg tylosinu/kg živé hmotnosti/den. Podávejte 7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>10 dnů.</w:t>
      </w: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Cs/>
          <w:iCs/>
          <w:szCs w:val="22"/>
          <w:lang w:val="cs-CZ"/>
        </w:rPr>
        <w:t>Při dávkování je potřeba zohlednit příjem pitné vody, který je závislý na klinickém stavu zvířat a rovněž na teplotě vnějšího prostředí. Aby bylo zajištěno správné dávkování, je vhodné pro výpočet odpovídajícího množství přípravku do pitné vody použít následující vzorec:</w:t>
      </w:r>
    </w:p>
    <w:p w:rsidR="00A71EB9" w:rsidRPr="00266C65" w:rsidRDefault="00A71EB9" w:rsidP="00710376">
      <w:pPr>
        <w:ind w:right="429"/>
        <w:rPr>
          <w:szCs w:val="22"/>
          <w:lang w:val="cs-CZ"/>
        </w:rPr>
      </w:pP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mg tylosinu na g živé hmotnosti</w:t>
      </w:r>
    </w:p>
    <w:p w:rsidR="00A71EB9" w:rsidRPr="00266C65" w:rsidRDefault="00A71EB9" w:rsidP="008B5446">
      <w:pPr>
        <w:tabs>
          <w:tab w:val="clear" w:pos="567"/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X</w:t>
      </w:r>
    </w:p>
    <w:p w:rsidR="00A71EB9" w:rsidRPr="00266C65" w:rsidRDefault="00A71EB9" w:rsidP="008B5446">
      <w:pPr>
        <w:tabs>
          <w:tab w:val="clear" w:pos="567"/>
          <w:tab w:val="center" w:pos="1985"/>
          <w:tab w:val="center" w:pos="3544"/>
          <w:tab w:val="center" w:pos="5245"/>
          <w:tab w:val="center" w:pos="6804"/>
        </w:tabs>
        <w:ind w:left="567" w:right="429"/>
        <w:rPr>
          <w:sz w:val="20"/>
          <w:u w:val="single"/>
          <w:lang w:val="cs-CZ"/>
        </w:rPr>
      </w:pPr>
      <w:r w:rsidRPr="00266C65">
        <w:rPr>
          <w:sz w:val="20"/>
          <w:u w:val="single"/>
          <w:lang w:val="cs-CZ"/>
        </w:rPr>
        <w:tab/>
        <w:t>průměrná živá hmotnost v kg</w:t>
      </w:r>
      <w:r w:rsidRPr="00266C65">
        <w:rPr>
          <w:sz w:val="20"/>
          <w:lang w:val="cs-CZ"/>
        </w:rPr>
        <w:tab/>
        <w:t>X</w:t>
      </w:r>
      <w:r w:rsidRPr="00266C65">
        <w:rPr>
          <w:sz w:val="20"/>
          <w:lang w:val="cs-CZ"/>
        </w:rPr>
        <w:tab/>
      </w:r>
      <w:r w:rsidRPr="00266C65">
        <w:rPr>
          <w:sz w:val="20"/>
          <w:u w:val="single"/>
          <w:lang w:val="cs-CZ"/>
        </w:rPr>
        <w:t>Skutečná hmotnost balení v</w:t>
      </w:r>
      <w:r w:rsidR="009D500D" w:rsidRPr="00266C65">
        <w:rPr>
          <w:sz w:val="20"/>
          <w:u w:val="single"/>
          <w:lang w:val="cs-CZ"/>
        </w:rPr>
        <w:t> </w:t>
      </w:r>
      <w:r w:rsidRPr="00266C65">
        <w:rPr>
          <w:sz w:val="20"/>
          <w:u w:val="single"/>
          <w:lang w:val="cs-CZ"/>
        </w:rPr>
        <w:t>g</w:t>
      </w:r>
      <w:r w:rsidR="009D500D" w:rsidRPr="00266C65">
        <w:rPr>
          <w:sz w:val="20"/>
          <w:lang w:val="cs-CZ"/>
        </w:rPr>
        <w:t xml:space="preserve">   </w:t>
      </w:r>
      <w:r w:rsidRPr="00266C65">
        <w:rPr>
          <w:sz w:val="20"/>
          <w:lang w:val="cs-CZ"/>
        </w:rPr>
        <w:t>=</w:t>
      </w:r>
      <w:r w:rsidRPr="00266C65">
        <w:rPr>
          <w:sz w:val="20"/>
          <w:lang w:val="cs-CZ"/>
        </w:rPr>
        <w:tab/>
      </w:r>
      <w:r w:rsidR="009D500D" w:rsidRPr="00266C65">
        <w:rPr>
          <w:sz w:val="20"/>
          <w:lang w:val="cs-CZ"/>
        </w:rPr>
        <w:t xml:space="preserve">  </w:t>
      </w:r>
      <w:r w:rsidRPr="00266C65">
        <w:rPr>
          <w:sz w:val="20"/>
          <w:lang w:val="cs-CZ"/>
        </w:rPr>
        <w:t xml:space="preserve">mg přípravku 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průměrné množství pitné vody</w:t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>Nominální množství tylosinu</w:t>
      </w:r>
      <w:r w:rsidRPr="00266C65">
        <w:rPr>
          <w:sz w:val="20"/>
          <w:lang w:val="cs-CZ"/>
        </w:rPr>
        <w:tab/>
      </w:r>
      <w:r w:rsidR="009D500D" w:rsidRPr="00266C65">
        <w:rPr>
          <w:sz w:val="20"/>
          <w:lang w:val="cs-CZ"/>
        </w:rPr>
        <w:t xml:space="preserve">    </w:t>
      </w:r>
      <w:r w:rsidRPr="00266C65">
        <w:rPr>
          <w:sz w:val="20"/>
          <w:lang w:val="cs-CZ"/>
        </w:rPr>
        <w:t>na 1 litr pitné vody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na zvíře v litrech</w:t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 xml:space="preserve">v balení v aktivních gramech 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>(viz složení)</w:t>
      </w:r>
    </w:p>
    <w:p w:rsidR="00A71EB9" w:rsidRPr="00266C65" w:rsidRDefault="00A71EB9" w:rsidP="008B5446">
      <w:pPr>
        <w:ind w:left="720" w:right="429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9.</w:t>
      </w:r>
      <w:r w:rsidRPr="00266C65">
        <w:rPr>
          <w:b/>
          <w:szCs w:val="22"/>
          <w:lang w:val="cs-CZ"/>
        </w:rPr>
        <w:tab/>
        <w:t>POKYNY PRO SPRÁVNÉ PODÁNÍ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Před podáním zvířatům léčivý přípravek důkladně rozpusťte v pitné vodě nebo náhražce mléka.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Výrobek by se měl používat na základě testů citlivosti a dle místních pravidel pro používání antibiotik.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10.</w:t>
      </w:r>
      <w:r w:rsidRPr="00266C65">
        <w:rPr>
          <w:b/>
          <w:szCs w:val="22"/>
          <w:lang w:val="cs-CZ"/>
        </w:rPr>
        <w:tab/>
        <w:t xml:space="preserve">OCHRANNÁ LHŮTA </w:t>
      </w:r>
    </w:p>
    <w:p w:rsidR="00A71EB9" w:rsidRPr="00266C65" w:rsidRDefault="00A71EB9" w:rsidP="00266C65">
      <w:pPr>
        <w:pStyle w:val="Bezmezer"/>
        <w:rPr>
          <w:strike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Kur domácí:             </w:t>
      </w:r>
      <w:r w:rsidRPr="00266C65">
        <w:rPr>
          <w:color w:val="000000"/>
          <w:szCs w:val="22"/>
          <w:lang w:val="cs-CZ"/>
        </w:rPr>
        <w:tab/>
        <w:t>maso:    1 den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Krůty:   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5 dnů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Telata:   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14 dnů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Prasata: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 bez ochranných lhůt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Vejce:                             </w:t>
      </w:r>
      <w:r w:rsidR="009D500D" w:rsidRPr="00266C65">
        <w:rPr>
          <w:color w:val="000000"/>
          <w:szCs w:val="22"/>
          <w:lang w:val="cs-CZ"/>
        </w:rPr>
        <w:tab/>
        <w:t xml:space="preserve">  </w:t>
      </w:r>
      <w:r w:rsidRPr="00266C65">
        <w:rPr>
          <w:color w:val="000000"/>
          <w:szCs w:val="22"/>
          <w:lang w:val="cs-CZ"/>
        </w:rPr>
        <w:t>bez ochranných lhůt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11.</w:t>
      </w:r>
      <w:r w:rsidRPr="00266C65">
        <w:rPr>
          <w:b/>
          <w:szCs w:val="22"/>
          <w:lang w:val="cs-CZ"/>
        </w:rPr>
        <w:tab/>
        <w:t>ZVLÁŠTNÍ OPATŘENÍ PRO UCHOVÁVÁNÍ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při teplotě do 25 °C.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v suchu.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Chraňte před světlem.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mimo dosah dětí.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Nepoužívejte po uplynutí doby použitelnosti uvedené na obalu.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Doba použitelnosti po rozpuštění v pitné vodě: 24 hodin</w:t>
      </w:r>
      <w:r w:rsid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12.</w:t>
      </w:r>
      <w:r w:rsidRPr="00266C65">
        <w:rPr>
          <w:b/>
          <w:szCs w:val="22"/>
          <w:lang w:val="cs-CZ"/>
        </w:rPr>
        <w:tab/>
        <w:t>ZVLÁŠTNÍ UPOZORNĚNÍ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266C65" w:rsidP="00266C65">
      <w:pPr>
        <w:pStyle w:val="Bezmezer"/>
        <w:rPr>
          <w:b/>
          <w:szCs w:val="22"/>
          <w:lang w:val="cs-CZ"/>
        </w:rPr>
      </w:pPr>
      <w:r>
        <w:rPr>
          <w:b/>
          <w:szCs w:val="22"/>
          <w:lang w:val="cs-CZ"/>
        </w:rPr>
        <w:t>Pro uživatele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Makrolidy mohou po injekci, inhalaci, požití nebo po kožním kontaktu vyvolat hypersensitivitu (alergii). Hypersensitivita na tylosin může vést ke zkříženým reakcím s jinými makrolidy a naopak. Příležitostně mohou být alergické reakce na tyto látky i vážné. Lidé se známou přecitlivělostí na makrolidy by se měli vyhnout kontaktu s veterinárním léčivým přípravkem.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Během přípravy medikované vody používejte osobní ochranné prostředky skládající se z respirátoru, nepropustných rukavic, ochranného obleku a ochranných brýlí. Po použití přípravku si umyjte ruce.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požití okamžitě vypláchněte ústa vodou a vyhledejte lékařskou pomoc.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kontaktu přípravku s pokožkou místo důkladně omyjte vodou a mýdlem.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kontaktu s očima vypláchněte zasažené oko dostatečným množstvím čisté tekoucí vody.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Pokud se rozvinou postexpoziční příznaky jako kožní vyrážka, vyhledejte lékařskou pomoc a ukažte příbalovou informaci nebo etiketu praktickému lékaři. Otok obličeje, rtů, očí nebo potíže s dýcháním jsou vážné symptomy a je doporučeno v těchto případech vyhledat okamžité lékařské ošetření.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Zvláštní opatření pro použití u zvířat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Před podáním zvířatům léčivý přípravek důkladně rozpusťte v pitné vodě nebo náhražce mléka.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Je správnou klinickou praxí založit léčbu na testu citlivosti bakterií izolovaných ze zvířete. Pokud toto není možné, měla by být léčba založena na místní (regionální, faremní) epizootologické informaci o citlivosti cílové bakterie.</w:t>
      </w:r>
    </w:p>
    <w:p w:rsidR="00A71EB9" w:rsidRPr="00266C65" w:rsidRDefault="00A71EB9" w:rsidP="00266C65">
      <w:pPr>
        <w:pStyle w:val="Bezmezer"/>
        <w:rPr>
          <w:rFonts w:eastAsia="PMingLiU"/>
          <w:szCs w:val="22"/>
          <w:lang w:val="cs-CZ" w:eastAsia="zh-CN"/>
        </w:rPr>
      </w:pPr>
      <w:r w:rsidRPr="00266C65">
        <w:rPr>
          <w:rFonts w:eastAsia="SimSun"/>
          <w:szCs w:val="22"/>
          <w:lang w:val="cs-CZ" w:eastAsia="zh-CN"/>
        </w:rPr>
        <w:t>Protože nemusí být dosaženo eradikace cílových patogenů, měla by léčba probíhat v kombinaci s osvědčenými provozními postupy, např. dodržování správné hygieny, dostatečného větrání a</w:t>
      </w:r>
      <w:r w:rsidR="00266C65">
        <w:rPr>
          <w:rFonts w:eastAsia="SimSun"/>
          <w:szCs w:val="22"/>
          <w:lang w:val="cs-CZ" w:eastAsia="zh-CN"/>
        </w:rPr>
        <w:t xml:space="preserve"> </w:t>
      </w:r>
      <w:r w:rsidRPr="00266C65">
        <w:rPr>
          <w:rFonts w:eastAsia="SimSun"/>
          <w:szCs w:val="22"/>
          <w:lang w:val="cs-CZ" w:eastAsia="zh-CN"/>
        </w:rPr>
        <w:t xml:space="preserve">prostoru pro zvířata. 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13.</w:t>
      </w:r>
      <w:r w:rsidRPr="00266C65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Všechen nepoužitý veterinární léčivý přípravek nebo odpad, který pochází z tohoto přípravku, musí být likvidován podle místních právních předpisů.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14.</w:t>
      </w:r>
      <w:r w:rsidRPr="00266C65">
        <w:rPr>
          <w:b/>
          <w:szCs w:val="22"/>
          <w:lang w:val="cs-CZ"/>
        </w:rPr>
        <w:tab/>
        <w:t>DATUM POSLEDNÍ REVIZE PŘÍBALOVÉ INFORMACE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DD4C58" w:rsidRDefault="00FB331A" w:rsidP="00266C65">
      <w:pPr>
        <w:pStyle w:val="Bezmezer"/>
        <w:rPr>
          <w:szCs w:val="22"/>
          <w:lang w:val="cs-CZ"/>
        </w:rPr>
      </w:pPr>
      <w:r>
        <w:rPr>
          <w:szCs w:val="22"/>
          <w:lang w:val="cs-CZ"/>
        </w:rPr>
        <w:t>Únor 2020</w:t>
      </w: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15.</w:t>
      </w:r>
      <w:r w:rsidRPr="00266C65">
        <w:rPr>
          <w:b/>
          <w:szCs w:val="22"/>
          <w:lang w:val="cs-CZ"/>
        </w:rPr>
        <w:tab/>
        <w:t>DALŠÍ INFORMACE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Pouze pro zvířata.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Veterinární léčivý přípravek je vydáván pouze na předpis.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S dotazy na tento veterinární léčivý přípravek se obracejte na místního zástupce držitele rozhodnutí o registraci.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710376" w:rsidRPr="00266C65" w:rsidRDefault="00710376" w:rsidP="00266C65">
      <w:pPr>
        <w:pStyle w:val="Bezmezer"/>
        <w:rPr>
          <w:szCs w:val="22"/>
          <w:lang w:val="cs-CZ"/>
        </w:rPr>
      </w:pPr>
    </w:p>
    <w:sectPr w:rsidR="00710376" w:rsidRPr="00266C65" w:rsidSect="008B5446"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42F"/>
    <w:multiLevelType w:val="hybridMultilevel"/>
    <w:tmpl w:val="D53E2804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A4904"/>
    <w:multiLevelType w:val="multilevel"/>
    <w:tmpl w:val="D338BC8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rid Movrin">
    <w15:presenceInfo w15:providerId="AD" w15:userId="S-1-5-21-18633868-1813740183-1888516137-408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9"/>
    <w:rsid w:val="000E786D"/>
    <w:rsid w:val="00115347"/>
    <w:rsid w:val="00182939"/>
    <w:rsid w:val="00223E98"/>
    <w:rsid w:val="00245AB0"/>
    <w:rsid w:val="00266C65"/>
    <w:rsid w:val="00296E02"/>
    <w:rsid w:val="005060D2"/>
    <w:rsid w:val="00670100"/>
    <w:rsid w:val="00680BC0"/>
    <w:rsid w:val="006921E4"/>
    <w:rsid w:val="00710376"/>
    <w:rsid w:val="00854AC5"/>
    <w:rsid w:val="008B5446"/>
    <w:rsid w:val="00927CEE"/>
    <w:rsid w:val="009D500D"/>
    <w:rsid w:val="00A71EB9"/>
    <w:rsid w:val="00AA1F04"/>
    <w:rsid w:val="00BE6142"/>
    <w:rsid w:val="00C31455"/>
    <w:rsid w:val="00CA5833"/>
    <w:rsid w:val="00CE3704"/>
    <w:rsid w:val="00CF4721"/>
    <w:rsid w:val="00DD4C58"/>
    <w:rsid w:val="00E376A1"/>
    <w:rsid w:val="00F72F40"/>
    <w:rsid w:val="00F91491"/>
    <w:rsid w:val="00FB190A"/>
    <w:rsid w:val="00FB331A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B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A71EB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EB9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A71EB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71EB9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00"/>
    <w:rPr>
      <w:rFonts w:ascii="Segoe UI" w:eastAsia="Times New Roman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71037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B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A71EB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EB9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A71EB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71EB9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00"/>
    <w:rPr>
      <w:rFonts w:ascii="Segoe UI" w:eastAsia="Times New Roman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71037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Woehrer</dc:creator>
  <cp:lastModifiedBy>Šťastná Hana</cp:lastModifiedBy>
  <cp:revision>5</cp:revision>
  <cp:lastPrinted>2020-02-11T12:26:00Z</cp:lastPrinted>
  <dcterms:created xsi:type="dcterms:W3CDTF">2020-02-10T11:06:00Z</dcterms:created>
  <dcterms:modified xsi:type="dcterms:W3CDTF">2020-02-11T12:26:00Z</dcterms:modified>
</cp:coreProperties>
</file>