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5C" w:rsidRPr="00B5775C" w:rsidRDefault="008C4899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lang w:val="de-DE" w:eastAsia="de-DE"/>
        </w:rPr>
        <w:tab/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6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0" w:right="3196" w:hanging="10"/>
        <w:jc w:val="right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B. PŘÍBALOVÁ INFORMACE  </w:t>
      </w:r>
    </w:p>
    <w:p w:rsidR="008129F7" w:rsidRPr="008129F7" w:rsidRDefault="008129F7" w:rsidP="008129F7">
      <w:pPr>
        <w:spacing w:after="0" w:line="239" w:lineRule="auto"/>
        <w:ind w:right="4658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br w:type="page"/>
      </w:r>
    </w:p>
    <w:p w:rsidR="008129F7" w:rsidRPr="008129F7" w:rsidRDefault="008129F7" w:rsidP="008129F7">
      <w:pPr>
        <w:spacing w:after="50" w:line="259" w:lineRule="auto"/>
        <w:ind w:left="10" w:right="176" w:hanging="10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lastRenderedPageBreak/>
        <w:t>PŘÍBALOVÁ INFORMACE: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>Tullavis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25 mg/ml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3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1</w:t>
      </w: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JMÉNO A ADRESA DRŽITELE ROZHODNUTÍ O REGISTRACI A DRŽITELE POVOLENÍ K VÝROBĚ ODPOVĚDNÉHO ZA UVOLNĚNÍ ŠARŽE, POKUD SE </w:t>
      </w:r>
    </w:p>
    <w:p w:rsidR="008129F7" w:rsidRPr="008129F7" w:rsidRDefault="008129F7" w:rsidP="008129F7">
      <w:pPr>
        <w:keepNext/>
        <w:keepLines/>
        <w:spacing w:after="10" w:line="248" w:lineRule="auto"/>
        <w:ind w:left="-4" w:hanging="10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NESHODUJE </w:t>
      </w:r>
    </w:p>
    <w:p w:rsidR="008129F7" w:rsidRPr="008129F7" w:rsidRDefault="008129F7" w:rsidP="008129F7">
      <w:pPr>
        <w:spacing w:after="53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iCs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iCs/>
          <w:color w:val="000000"/>
          <w:u w:val="single"/>
          <w:lang w:val="it-IT" w:eastAsia="de-DE"/>
        </w:rPr>
        <w:t>Držitel rozhodnutí o registraci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LIVISTO Int’l, S.L.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Av. Universitat Autònoma, 29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08290 Cerdanyola del Vallès (Barcelona)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Španělsko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8129F7" w:rsidRPr="008129F7" w:rsidRDefault="008129F7" w:rsidP="008129F7">
      <w:pPr>
        <w:spacing w:after="5" w:line="240" w:lineRule="auto"/>
        <w:ind w:hanging="11"/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</w:pPr>
      <w:r w:rsidRPr="008129F7"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  <w:t>Výrobce odpovědný za uvolnění šarže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aniMedica</w:t>
            </w:r>
            <w:proofErr w:type="spellEnd"/>
            <w:r w:rsidRPr="008129F7">
              <w:rPr>
                <w:color w:val="000000"/>
              </w:rPr>
              <w:t xml:space="preserve"> GmbH</w:t>
            </w:r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aniMedica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Herstellungs</w:t>
            </w:r>
            <w:proofErr w:type="spellEnd"/>
            <w:r w:rsidRPr="008129F7">
              <w:rPr>
                <w:color w:val="000000"/>
              </w:rPr>
              <w:t xml:space="preserve"> GmbH</w:t>
            </w:r>
          </w:p>
        </w:tc>
      </w:tr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Im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Südfeld</w:t>
            </w:r>
            <w:proofErr w:type="spellEnd"/>
            <w:r w:rsidRPr="008129F7">
              <w:rPr>
                <w:color w:val="000000"/>
              </w:rPr>
              <w:t xml:space="preserve"> 9</w:t>
            </w:r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Im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Südfeld</w:t>
            </w:r>
            <w:proofErr w:type="spellEnd"/>
            <w:r w:rsidRPr="008129F7">
              <w:rPr>
                <w:color w:val="000000"/>
              </w:rPr>
              <w:t xml:space="preserve"> 9</w:t>
            </w:r>
          </w:p>
        </w:tc>
      </w:tr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48308 </w:t>
            </w:r>
            <w:proofErr w:type="spellStart"/>
            <w:r w:rsidRPr="008129F7">
              <w:rPr>
                <w:color w:val="000000"/>
              </w:rPr>
              <w:t>Senden-Bösensell</w:t>
            </w:r>
            <w:proofErr w:type="spellEnd"/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48308 </w:t>
            </w:r>
            <w:proofErr w:type="spellStart"/>
            <w:r w:rsidRPr="008129F7">
              <w:rPr>
                <w:color w:val="000000"/>
              </w:rPr>
              <w:t>Senden-Bösensell</w:t>
            </w:r>
            <w:proofErr w:type="spellEnd"/>
          </w:p>
        </w:tc>
      </w:tr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Německo</w:t>
            </w:r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Německo</w:t>
            </w:r>
          </w:p>
        </w:tc>
      </w:tr>
    </w:tbl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Industrial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Veterinaria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S.A. 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Esmeralda 19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08950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Esplugues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de Llobregat (Barcelona)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Španělsko</w:t>
      </w:r>
      <w:proofErr w:type="spellEnd"/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  <w:t>Distributor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Sevaron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, s.r.o.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Palackého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třída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163A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61200 Brno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965A22" w:rsidRDefault="008129F7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324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2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NÁZEV VETERINÁRNÍHO LÉČIVÉHO PŘÍPRAVKU </w:t>
      </w:r>
    </w:p>
    <w:p w:rsidR="008129F7" w:rsidRPr="00965A22" w:rsidRDefault="008129F7" w:rsidP="008129F7">
      <w:pPr>
        <w:spacing w:after="47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Tullavis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25 mg/ml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9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2779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3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OBSAH LÉČIVÝCH </w:t>
      </w:r>
      <w:proofErr w:type="gram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A</w:t>
      </w:r>
      <w:proofErr w:type="gram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OSTATNÍCH LÁTEK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Každý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obsahuje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</w:p>
    <w:p w:rsidR="008129F7" w:rsidRPr="008129F7" w:rsidRDefault="008129F7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3" w:line="264" w:lineRule="auto"/>
        <w:ind w:left="-4" w:right="58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Léčivá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látka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:rsidR="008129F7" w:rsidRPr="008129F7" w:rsidRDefault="008129F7" w:rsidP="008129F7">
      <w:pPr>
        <w:tabs>
          <w:tab w:val="center" w:pos="2547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>25 mg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0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Pomocné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látky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:rsidR="008129F7" w:rsidRPr="008129F7" w:rsidRDefault="008129F7" w:rsidP="008129F7">
      <w:pPr>
        <w:tabs>
          <w:tab w:val="center" w:pos="1702"/>
          <w:tab w:val="center" w:pos="2492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Thioglycerol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5 mg </w:t>
      </w:r>
    </w:p>
    <w:p w:rsidR="008129F7" w:rsidRPr="008129F7" w:rsidRDefault="008129F7" w:rsidP="008129F7">
      <w:pPr>
        <w:spacing w:after="47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Čirý</w:t>
      </w:r>
      <w:proofErr w:type="spellEnd"/>
      <w:r w:rsidR="00A62504">
        <w:rPr>
          <w:rFonts w:ascii="Times New Roman" w:eastAsia="Times New Roman" w:hAnsi="Times New Roman" w:cs="Times New Roman"/>
          <w:color w:val="000000"/>
          <w:lang w:val="en-US" w:eastAsia="de-DE"/>
        </w:rPr>
        <w:t>,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bezbarvý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A62504">
        <w:rPr>
          <w:rFonts w:ascii="Times New Roman" w:eastAsia="Times New Roman" w:hAnsi="Times New Roman" w:cs="Times New Roman"/>
          <w:color w:val="000000"/>
          <w:lang w:val="en-US" w:eastAsia="de-DE"/>
        </w:rPr>
        <w:t>nažloutlý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2A56E0" w:rsidRPr="008129F7" w:rsidRDefault="002A56E0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keepNext/>
        <w:keepLines/>
        <w:tabs>
          <w:tab w:val="center" w:pos="1130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4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INDIKACE </w:t>
      </w:r>
    </w:p>
    <w:p w:rsidR="008129F7" w:rsidRPr="008129F7" w:rsidRDefault="008129F7" w:rsidP="008129F7">
      <w:pPr>
        <w:spacing w:after="37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metafylaxe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(SRD)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en-US" w:eastAsia="de-DE"/>
        </w:rPr>
        <w:t>vyvolaného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Actinobacillus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pleuropneumoniae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Pasteurella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multocida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,</w:t>
      </w:r>
      <w:r w:rsidR="00C77548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Mycoplasma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hyopneumoniae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Haemophilus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parasuis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a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Bordetella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bronchiseptica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citlivými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A2384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</w:t>
      </w:r>
      <w:r w:rsidR="00A23847">
        <w:rPr>
          <w:rFonts w:ascii="Times New Roman" w:eastAsia="Times New Roman" w:hAnsi="Times New Roman" w:cs="Times New Roman"/>
          <w:color w:val="000000"/>
          <w:lang w:val="en-US" w:eastAsia="de-DE"/>
        </w:rPr>
        <w:t>u</w:t>
      </w:r>
      <w:proofErr w:type="spellEnd"/>
      <w:r w:rsidR="00C77548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="00A23847" w:rsidRPr="00A2384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řed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metafylaktick</w:t>
      </w:r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ým</w:t>
      </w:r>
      <w:proofErr w:type="spellEnd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podáním</w:t>
      </w:r>
      <w:proofErr w:type="spellEnd"/>
      <w:r w:rsidR="00A23847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měla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stanovena</w:t>
      </w:r>
      <w:proofErr w:type="spellEnd"/>
      <w:r w:rsidR="00A23847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řítomnost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ve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stádě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Přípravek</w:t>
      </w:r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měl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použit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pouze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případě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když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se u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prasat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očekává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propuknutí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během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2-3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dnů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161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5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KONTRAINDIKACE </w:t>
      </w:r>
    </w:p>
    <w:p w:rsidR="008129F7" w:rsidRPr="00965A22" w:rsidRDefault="008129F7" w:rsidP="008129F7">
      <w:pPr>
        <w:spacing w:after="6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5" w:line="319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Nepoužívat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v </w:t>
      </w:r>
      <w:proofErr w:type="spellStart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případech</w:t>
      </w:r>
      <w:proofErr w:type="spellEnd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známé</w:t>
      </w:r>
      <w:proofErr w:type="spellEnd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přecitlivělosti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léčivou</w:t>
      </w:r>
      <w:proofErr w:type="spellEnd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látku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jiné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makrolidy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kteroukoli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pomocnou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látku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8129F7" w:rsidRPr="00965A22" w:rsidRDefault="008129F7" w:rsidP="00A30CF3">
      <w:pPr>
        <w:spacing w:after="5" w:line="31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Nepoužívat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současně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jinými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makrolidy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linkosamidy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171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6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>NEŽÁDOUCÍ ÚČINKY</w:t>
      </w: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33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Patomorfologické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reakce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místě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injekčního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(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včetně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vratných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změn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jako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je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překrvení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otok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fibróza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="0022427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krváceniny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jsou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velmi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časté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přibližně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30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dní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aplikaci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8129F7" w:rsidRPr="00965A22" w:rsidRDefault="008129F7" w:rsidP="00A30CF3">
      <w:pPr>
        <w:spacing w:after="48" w:line="259" w:lineRule="auto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Jestliže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zaznamenáte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kterýkoliv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z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nežádoucích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účinků</w:t>
      </w:r>
      <w:proofErr w:type="spellEnd"/>
      <w:r w:rsidR="00C7754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,</w:t>
      </w: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</w:t>
      </w:r>
      <w:r w:rsidR="00C7754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i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takové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které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nejsou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uvedeny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této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příbalové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informaci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si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myslíte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že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léčivo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8F65F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není</w:t>
      </w:r>
      <w:proofErr w:type="spellEnd"/>
      <w:r w:rsidR="008F65F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8F65F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účinné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oznamte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prosím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vašemu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veterinárnímu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lékaři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5" w:line="240" w:lineRule="auto"/>
        <w:ind w:left="11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bookmarkStart w:id="0" w:name="_Hlk46677002"/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Nežádoucí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účinky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můžete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hlásit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prostřednictvím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formuláře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webových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stránkách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ÚSKVBL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elektronicky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také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přímo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adresu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: </w:t>
      </w:r>
    </w:p>
    <w:p w:rsidR="008129F7" w:rsidRPr="00965A22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Ústav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pro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státní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kontrolu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veterinárních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biopreparátů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léčiv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Hudcova 56a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621 00 Brno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Mail: adr@uskvbl.cz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Webové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stránky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: http://www.uskvbl.cz/cs/farmakovigilance</w:t>
      </w:r>
    </w:p>
    <w:bookmarkEnd w:id="0"/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56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tabs>
          <w:tab w:val="center" w:pos="1814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7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CÍLOVÝ DRUH ZVÍŘAT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6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3904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8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DÁVKOVÁNÍ PRO KAŽDÝ DRUH, CESTA(Y) A ZPŮSOB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F65F8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ntramuskulární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</w:p>
    <w:p w:rsidR="008129F7" w:rsidRPr="008129F7" w:rsidRDefault="008129F7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45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Jednorázové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intramuskulární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</w:t>
      </w:r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,5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což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odpovídá1 ml</w:t>
      </w:r>
      <w:r w:rsidR="008F65F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/10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do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oblasti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krku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8129F7" w:rsidRPr="008129F7" w:rsidRDefault="008129F7" w:rsidP="008129F7">
      <w:pPr>
        <w:spacing w:after="5" w:line="264" w:lineRule="auto"/>
        <w:ind w:left="-4" w:right="89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</w:t>
      </w:r>
      <w:proofErr w:type="spellEnd"/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rozdělit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nebylo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aplikováno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 ml. 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2311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9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POKYNY PRO SPRÁVNÉ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A30CF3">
      <w:pPr>
        <w:spacing w:after="5" w:line="264" w:lineRule="auto"/>
        <w:ind w:left="-4" w:right="87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případě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jakéhokoliv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zvířata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počátečních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stádiích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zhodnotit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odpověď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48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hodin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přetrvávají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zhoršují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recidivě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změněna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jiného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antibiotika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je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třeba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léčbou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pokračovat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vymizení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klinických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příznaků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8129F7" w:rsidRPr="008129F7" w:rsidRDefault="008129F7" w:rsidP="00A30C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A30CF3">
      <w:pPr>
        <w:spacing w:after="28" w:line="264" w:lineRule="auto"/>
        <w:ind w:left="-4" w:right="168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zajištění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správného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stanovena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C7754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co </w:t>
      </w:r>
      <w:proofErr w:type="spellStart"/>
      <w:r w:rsidR="00C77548">
        <w:rPr>
          <w:rFonts w:ascii="Times New Roman" w:eastAsia="Times New Roman" w:hAnsi="Times New Roman" w:cs="Times New Roman"/>
          <w:color w:val="000000"/>
          <w:lang w:val="en-US" w:eastAsia="de-DE"/>
        </w:rPr>
        <w:t>nejpřesněji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poddávkování.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lze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bezpečně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propíchnout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max.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100krát.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vícenásobné</w:t>
      </w:r>
      <w:proofErr w:type="spellEnd"/>
      <w:r w:rsidR="00094A70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lahvičky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aspirační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jehly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automatu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nadměrnému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propichování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tabs>
          <w:tab w:val="center" w:pos="1933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10.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</w:r>
      <w:proofErr w:type="gram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OCHRANNÁ(</w:t>
      </w:r>
      <w:proofErr w:type="gram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É) LHŮTA(Y) 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Maso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13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279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11.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ZVLÁŠTNÍ OPATŘENÍ PRO UCHOVÁVÁNÍ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mimo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dohled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dosah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dětí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bookmarkStart w:id="1" w:name="_Hlk46677253"/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teplotě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30</w:t>
      </w:r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sym w:font="Symbol" w:char="F0B0"/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C.</w:t>
      </w:r>
    </w:p>
    <w:p w:rsidR="008129F7" w:rsidRPr="008129F7" w:rsidRDefault="008129F7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28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Nepoužívejte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tento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veterinární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léčivý přípravek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uplynutí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</w:t>
      </w:r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EXP.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končí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posledním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dnem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měsíci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</w:t>
      </w:r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o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stanovte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datum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likvidace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zbylého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množství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tomto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to </w:t>
      </w:r>
      <w:proofErr w:type="spellStart"/>
      <w:proofErr w:type="gram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základě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Toto datum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napište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tomu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určené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bookmarkEnd w:id="1"/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190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12.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ZVLÁŠTNÍ UPOZORNĚNÍ </w:t>
      </w:r>
    </w:p>
    <w:p w:rsidR="008129F7" w:rsidRPr="008129F7" w:rsidRDefault="008129F7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74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Zvláštní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opatření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u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zvířat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: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82D0B" w:rsidP="00A30CF3">
      <w:pPr>
        <w:spacing w:after="56" w:line="264" w:lineRule="auto"/>
        <w:ind w:left="-4" w:right="403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mělo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založeno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kultivaci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stanovení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mikroorganizmů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pocházejících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výskytů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případů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farmě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založit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terapii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regionální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úrovni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epizootologických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informacích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cílové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bakterie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proofErr w:type="gram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vzít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úvahu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oficiální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pravidla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antibiotické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politiky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které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odlišné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</w:t>
      </w:r>
      <w:proofErr w:type="spellEnd"/>
      <w:proofErr w:type="gramEnd"/>
      <w:r w:rsidR="00C4192E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pokynů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uvedených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může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zvýšit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prevalenci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bakterií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rezistentních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snížit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účinnost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léčby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ostatními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makrolidy z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důvodu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zkřížené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rezistence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reakci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přecitlivělosti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měla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9B2604">
        <w:rPr>
          <w:rFonts w:ascii="Times New Roman" w:eastAsia="Times New Roman" w:hAnsi="Times New Roman" w:cs="Times New Roman"/>
          <w:color w:val="000000"/>
          <w:lang w:val="en-US" w:eastAsia="de-DE"/>
        </w:rPr>
        <w:t>zahájena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odpovídající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="009B260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bez </w:t>
      </w:r>
      <w:proofErr w:type="spellStart"/>
      <w:r w:rsidR="009B2604">
        <w:rPr>
          <w:rFonts w:ascii="Times New Roman" w:eastAsia="Times New Roman" w:hAnsi="Times New Roman" w:cs="Times New Roman"/>
          <w:color w:val="000000"/>
          <w:lang w:val="en-US" w:eastAsia="de-DE"/>
        </w:rPr>
        <w:t>prodlení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</w:p>
    <w:p w:rsidR="008129F7" w:rsidRPr="00A30CF3" w:rsidRDefault="008129F7" w:rsidP="00A30CF3">
      <w:pPr>
        <w:keepNext/>
        <w:spacing w:after="74" w:line="259" w:lineRule="auto"/>
        <w:ind w:hanging="11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lastRenderedPageBreak/>
        <w:t>Zvláštní opatření určené osobám, které podávají veterinární léčivý přípravek zvířatům</w:t>
      </w: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64215E" w:rsidRPr="00A30CF3" w:rsidRDefault="008129F7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dráždí oči. V případě náhodného kontaktu s očima je ihned vypláchněte čistou vodou.</w:t>
      </w:r>
    </w:p>
    <w:p w:rsidR="0064215E" w:rsidRPr="00A30CF3" w:rsidRDefault="008129F7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může způsobit senzibilizaci při kontaktu s pokožkou. V případě náhodného kontaktu s pokožkou je třeba okamžitě umýt pokožku mýdlem a vodou.</w:t>
      </w:r>
    </w:p>
    <w:p w:rsidR="008129F7" w:rsidRPr="00A30CF3" w:rsidRDefault="008129F7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Po použití si umyjte ruce.  </w:t>
      </w:r>
    </w:p>
    <w:p w:rsidR="008129F7" w:rsidRPr="00A30CF3" w:rsidRDefault="008129F7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V případě náhodného sebepoškození injekčně aplikovaným přípravkem vyhledejte ihned lékařskou pomoc a ukažte příbalovou informaci nebo etiketu praktickému lékaři. </w:t>
      </w:r>
    </w:p>
    <w:p w:rsidR="008129F7" w:rsidRPr="00965A22" w:rsidRDefault="008129F7" w:rsidP="00A30CF3">
      <w:pPr>
        <w:spacing w:after="49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35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Březost a laktace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Laboratorní studie na potkanech a králících nepodaly důkaz o teratogenním,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fetotoxickém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účinku nebo maternální toxicitě. Nebyla stanovena bezpečnost veterinárního léčivého přípravku během březosti a laktace u prasat. Použít pouze po zvážení terapeutického prospěchu a rizika příslušným veterinárním lékařem. </w:t>
      </w:r>
    </w:p>
    <w:p w:rsidR="008129F7" w:rsidRPr="00965A22" w:rsidRDefault="008129F7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Interakce s dalšími léčivými přípravky a další formy interakce: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Nepodávat současně s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antimikrobiky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s podobným mechanizmem účinku, jako jsou ostatní makrolidy anebo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linkosamidy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. </w:t>
      </w:r>
    </w:p>
    <w:p w:rsidR="008129F7" w:rsidRPr="00965A22" w:rsidRDefault="008129F7" w:rsidP="00A30CF3">
      <w:pPr>
        <w:spacing w:after="50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73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Předávkování (symptomy, první pomoc, antidota)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U mladých prasat vážících přibližně 10 kg po podání troj- nebo pětinásobku léčebné dávky byly pozorovány přechodné příznaky spojené s </w:t>
      </w:r>
      <w:proofErr w:type="spellStart"/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>diskomfortem</w:t>
      </w:r>
      <w:proofErr w:type="spellEnd"/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v místě podání</w:t>
      </w:r>
      <w:r w:rsidR="008F433B" w:rsidRPr="00965A22">
        <w:rPr>
          <w:rFonts w:ascii="Times New Roman" w:eastAsia="Times New Roman" w:hAnsi="Times New Roman" w:cs="Times New Roman"/>
          <w:color w:val="000000"/>
          <w:lang w:eastAsia="de-DE"/>
        </w:rPr>
        <w:t>,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nadměrn</w:t>
      </w:r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ou vokalizaci 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a neklid. Taktéž bylo pozorováno kulhání, pokud byla místem aplikace </w:t>
      </w:r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>pánevní končetina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.  </w:t>
      </w:r>
    </w:p>
    <w:p w:rsidR="008129F7" w:rsidRPr="00965A22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Inkompatibility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8129F7" w:rsidRPr="00965A22" w:rsidRDefault="008129F7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Studie kompatibility nejsou k dispozici, a proto tento veterinární léčivý přípravek nesmí být mísen s žádnými dalšími veterinárními léčivými přípravky.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>
      <w:pPr>
        <w:keepNext/>
        <w:keepLines/>
        <w:spacing w:after="3" w:line="264" w:lineRule="auto"/>
        <w:ind w:left="-4" w:right="58" w:hanging="10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13.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 xml:space="preserve">ZVLÁŠTNÍ OPATŘENÍ PRO ZNEŠKODŇOVÁNÍ NEPOUŽITÝCH PŘÍPRAVKŮ NEBO ODPADU, POKUD JE JICH TŘEBA </w:t>
      </w:r>
    </w:p>
    <w:p w:rsidR="008129F7" w:rsidRPr="00965A22" w:rsidRDefault="008129F7" w:rsidP="00A30CF3">
      <w:pPr>
        <w:keepNext/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A30CF3" w:rsidRDefault="008129F7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bookmarkStart w:id="2" w:name="_Hlk46677323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Léčivé přípravky se nesmí likvidovat prostřednictvím odpadní vody, či domovního odpadu. </w:t>
      </w:r>
    </w:p>
    <w:p w:rsidR="008129F7" w:rsidRPr="00A30CF3" w:rsidRDefault="008129F7" w:rsidP="008129F7">
      <w:pPr>
        <w:spacing w:after="42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O možnostech likvidace nepotřebných léčivých přípravků se poraďte s vaším veterinárním lékařem nebo lékárníkem. Tato opatření napomáhají chránit životní prostředí. </w:t>
      </w:r>
    </w:p>
    <w:bookmarkEnd w:id="2"/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45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342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14.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>DATUM POSLEDNÍ REVIZE PŘÍBALOVÉ INFORMACE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29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5A4399" w:rsidRPr="00965A22" w:rsidRDefault="00965A22" w:rsidP="008129F7">
      <w:pPr>
        <w:spacing w:after="29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>
        <w:rPr>
          <w:rFonts w:ascii="Times New Roman" w:eastAsia="Times New Roman" w:hAnsi="Times New Roman" w:cs="Times New Roman"/>
          <w:color w:val="000000"/>
          <w:lang w:val="it-IT" w:eastAsia="de-DE"/>
        </w:rPr>
        <w:t>Listopad</w:t>
      </w:r>
      <w:bookmarkStart w:id="3" w:name="_GoBack"/>
      <w:bookmarkEnd w:id="3"/>
      <w:r w:rsidR="005E2536"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2020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8129F7" w:rsidRPr="00965A22" w:rsidRDefault="008129F7" w:rsidP="008129F7">
      <w:pPr>
        <w:keepNext/>
        <w:keepLines/>
        <w:tabs>
          <w:tab w:val="center" w:pos="162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it-IT" w:eastAsia="de-DE"/>
        </w:rPr>
        <w:t>15.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ab/>
        <w:t>DALŠÍ INFORMACE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D820C0" w:rsidRPr="00965A22" w:rsidRDefault="00D820C0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D820C0" w:rsidRPr="00965A22" w:rsidRDefault="00D820C0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Pouze pro zvířata.</w:t>
      </w:r>
    </w:p>
    <w:p w:rsidR="00D820C0" w:rsidRPr="00965A22" w:rsidRDefault="00D820C0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Veterinární léčivý přípravek je vydáván pouze na předpis.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8129F7" w:rsidRPr="00965A22" w:rsidRDefault="008129F7" w:rsidP="008129F7">
      <w:pPr>
        <w:spacing w:after="41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val="it-IT" w:eastAsia="de-DE"/>
        </w:rPr>
        <w:t>Velikosti balení: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8129F7" w:rsidRPr="00965A22" w:rsidRDefault="008129F7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Papírová</w:t>
      </w:r>
      <w:r w:rsidR="00BF3171"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krabička obsahující 1 injekční lahvičku o objemu 100 ml </w:t>
      </w:r>
    </w:p>
    <w:p w:rsidR="008129F7" w:rsidRPr="00965A22" w:rsidRDefault="008129F7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lastRenderedPageBreak/>
        <w:t xml:space="preserve">Papírová krabička obsahující 1 injekční lahvičku o objemu 250 ml </w:t>
      </w:r>
    </w:p>
    <w:p w:rsidR="008129F7" w:rsidRPr="00965A22" w:rsidRDefault="008129F7" w:rsidP="00A30CF3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Na trhu nemusí být všechny velikosti balení. </w:t>
      </w:r>
    </w:p>
    <w:p w:rsidR="00B5775C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sectPr w:rsidR="00B5775C" w:rsidRPr="00965A22" w:rsidSect="008129F7">
      <w:headerReference w:type="default" r:id="rId8"/>
      <w:pgSz w:w="11918" w:h="16841"/>
      <w:pgMar w:top="1102" w:right="1416" w:bottom="1275" w:left="1418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71" w:rsidRDefault="007E5171" w:rsidP="008C4899">
      <w:pPr>
        <w:spacing w:after="0" w:line="240" w:lineRule="auto"/>
      </w:pPr>
      <w:r>
        <w:separator/>
      </w:r>
    </w:p>
  </w:endnote>
  <w:endnote w:type="continuationSeparator" w:id="0">
    <w:p w:rsidR="007E5171" w:rsidRDefault="007E5171" w:rsidP="008C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71" w:rsidRDefault="007E5171" w:rsidP="008C4899">
      <w:pPr>
        <w:spacing w:after="0" w:line="240" w:lineRule="auto"/>
      </w:pPr>
      <w:r>
        <w:separator/>
      </w:r>
    </w:p>
  </w:footnote>
  <w:footnote w:type="continuationSeparator" w:id="0">
    <w:p w:rsidR="007E5171" w:rsidRDefault="007E5171" w:rsidP="008C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99" w:rsidRPr="008C4899" w:rsidRDefault="008C4899" w:rsidP="008C4899">
    <w:pPr>
      <w:spacing w:after="160" w:line="256" w:lineRule="auto"/>
      <w:rPr>
        <w:rFonts w:ascii="Calibri" w:eastAsia="Calibri" w:hAnsi="Calibri" w:cs="Times New Roman"/>
      </w:rPr>
    </w:pPr>
    <w:r w:rsidRPr="008C4899">
      <w:rPr>
        <w:rFonts w:ascii="Calibri" w:eastAsia="Calibri" w:hAnsi="Calibri" w:cs="Times New Roman"/>
      </w:rPr>
      <w:t xml:space="preserve">         </w:t>
    </w:r>
  </w:p>
  <w:p w:rsidR="008C4899" w:rsidRDefault="008C48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19D"/>
    <w:multiLevelType w:val="hybridMultilevel"/>
    <w:tmpl w:val="F97A82A8"/>
    <w:lvl w:ilvl="0" w:tplc="D58867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7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452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0D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CD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05C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C4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870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2F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7"/>
    <w:rsid w:val="00053B31"/>
    <w:rsid w:val="0006641A"/>
    <w:rsid w:val="00094A70"/>
    <w:rsid w:val="001351E8"/>
    <w:rsid w:val="001405D3"/>
    <w:rsid w:val="001421FE"/>
    <w:rsid w:val="00224278"/>
    <w:rsid w:val="002834DF"/>
    <w:rsid w:val="002A4380"/>
    <w:rsid w:val="002A56E0"/>
    <w:rsid w:val="003315E1"/>
    <w:rsid w:val="004309CC"/>
    <w:rsid w:val="0049089C"/>
    <w:rsid w:val="00497814"/>
    <w:rsid w:val="004D08E7"/>
    <w:rsid w:val="005A0A03"/>
    <w:rsid w:val="005A4399"/>
    <w:rsid w:val="005E2536"/>
    <w:rsid w:val="0061361B"/>
    <w:rsid w:val="0064215E"/>
    <w:rsid w:val="00642E1B"/>
    <w:rsid w:val="006C3151"/>
    <w:rsid w:val="007012F4"/>
    <w:rsid w:val="007E5171"/>
    <w:rsid w:val="00800B2D"/>
    <w:rsid w:val="008129F7"/>
    <w:rsid w:val="00882D0B"/>
    <w:rsid w:val="008C4899"/>
    <w:rsid w:val="008E7A79"/>
    <w:rsid w:val="008F433B"/>
    <w:rsid w:val="008F65F8"/>
    <w:rsid w:val="00965A22"/>
    <w:rsid w:val="009B2604"/>
    <w:rsid w:val="009B5506"/>
    <w:rsid w:val="00A23847"/>
    <w:rsid w:val="00A30CF3"/>
    <w:rsid w:val="00A52BEC"/>
    <w:rsid w:val="00A62504"/>
    <w:rsid w:val="00AB4F51"/>
    <w:rsid w:val="00AD1B78"/>
    <w:rsid w:val="00B5775C"/>
    <w:rsid w:val="00BB0DE3"/>
    <w:rsid w:val="00BF3171"/>
    <w:rsid w:val="00C4192E"/>
    <w:rsid w:val="00C77548"/>
    <w:rsid w:val="00D015B9"/>
    <w:rsid w:val="00D41FF7"/>
    <w:rsid w:val="00D820C0"/>
    <w:rsid w:val="00D828DC"/>
    <w:rsid w:val="00EB3058"/>
    <w:rsid w:val="00EC4B11"/>
    <w:rsid w:val="00F61273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899"/>
  </w:style>
  <w:style w:type="paragraph" w:styleId="Zpat">
    <w:name w:val="footer"/>
    <w:basedOn w:val="Normln"/>
    <w:link w:val="Zpat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9"/>
  </w:style>
  <w:style w:type="table" w:customStyle="1" w:styleId="TableGrid">
    <w:name w:val="TableGrid"/>
    <w:rsid w:val="00EC4B11"/>
    <w:pPr>
      <w:spacing w:after="0" w:line="240" w:lineRule="auto"/>
    </w:pPr>
    <w:rPr>
      <w:rFonts w:eastAsia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81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899"/>
  </w:style>
  <w:style w:type="paragraph" w:styleId="Zpat">
    <w:name w:val="footer"/>
    <w:basedOn w:val="Normln"/>
    <w:link w:val="Zpat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9"/>
  </w:style>
  <w:style w:type="table" w:customStyle="1" w:styleId="TableGrid">
    <w:name w:val="TableGrid"/>
    <w:rsid w:val="00EC4B11"/>
    <w:pPr>
      <w:spacing w:after="0" w:line="240" w:lineRule="auto"/>
    </w:pPr>
    <w:rPr>
      <w:rFonts w:eastAsia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81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36</cp:revision>
  <cp:lastPrinted>2020-11-10T05:18:00Z</cp:lastPrinted>
  <dcterms:created xsi:type="dcterms:W3CDTF">2020-08-05T10:35:00Z</dcterms:created>
  <dcterms:modified xsi:type="dcterms:W3CDTF">2020-11-10T05:18:00Z</dcterms:modified>
</cp:coreProperties>
</file>