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88AB" w14:textId="238E5D7F" w:rsidR="00FB560F" w:rsidRDefault="00FB560F">
      <w:pPr>
        <w:rPr>
          <w:sz w:val="22"/>
          <w:szCs w:val="22"/>
        </w:rPr>
      </w:pPr>
    </w:p>
    <w:p w14:paraId="1E08983B" w14:textId="77777777" w:rsidR="00F20AE8" w:rsidRDefault="00F20AE8">
      <w:pPr>
        <w:rPr>
          <w:sz w:val="22"/>
          <w:szCs w:val="22"/>
        </w:rPr>
      </w:pPr>
    </w:p>
    <w:p w14:paraId="597EFB0F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77260B6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9F52664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4CCEC955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340E9739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2ECC3B47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6C0AD6E7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6E33A06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0635FDC8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60559009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4D8393D1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4BCA9E01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371C677A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57BA885D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2A0E37D8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E812E0F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3CD0F86D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560805F3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0CD9175E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F622DB0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747FB025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61957B58" w14:textId="77777777" w:rsidR="00FB560F" w:rsidRPr="00FB560F" w:rsidRDefault="00FB560F" w:rsidP="00FB560F">
      <w:pPr>
        <w:rPr>
          <w:b/>
          <w:sz w:val="22"/>
          <w:szCs w:val="22"/>
        </w:rPr>
      </w:pPr>
    </w:p>
    <w:p w14:paraId="3EA9BB35" w14:textId="77777777" w:rsidR="00EE0945" w:rsidRPr="00EE0945" w:rsidRDefault="00EE0945" w:rsidP="00EE0945">
      <w:pPr>
        <w:jc w:val="center"/>
        <w:outlineLvl w:val="0"/>
        <w:rPr>
          <w:sz w:val="22"/>
          <w:szCs w:val="22"/>
        </w:rPr>
      </w:pPr>
      <w:r w:rsidRPr="00EE0945">
        <w:rPr>
          <w:b/>
          <w:sz w:val="22"/>
          <w:szCs w:val="22"/>
        </w:rPr>
        <w:t>B. PŘÍBALOVÁ INFORMACE</w:t>
      </w:r>
    </w:p>
    <w:p w14:paraId="107FAABC" w14:textId="77777777" w:rsidR="00EE0945" w:rsidRPr="00EE0945" w:rsidRDefault="00EE0945" w:rsidP="00EE0945">
      <w:pPr>
        <w:jc w:val="center"/>
        <w:rPr>
          <w:sz w:val="22"/>
          <w:szCs w:val="22"/>
        </w:rPr>
      </w:pPr>
      <w:r w:rsidRPr="00EE0945">
        <w:rPr>
          <w:sz w:val="22"/>
          <w:szCs w:val="22"/>
        </w:rPr>
        <w:br w:type="page"/>
      </w:r>
      <w:r w:rsidRPr="00EE0945">
        <w:rPr>
          <w:b/>
          <w:sz w:val="22"/>
          <w:szCs w:val="22"/>
        </w:rPr>
        <w:lastRenderedPageBreak/>
        <w:t>PŘÍBALOVÁ INFORMACE</w:t>
      </w:r>
    </w:p>
    <w:p w14:paraId="0CC5B6E8" w14:textId="27189FD1" w:rsidR="00EE0945" w:rsidRDefault="00EE0945" w:rsidP="00EE0945">
      <w:pPr>
        <w:jc w:val="center"/>
        <w:rPr>
          <w:sz w:val="22"/>
          <w:szCs w:val="22"/>
        </w:rPr>
      </w:pPr>
      <w:r w:rsidRPr="00B82CD9">
        <w:rPr>
          <w:b/>
          <w:bCs/>
          <w:sz w:val="22"/>
          <w:szCs w:val="22"/>
        </w:rPr>
        <w:t>Enterisol</w:t>
      </w:r>
      <w:r w:rsidRPr="00B82CD9">
        <w:rPr>
          <w:b/>
          <w:bCs/>
          <w:sz w:val="22"/>
          <w:szCs w:val="22"/>
          <w:vertAlign w:val="superscript"/>
        </w:rPr>
        <w:t xml:space="preserve"> </w:t>
      </w:r>
      <w:r w:rsidRPr="00B82CD9">
        <w:rPr>
          <w:b/>
          <w:bCs/>
          <w:sz w:val="22"/>
          <w:szCs w:val="22"/>
        </w:rPr>
        <w:t xml:space="preserve">Ileitis lyofilizát </w:t>
      </w:r>
      <w:r w:rsidR="001547C0" w:rsidRPr="00B82CD9">
        <w:rPr>
          <w:b/>
          <w:bCs/>
          <w:sz w:val="22"/>
          <w:szCs w:val="22"/>
        </w:rPr>
        <w:t>a </w:t>
      </w:r>
      <w:r w:rsidRPr="00B82CD9">
        <w:rPr>
          <w:b/>
          <w:bCs/>
          <w:sz w:val="22"/>
          <w:szCs w:val="22"/>
        </w:rPr>
        <w:t>rozpouštědlo pro perorální suspenzi pro prasata</w:t>
      </w:r>
    </w:p>
    <w:p w14:paraId="4FBA6480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3CAE6DA6" w14:textId="77777777" w:rsidR="00EE0945" w:rsidRPr="00EE0945" w:rsidRDefault="00EE0945" w:rsidP="00EE0945">
      <w:pPr>
        <w:ind w:left="567" w:hanging="567"/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1.</w:t>
      </w:r>
      <w:r w:rsidRPr="00EE0945">
        <w:rPr>
          <w:b/>
          <w:sz w:val="22"/>
          <w:szCs w:val="22"/>
        </w:rPr>
        <w:tab/>
        <w:t xml:space="preserve">JMÉNO </w:t>
      </w:r>
      <w:r w:rsidR="001547C0" w:rsidRPr="00EE0945">
        <w:rPr>
          <w:b/>
          <w:sz w:val="22"/>
          <w:szCs w:val="22"/>
        </w:rPr>
        <w:t>A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 xml:space="preserve">ADRESA DRŽITELE ROZHODNUTÍ </w:t>
      </w:r>
      <w:r w:rsidR="001547C0" w:rsidRPr="00EE0945">
        <w:rPr>
          <w:b/>
          <w:sz w:val="22"/>
          <w:szCs w:val="22"/>
        </w:rPr>
        <w:t>O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 xml:space="preserve">REGISTRACI </w:t>
      </w:r>
      <w:r w:rsidR="001547C0" w:rsidRPr="00EE0945">
        <w:rPr>
          <w:b/>
          <w:sz w:val="22"/>
          <w:szCs w:val="22"/>
        </w:rPr>
        <w:t>A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 xml:space="preserve">DRŽITELE POVOLENÍ </w:t>
      </w:r>
      <w:r w:rsidR="001547C0" w:rsidRPr="00EE0945">
        <w:rPr>
          <w:b/>
          <w:sz w:val="22"/>
          <w:szCs w:val="22"/>
        </w:rPr>
        <w:t>K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>VÝROBĚ ODPOVĚDNÉHO ZA UVOLNĚNÍ ŠARŽE, POKUD SE NESHODUJE</w:t>
      </w:r>
    </w:p>
    <w:p w14:paraId="0AB14968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4E59D4ED" w14:textId="77777777" w:rsidR="00EE0945" w:rsidRPr="00EE0945" w:rsidRDefault="00EE0945" w:rsidP="00EE0945">
      <w:pPr>
        <w:rPr>
          <w:sz w:val="22"/>
          <w:szCs w:val="22"/>
          <w:u w:val="single"/>
        </w:rPr>
      </w:pPr>
      <w:r w:rsidRPr="00EE0945">
        <w:rPr>
          <w:sz w:val="22"/>
          <w:szCs w:val="22"/>
          <w:u w:val="single"/>
        </w:rPr>
        <w:t xml:space="preserve">Držitel rozhodnutí </w:t>
      </w:r>
      <w:r w:rsidR="001547C0" w:rsidRPr="00EE0945">
        <w:rPr>
          <w:sz w:val="22"/>
          <w:szCs w:val="22"/>
          <w:u w:val="single"/>
        </w:rPr>
        <w:t>o</w:t>
      </w:r>
      <w:r w:rsidR="001547C0">
        <w:rPr>
          <w:sz w:val="22"/>
          <w:szCs w:val="22"/>
          <w:u w:val="single"/>
        </w:rPr>
        <w:t> </w:t>
      </w:r>
      <w:r w:rsidRPr="00EE0945">
        <w:rPr>
          <w:sz w:val="22"/>
          <w:szCs w:val="22"/>
          <w:u w:val="single"/>
        </w:rPr>
        <w:t xml:space="preserve">registraci </w:t>
      </w:r>
      <w:r w:rsidR="001547C0" w:rsidRPr="00EE0945">
        <w:rPr>
          <w:sz w:val="22"/>
          <w:szCs w:val="22"/>
          <w:u w:val="single"/>
        </w:rPr>
        <w:t>a</w:t>
      </w:r>
      <w:r w:rsidR="001547C0">
        <w:rPr>
          <w:sz w:val="22"/>
          <w:szCs w:val="22"/>
          <w:u w:val="single"/>
        </w:rPr>
        <w:t> </w:t>
      </w:r>
      <w:r w:rsidRPr="00EE0945">
        <w:rPr>
          <w:sz w:val="22"/>
          <w:szCs w:val="22"/>
          <w:u w:val="single"/>
        </w:rPr>
        <w:t>výrobce odpovědný za uvolnění šarže:</w:t>
      </w:r>
    </w:p>
    <w:p w14:paraId="674A6023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Boehringer Ingelheim Vetmedica GmbH</w:t>
      </w:r>
    </w:p>
    <w:p w14:paraId="44FFB4EF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55216 Ingelheim/Rhein</w:t>
      </w:r>
    </w:p>
    <w:p w14:paraId="20CD206C" w14:textId="77777777" w:rsidR="00EE0945" w:rsidRPr="00F712CA" w:rsidRDefault="00995E94" w:rsidP="00EE0945">
      <w:pPr>
        <w:jc w:val="both"/>
        <w:rPr>
          <w:caps/>
          <w:sz w:val="22"/>
          <w:szCs w:val="22"/>
        </w:rPr>
      </w:pPr>
      <w:r w:rsidRPr="00F712CA">
        <w:rPr>
          <w:sz w:val="22"/>
          <w:szCs w:val="22"/>
        </w:rPr>
        <w:t>Německo</w:t>
      </w:r>
    </w:p>
    <w:p w14:paraId="7861A2C7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4AE9A70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49679520" w14:textId="77777777" w:rsidR="00EE0945" w:rsidRPr="00EE0945" w:rsidRDefault="00EE0945" w:rsidP="00EE0945">
      <w:pPr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2.</w:t>
      </w:r>
      <w:r w:rsidRPr="00EE0945">
        <w:rPr>
          <w:b/>
          <w:sz w:val="22"/>
          <w:szCs w:val="22"/>
        </w:rPr>
        <w:tab/>
        <w:t>NÁZEV VETERINÁRNÍHO LÉČIVÉHO PŘÍPRAVKU</w:t>
      </w:r>
    </w:p>
    <w:p w14:paraId="25D0CFAF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6BC24FF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>Enterisol</w:t>
      </w:r>
      <w:r w:rsidRPr="00EE0945">
        <w:rPr>
          <w:sz w:val="22"/>
          <w:szCs w:val="22"/>
          <w:vertAlign w:val="superscript"/>
        </w:rPr>
        <w:t xml:space="preserve"> </w:t>
      </w:r>
      <w:r w:rsidRPr="00EE0945">
        <w:rPr>
          <w:sz w:val="22"/>
          <w:szCs w:val="22"/>
        </w:rPr>
        <w:t xml:space="preserve">Ileitis lyofilizát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rozpouštědlo pro perorální suspenzi pro prasata</w:t>
      </w:r>
    </w:p>
    <w:p w14:paraId="0AE41BDD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6C0D9CDD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6147B13C" w14:textId="77777777" w:rsidR="00EE0945" w:rsidRPr="00EE0945" w:rsidRDefault="00EE0945" w:rsidP="00EE0945">
      <w:pPr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3.</w:t>
      </w:r>
      <w:r w:rsidRPr="00EE0945">
        <w:rPr>
          <w:b/>
          <w:sz w:val="22"/>
          <w:szCs w:val="22"/>
        </w:rPr>
        <w:tab/>
        <w:t xml:space="preserve">OBSAH LÉČIVÝCH </w:t>
      </w:r>
      <w:r w:rsidR="001547C0" w:rsidRPr="00EE0945">
        <w:rPr>
          <w:b/>
          <w:sz w:val="22"/>
          <w:szCs w:val="22"/>
        </w:rPr>
        <w:t>A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>OSTATNÍCH LÁTEK</w:t>
      </w:r>
    </w:p>
    <w:p w14:paraId="16673AD1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11482C9C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Každá dávka (2 ml) obsahuje:</w:t>
      </w:r>
    </w:p>
    <w:p w14:paraId="18E4177E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016606CF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Lyofilizát:</w:t>
      </w:r>
    </w:p>
    <w:p w14:paraId="421FD1FF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Živá atenuovaná</w:t>
      </w:r>
      <w:r w:rsidRPr="00EE0945">
        <w:rPr>
          <w:bCs/>
          <w:sz w:val="22"/>
          <w:szCs w:val="22"/>
        </w:rPr>
        <w:t xml:space="preserve"> </w:t>
      </w:r>
      <w:r w:rsidRPr="00EE0945">
        <w:rPr>
          <w:i/>
          <w:sz w:val="22"/>
          <w:szCs w:val="22"/>
        </w:rPr>
        <w:t xml:space="preserve">Lawsonia intracellularis </w:t>
      </w:r>
      <w:r w:rsidRPr="00EE0945">
        <w:rPr>
          <w:sz w:val="22"/>
          <w:szCs w:val="22"/>
        </w:rPr>
        <w:t>(MS B3903): 10</w:t>
      </w:r>
      <w:r w:rsidRPr="00EE0945">
        <w:rPr>
          <w:sz w:val="22"/>
          <w:szCs w:val="22"/>
          <w:vertAlign w:val="superscript"/>
        </w:rPr>
        <w:t>4,9</w:t>
      </w:r>
      <w:r w:rsidRPr="00EE0945">
        <w:rPr>
          <w:sz w:val="22"/>
          <w:szCs w:val="22"/>
        </w:rPr>
        <w:t xml:space="preserve"> – 10</w:t>
      </w:r>
      <w:r w:rsidRPr="00EE0945">
        <w:rPr>
          <w:sz w:val="22"/>
          <w:szCs w:val="22"/>
          <w:vertAlign w:val="superscript"/>
        </w:rPr>
        <w:t>6,1</w:t>
      </w:r>
      <w:r w:rsidRPr="00EE0945">
        <w:rPr>
          <w:sz w:val="22"/>
          <w:szCs w:val="22"/>
        </w:rPr>
        <w:t xml:space="preserve"> TCID</w:t>
      </w:r>
      <w:r w:rsidRPr="00EE0945">
        <w:rPr>
          <w:sz w:val="22"/>
          <w:szCs w:val="22"/>
          <w:vertAlign w:val="subscript"/>
        </w:rPr>
        <w:t>50</w:t>
      </w:r>
      <w:r w:rsidRPr="00EE0945">
        <w:rPr>
          <w:sz w:val="22"/>
          <w:szCs w:val="22"/>
        </w:rPr>
        <w:t>*</w:t>
      </w:r>
    </w:p>
    <w:p w14:paraId="59C7F037" w14:textId="51F66670" w:rsidR="00EE0945" w:rsidRPr="00EE0945" w:rsidRDefault="00EE0945" w:rsidP="00EE0945">
      <w:pPr>
        <w:tabs>
          <w:tab w:val="left" w:pos="2835"/>
        </w:tabs>
        <w:rPr>
          <w:sz w:val="22"/>
          <w:szCs w:val="22"/>
        </w:rPr>
      </w:pPr>
      <w:r w:rsidRPr="00EE0945">
        <w:rPr>
          <w:sz w:val="22"/>
          <w:szCs w:val="22"/>
        </w:rPr>
        <w:t>*</w:t>
      </w:r>
      <w:r w:rsidR="00DD2A55">
        <w:rPr>
          <w:sz w:val="22"/>
          <w:szCs w:val="22"/>
        </w:rPr>
        <w:t xml:space="preserve"> </w:t>
      </w:r>
      <w:r w:rsidR="00F87953" w:rsidRPr="00EE0945">
        <w:rPr>
          <w:sz w:val="22"/>
          <w:szCs w:val="22"/>
        </w:rPr>
        <w:t>50%</w:t>
      </w:r>
      <w:r w:rsidRPr="00EE0945">
        <w:rPr>
          <w:sz w:val="22"/>
          <w:szCs w:val="22"/>
        </w:rPr>
        <w:t xml:space="preserve"> infekční dávka pro tkáňové kultury </w:t>
      </w:r>
    </w:p>
    <w:p w14:paraId="66574558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3D0C393B" w14:textId="6C30B358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Lyofilizát: světle žlutý až zlatý</w:t>
      </w:r>
      <w:r w:rsidR="00DD2A55">
        <w:rPr>
          <w:sz w:val="22"/>
          <w:szCs w:val="22"/>
        </w:rPr>
        <w:t>.</w:t>
      </w:r>
    </w:p>
    <w:p w14:paraId="18FC545E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Rozpouštědlo: čirý, bezbarvý roztok.</w:t>
      </w:r>
    </w:p>
    <w:p w14:paraId="233D5C03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03FFABF8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02750A83" w14:textId="77777777" w:rsidR="00EE0945" w:rsidRPr="00EE0945" w:rsidRDefault="00EE0945" w:rsidP="00EE0945">
      <w:pPr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4.</w:t>
      </w:r>
      <w:r w:rsidRPr="00EE0945">
        <w:rPr>
          <w:b/>
          <w:sz w:val="22"/>
          <w:szCs w:val="22"/>
        </w:rPr>
        <w:tab/>
        <w:t>INDIKACE</w:t>
      </w:r>
    </w:p>
    <w:p w14:paraId="5F20E6A8" w14:textId="77777777" w:rsidR="00EE0945" w:rsidRPr="00EE0945" w:rsidRDefault="00EE0945" w:rsidP="00EE0945">
      <w:pPr>
        <w:rPr>
          <w:sz w:val="22"/>
          <w:szCs w:val="22"/>
        </w:rPr>
      </w:pPr>
    </w:p>
    <w:p w14:paraId="0C3D952D" w14:textId="77777777" w:rsidR="00EE0945" w:rsidRPr="00EE0945" w:rsidRDefault="001547C0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 w:rsidR="00EE0945" w:rsidRPr="00EE0945">
        <w:rPr>
          <w:sz w:val="22"/>
          <w:szCs w:val="22"/>
        </w:rPr>
        <w:t xml:space="preserve">aktivní imunizaci odstavených prasat od stáří 3 týdnů, k redukci změn na střevech následkem infekce </w:t>
      </w:r>
      <w:r w:rsidR="00EE0945" w:rsidRPr="00EE0945">
        <w:rPr>
          <w:i/>
          <w:sz w:val="22"/>
          <w:szCs w:val="22"/>
        </w:rPr>
        <w:t xml:space="preserve">Lawsonia intracellularis. </w:t>
      </w:r>
      <w:r w:rsidRPr="00EE0945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 w:rsidR="00EE0945" w:rsidRPr="00EE0945">
        <w:rPr>
          <w:sz w:val="22"/>
          <w:szCs w:val="22"/>
        </w:rPr>
        <w:t xml:space="preserve">snížení variability růstu </w:t>
      </w:r>
      <w:r w:rsidRPr="00EE094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="00EE0945" w:rsidRPr="00EE0945">
        <w:rPr>
          <w:sz w:val="22"/>
          <w:szCs w:val="22"/>
        </w:rPr>
        <w:t xml:space="preserve">ztrát přírůstků hmotnosti spojených s touto infekční chorobou. </w:t>
      </w:r>
    </w:p>
    <w:p w14:paraId="3190972C" w14:textId="77777777" w:rsidR="00EE0945" w:rsidRPr="00EE0945" w:rsidRDefault="00EE0945" w:rsidP="00EE0945">
      <w:pPr>
        <w:rPr>
          <w:sz w:val="22"/>
          <w:szCs w:val="22"/>
        </w:rPr>
      </w:pPr>
    </w:p>
    <w:p w14:paraId="130432D4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V terénních podmínkách, kdy byla porovnávána vakcinovaná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nevakcinovaná prasata, dosáhly rozdíly v průměrných denních přírůstcích hmotnosti do 30 g/den.</w:t>
      </w:r>
    </w:p>
    <w:p w14:paraId="231E9934" w14:textId="77777777" w:rsidR="00EE0945" w:rsidRPr="00EE0945" w:rsidRDefault="00EE0945" w:rsidP="00EE0945">
      <w:pPr>
        <w:rPr>
          <w:sz w:val="22"/>
          <w:szCs w:val="22"/>
        </w:rPr>
      </w:pPr>
    </w:p>
    <w:p w14:paraId="67E81D7B" w14:textId="29DD3148" w:rsidR="00EE0945" w:rsidRPr="00EE0945" w:rsidRDefault="00EE0945" w:rsidP="00EE0945">
      <w:pPr>
        <w:jc w:val="both"/>
        <w:rPr>
          <w:snapToGrid w:val="0"/>
          <w:sz w:val="22"/>
          <w:szCs w:val="22"/>
        </w:rPr>
      </w:pPr>
      <w:r w:rsidRPr="00EE0945">
        <w:rPr>
          <w:sz w:val="22"/>
          <w:szCs w:val="22"/>
        </w:rPr>
        <w:t xml:space="preserve">Nástup imunity: </w:t>
      </w:r>
      <w:r w:rsidR="00F712CA">
        <w:rPr>
          <w:snapToGrid w:val="0"/>
          <w:sz w:val="22"/>
          <w:szCs w:val="22"/>
        </w:rPr>
        <w:t>již</w:t>
      </w:r>
      <w:r w:rsidRPr="00EE0945">
        <w:rPr>
          <w:snapToGrid w:val="0"/>
          <w:sz w:val="22"/>
          <w:szCs w:val="22"/>
        </w:rPr>
        <w:t xml:space="preserve"> 3 týdny po vakcinaci</w:t>
      </w:r>
      <w:r w:rsidR="00F712CA">
        <w:rPr>
          <w:snapToGrid w:val="0"/>
          <w:sz w:val="22"/>
          <w:szCs w:val="22"/>
        </w:rPr>
        <w:t>.</w:t>
      </w:r>
      <w:r w:rsidRPr="00EE0945">
        <w:rPr>
          <w:snapToGrid w:val="0"/>
          <w:sz w:val="22"/>
          <w:szCs w:val="22"/>
        </w:rPr>
        <w:t xml:space="preserve"> </w:t>
      </w:r>
    </w:p>
    <w:p w14:paraId="4EBFDD5C" w14:textId="2AB21369" w:rsidR="00EE0945" w:rsidRPr="00EE0945" w:rsidRDefault="00EE0945" w:rsidP="00EE0945">
      <w:pPr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 xml:space="preserve">Trvání </w:t>
      </w:r>
      <w:r w:rsidR="00327BB7">
        <w:rPr>
          <w:sz w:val="22"/>
          <w:szCs w:val="22"/>
        </w:rPr>
        <w:t>imunity</w:t>
      </w:r>
      <w:r w:rsidRPr="00EE0945">
        <w:rPr>
          <w:sz w:val="22"/>
          <w:szCs w:val="22"/>
        </w:rPr>
        <w:t xml:space="preserve">: </w:t>
      </w:r>
      <w:r w:rsidRPr="00EE0945">
        <w:rPr>
          <w:snapToGrid w:val="0"/>
          <w:sz w:val="22"/>
          <w:szCs w:val="22"/>
        </w:rPr>
        <w:t>nejméně po dobu 17 týdnů</w:t>
      </w:r>
      <w:r w:rsidR="00F712CA">
        <w:rPr>
          <w:snapToGrid w:val="0"/>
          <w:sz w:val="22"/>
          <w:szCs w:val="22"/>
        </w:rPr>
        <w:t>.</w:t>
      </w:r>
    </w:p>
    <w:p w14:paraId="319BFEEB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488F57CF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3E288341" w14:textId="77777777" w:rsidR="00EE0945" w:rsidRPr="00EE0945" w:rsidRDefault="00EE0945" w:rsidP="00EE0945">
      <w:pPr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5.</w:t>
      </w:r>
      <w:r w:rsidRPr="00EE0945">
        <w:rPr>
          <w:b/>
          <w:sz w:val="22"/>
          <w:szCs w:val="22"/>
        </w:rPr>
        <w:tab/>
        <w:t>KONTRAINDIKACE</w:t>
      </w:r>
    </w:p>
    <w:p w14:paraId="33403366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4100A147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Nejsou.</w:t>
      </w:r>
    </w:p>
    <w:p w14:paraId="5037F6BC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0E017140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6.</w:t>
      </w:r>
      <w:r w:rsidRPr="00EE0945">
        <w:rPr>
          <w:b/>
          <w:sz w:val="22"/>
          <w:szCs w:val="22"/>
        </w:rPr>
        <w:tab/>
        <w:t>NEŽÁDOUCÍ ÚČINKY</w:t>
      </w:r>
    </w:p>
    <w:p w14:paraId="68626DC1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23196639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Nejsou známy.</w:t>
      </w:r>
    </w:p>
    <w:p w14:paraId="20735BC5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0D0C55CE" w14:textId="0C9F800F" w:rsidR="008274D7" w:rsidRPr="0003609B" w:rsidRDefault="008274D7" w:rsidP="008274D7">
      <w:pPr>
        <w:rPr>
          <w:sz w:val="22"/>
          <w:szCs w:val="22"/>
        </w:rPr>
      </w:pPr>
      <w:r w:rsidRPr="0003609B">
        <w:rPr>
          <w:sz w:val="22"/>
          <w:szCs w:val="22"/>
        </w:rPr>
        <w:t xml:space="preserve">Jestliže zaznamenáte kterýkoliv z nežádoucích účinků a to i takové, které nejsou uvedeny v této příbalové informaci, nebo si myslíte, že léčivo </w:t>
      </w:r>
      <w:r w:rsidR="00C953A9" w:rsidRPr="00C953A9">
        <w:rPr>
          <w:sz w:val="22"/>
          <w:szCs w:val="22"/>
        </w:rPr>
        <w:t>nefunguje</w:t>
      </w:r>
      <w:r w:rsidRPr="0003609B">
        <w:rPr>
          <w:sz w:val="22"/>
          <w:szCs w:val="22"/>
        </w:rPr>
        <w:t>, oznamte to, prosím, vašemu veterinárnímu lékaři.</w:t>
      </w:r>
    </w:p>
    <w:p w14:paraId="4AE11A09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38B09AB2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6A2B66D1" w14:textId="77777777" w:rsidR="00EE0945" w:rsidRPr="00EE0945" w:rsidRDefault="00EE0945" w:rsidP="00EE0945">
      <w:pPr>
        <w:keepNext/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7.</w:t>
      </w:r>
      <w:r w:rsidRPr="00EE0945">
        <w:rPr>
          <w:b/>
          <w:sz w:val="22"/>
          <w:szCs w:val="22"/>
        </w:rPr>
        <w:tab/>
        <w:t>CÍLOVÝ DRUH ZVÍŘAT</w:t>
      </w:r>
    </w:p>
    <w:p w14:paraId="1E145D0F" w14:textId="77777777" w:rsidR="00EE0945" w:rsidRPr="00EE0945" w:rsidRDefault="00EE0945" w:rsidP="00EE0945">
      <w:pPr>
        <w:keepNext/>
        <w:jc w:val="both"/>
        <w:rPr>
          <w:sz w:val="22"/>
          <w:szCs w:val="22"/>
        </w:rPr>
      </w:pPr>
    </w:p>
    <w:p w14:paraId="0E42C8F7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Prasata </w:t>
      </w:r>
    </w:p>
    <w:p w14:paraId="33246E45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17A70BEF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7E819282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8.</w:t>
      </w:r>
      <w:r w:rsidRPr="00EE0945">
        <w:rPr>
          <w:b/>
          <w:sz w:val="22"/>
          <w:szCs w:val="22"/>
        </w:rPr>
        <w:tab/>
        <w:t xml:space="preserve">DÁVKOVÁNÍ PRO KAŽDÝ DRUH, CESTA(Y) </w:t>
      </w:r>
      <w:r w:rsidR="001547C0" w:rsidRPr="00EE0945">
        <w:rPr>
          <w:b/>
          <w:sz w:val="22"/>
          <w:szCs w:val="22"/>
        </w:rPr>
        <w:t>A</w:t>
      </w:r>
      <w:r w:rsidR="001547C0">
        <w:rPr>
          <w:b/>
          <w:sz w:val="22"/>
          <w:szCs w:val="22"/>
        </w:rPr>
        <w:t> </w:t>
      </w:r>
      <w:r w:rsidRPr="00EE0945">
        <w:rPr>
          <w:b/>
          <w:sz w:val="22"/>
          <w:szCs w:val="22"/>
        </w:rPr>
        <w:t>ZPŮSOB PODÁNÍ</w:t>
      </w:r>
    </w:p>
    <w:p w14:paraId="4BDE7864" w14:textId="77777777" w:rsidR="00EE0945" w:rsidRPr="00EE0945" w:rsidRDefault="00EE0945" w:rsidP="00EE0945">
      <w:pPr>
        <w:rPr>
          <w:sz w:val="22"/>
          <w:szCs w:val="22"/>
        </w:rPr>
      </w:pPr>
    </w:p>
    <w:p w14:paraId="30BD7536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Aby bylo zamezeno inaktivaci přípravku, musí být všechny materiály, které jsou používány pro aplikaci vakcíny, bez reziduí antimikrobiálních přípravků, čistících nebo dezinfekčních prostředků.</w:t>
      </w:r>
    </w:p>
    <w:p w14:paraId="6F466D22" w14:textId="77777777" w:rsidR="00EE0945" w:rsidRPr="00EE0945" w:rsidRDefault="00EE0945" w:rsidP="00EE0945">
      <w:pPr>
        <w:rPr>
          <w:sz w:val="22"/>
          <w:szCs w:val="22"/>
        </w:rPr>
      </w:pPr>
    </w:p>
    <w:p w14:paraId="7BD5AD5B" w14:textId="77777777" w:rsidR="00EE0945" w:rsidRPr="00EE0945" w:rsidRDefault="00EE0945" w:rsidP="00EE0945">
      <w:pPr>
        <w:rPr>
          <w:sz w:val="22"/>
          <w:szCs w:val="22"/>
          <w:u w:val="single"/>
        </w:rPr>
      </w:pPr>
      <w:r w:rsidRPr="00EE0945">
        <w:rPr>
          <w:sz w:val="22"/>
          <w:szCs w:val="22"/>
          <w:u w:val="single"/>
        </w:rPr>
        <w:t>Naředění lyofilizátu rozpouštědlem:</w:t>
      </w:r>
    </w:p>
    <w:p w14:paraId="4F686D93" w14:textId="34747177" w:rsidR="00EE0945" w:rsidRPr="00EE0945" w:rsidRDefault="00EE0945" w:rsidP="00EE0945">
      <w:pPr>
        <w:tabs>
          <w:tab w:val="left" w:pos="0"/>
        </w:tabs>
        <w:rPr>
          <w:b/>
          <w:sz w:val="22"/>
          <w:szCs w:val="22"/>
        </w:rPr>
      </w:pPr>
      <w:r w:rsidRPr="00EE0945">
        <w:rPr>
          <w:sz w:val="22"/>
          <w:szCs w:val="22"/>
        </w:rPr>
        <w:t xml:space="preserve">10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50 dávek: Naředění vakcíny se provede přidáním celého obsahu rozpouštědla do </w:t>
      </w:r>
      <w:r w:rsidR="001D2974">
        <w:rPr>
          <w:sz w:val="22"/>
          <w:szCs w:val="22"/>
        </w:rPr>
        <w:t>lahvičky</w:t>
      </w:r>
      <w:r w:rsidR="001D2974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 xml:space="preserve">lyofilizátu. Důkladně se protřepe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ihned se aplikuje.</w:t>
      </w:r>
    </w:p>
    <w:p w14:paraId="7440816E" w14:textId="77777777" w:rsidR="00EE0945" w:rsidRPr="00EE0945" w:rsidRDefault="00EE0945" w:rsidP="00EE0945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69B261C7" w14:textId="7A19E3EC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100 dávek: Naředění vakcíny se provede přidáním poloviny obsahu rozpouštědla do </w:t>
      </w:r>
      <w:r w:rsidR="001D2974">
        <w:rPr>
          <w:sz w:val="22"/>
          <w:szCs w:val="22"/>
        </w:rPr>
        <w:t>lahvičky</w:t>
      </w:r>
      <w:r w:rsidR="001D2974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 xml:space="preserve">lyofilizátu. Důkladně se protřepe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suspenze se přelije zpět do </w:t>
      </w:r>
      <w:r w:rsidR="00C953A9" w:rsidRPr="00C953A9">
        <w:rPr>
          <w:sz w:val="22"/>
          <w:szCs w:val="22"/>
        </w:rPr>
        <w:t xml:space="preserve">lahvičky </w:t>
      </w:r>
      <w:r w:rsidRPr="00EE0945">
        <w:rPr>
          <w:sz w:val="22"/>
          <w:szCs w:val="22"/>
        </w:rPr>
        <w:t xml:space="preserve">rozpouštědla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smíchá se zbylým rozpouštědlem do celkového objemu 200 ml. Důkladně se protřepe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ihned se aplikuje.</w:t>
      </w:r>
    </w:p>
    <w:p w14:paraId="7B5E0334" w14:textId="26FCFE70" w:rsidR="00EE0945" w:rsidRPr="00EE0945" w:rsidRDefault="009364C3" w:rsidP="00EE0945">
      <w:pPr>
        <w:rPr>
          <w:sz w:val="22"/>
          <w:szCs w:val="22"/>
        </w:rPr>
      </w:pPr>
      <w:r>
        <w:rPr>
          <w:sz w:val="22"/>
          <w:szCs w:val="22"/>
        </w:rPr>
        <w:t>Vzhled</w:t>
      </w:r>
      <w:r w:rsidR="00A3594F">
        <w:rPr>
          <w:sz w:val="22"/>
          <w:szCs w:val="22"/>
        </w:rPr>
        <w:t xml:space="preserve"> </w:t>
      </w:r>
      <w:r w:rsidR="008274D7">
        <w:rPr>
          <w:sz w:val="22"/>
          <w:szCs w:val="22"/>
        </w:rPr>
        <w:t>po rekonstituci</w:t>
      </w:r>
      <w:r w:rsidR="00EE0945" w:rsidRPr="00EE0945">
        <w:rPr>
          <w:sz w:val="22"/>
          <w:szCs w:val="22"/>
        </w:rPr>
        <w:t xml:space="preserve">: světle oranžová až růžová poloprůhledná </w:t>
      </w:r>
      <w:r>
        <w:rPr>
          <w:sz w:val="22"/>
          <w:szCs w:val="22"/>
        </w:rPr>
        <w:t>suspenze</w:t>
      </w:r>
      <w:r w:rsidR="00EE0945" w:rsidRPr="00EE0945">
        <w:rPr>
          <w:sz w:val="22"/>
          <w:szCs w:val="22"/>
        </w:rPr>
        <w:t>.</w:t>
      </w:r>
    </w:p>
    <w:p w14:paraId="60ADE204" w14:textId="77777777" w:rsidR="00EE0945" w:rsidRPr="00EE0945" w:rsidRDefault="00EE0945" w:rsidP="00EE0945">
      <w:pPr>
        <w:rPr>
          <w:sz w:val="22"/>
          <w:szCs w:val="22"/>
        </w:rPr>
      </w:pPr>
    </w:p>
    <w:p w14:paraId="09C4A4AC" w14:textId="77777777" w:rsidR="00EE0945" w:rsidRPr="00EE0945" w:rsidRDefault="00EE0945" w:rsidP="00EE0945">
      <w:pPr>
        <w:rPr>
          <w:sz w:val="22"/>
          <w:szCs w:val="22"/>
          <w:u w:val="single"/>
        </w:rPr>
      </w:pPr>
      <w:r w:rsidRPr="00EE0945">
        <w:rPr>
          <w:sz w:val="22"/>
          <w:szCs w:val="22"/>
          <w:u w:val="single"/>
        </w:rPr>
        <w:t>Vakcinace pomocí perorálního podání:</w:t>
      </w:r>
    </w:p>
    <w:p w14:paraId="57EE1F91" w14:textId="52B9CE00" w:rsidR="00EE0945" w:rsidRPr="00EE0945" w:rsidRDefault="00EE0945" w:rsidP="00EE0945">
      <w:pPr>
        <w:tabs>
          <w:tab w:val="left" w:pos="0"/>
        </w:tabs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 xml:space="preserve">Perorální aplikace jednotlivé dávky 2 ml prasatům (od stáří tří týdnů), nezávisle na </w:t>
      </w:r>
      <w:r w:rsidR="0003609B">
        <w:rPr>
          <w:sz w:val="22"/>
          <w:szCs w:val="22"/>
        </w:rPr>
        <w:t>živé</w:t>
      </w:r>
      <w:r w:rsidRPr="00EE0945">
        <w:rPr>
          <w:sz w:val="22"/>
          <w:szCs w:val="22"/>
        </w:rPr>
        <w:t xml:space="preserve"> hmotnosti.</w:t>
      </w:r>
    </w:p>
    <w:p w14:paraId="653DE9A5" w14:textId="77777777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</w:rPr>
      </w:pPr>
    </w:p>
    <w:p w14:paraId="13395555" w14:textId="77777777" w:rsidR="00EE0945" w:rsidRPr="00EE0945" w:rsidRDefault="00EE0945" w:rsidP="00EE0945">
      <w:pPr>
        <w:rPr>
          <w:sz w:val="22"/>
          <w:szCs w:val="22"/>
          <w:u w:val="single"/>
        </w:rPr>
      </w:pPr>
      <w:r w:rsidRPr="00EE0945">
        <w:rPr>
          <w:sz w:val="22"/>
          <w:szCs w:val="22"/>
          <w:u w:val="single"/>
        </w:rPr>
        <w:t>Vakcinace prostřednictvím systému</w:t>
      </w:r>
      <w:r w:rsidRPr="00EE0945" w:rsidDel="00BB5770">
        <w:rPr>
          <w:sz w:val="22"/>
          <w:szCs w:val="22"/>
          <w:u w:val="single"/>
        </w:rPr>
        <w:t xml:space="preserve"> </w:t>
      </w:r>
      <w:r w:rsidRPr="00EE0945">
        <w:rPr>
          <w:sz w:val="22"/>
          <w:szCs w:val="22"/>
          <w:u w:val="single"/>
        </w:rPr>
        <w:t>pitné vody:</w:t>
      </w:r>
    </w:p>
    <w:p w14:paraId="198B510F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Napájecí zařízení musí být vyčištěné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důkladně propláchnuté čistou vodou, aby se zamezilo reziduím antimikrobiálních přípravků, čistících nebo dezinfekčních prostředků.</w:t>
      </w:r>
    </w:p>
    <w:p w14:paraId="10B16240" w14:textId="77777777" w:rsidR="00EE0945" w:rsidRPr="00EE0945" w:rsidRDefault="00EE0945" w:rsidP="00EE0945">
      <w:pPr>
        <w:rPr>
          <w:sz w:val="22"/>
          <w:szCs w:val="22"/>
          <w:u w:val="single"/>
        </w:rPr>
      </w:pPr>
    </w:p>
    <w:p w14:paraId="0012F4C4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Připravená vakcína musí být spotřebována v průběhu čtyř hodin po rekonstituci.</w:t>
      </w:r>
    </w:p>
    <w:p w14:paraId="7244A990" w14:textId="3D20C27F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Propočet </w:t>
      </w:r>
      <w:r w:rsidR="0003609B">
        <w:rPr>
          <w:sz w:val="22"/>
          <w:szCs w:val="22"/>
        </w:rPr>
        <w:t>lahviček</w:t>
      </w:r>
      <w:r w:rsidRPr="00EE0945">
        <w:rPr>
          <w:sz w:val="22"/>
          <w:szCs w:val="22"/>
        </w:rPr>
        <w:t xml:space="preserve">, které jsou nutné k vakcinaci všech prasat, je uveden v následující tabulce: </w:t>
      </w:r>
    </w:p>
    <w:p w14:paraId="4F29F984" w14:textId="77777777" w:rsidR="00EE0945" w:rsidRPr="00EE0945" w:rsidRDefault="00EE0945" w:rsidP="00EE094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3475"/>
        <w:gridCol w:w="2762"/>
      </w:tblGrid>
      <w:tr w:rsidR="00EE0945" w:rsidRPr="00EE0945" w14:paraId="530A7492" w14:textId="77777777" w:rsidTr="00546D79">
        <w:tc>
          <w:tcPr>
            <w:tcW w:w="2410" w:type="dxa"/>
          </w:tcPr>
          <w:p w14:paraId="18561C57" w14:textId="77777777" w:rsidR="00EE0945" w:rsidRPr="00EE0945" w:rsidRDefault="00EE0945" w:rsidP="00EE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EE0945">
              <w:rPr>
                <w:b/>
                <w:bCs/>
                <w:sz w:val="22"/>
                <w:szCs w:val="22"/>
              </w:rPr>
              <w:t>Počet prasat:</w:t>
            </w:r>
          </w:p>
        </w:tc>
        <w:tc>
          <w:tcPr>
            <w:tcW w:w="3475" w:type="dxa"/>
          </w:tcPr>
          <w:p w14:paraId="3A89F1D9" w14:textId="2CD25C94" w:rsidR="00EE0945" w:rsidRPr="00EE0945" w:rsidRDefault="00EE0945" w:rsidP="00EE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EE0945">
              <w:rPr>
                <w:b/>
                <w:bCs/>
                <w:sz w:val="22"/>
                <w:szCs w:val="22"/>
              </w:rPr>
              <w:t>L</w:t>
            </w:r>
            <w:r w:rsidR="0003609B" w:rsidRPr="0003609B">
              <w:rPr>
                <w:b/>
                <w:bCs/>
                <w:sz w:val="22"/>
                <w:szCs w:val="22"/>
              </w:rPr>
              <w:t>ahvičky</w:t>
            </w:r>
            <w:r w:rsidRPr="00EE0945">
              <w:rPr>
                <w:b/>
                <w:bCs/>
                <w:sz w:val="22"/>
                <w:szCs w:val="22"/>
              </w:rPr>
              <w:t xml:space="preserve"> s vakcínou</w:t>
            </w:r>
          </w:p>
        </w:tc>
        <w:tc>
          <w:tcPr>
            <w:tcW w:w="2762" w:type="dxa"/>
          </w:tcPr>
          <w:p w14:paraId="590FED2B" w14:textId="1D365676" w:rsidR="00EE0945" w:rsidRPr="00EE0945" w:rsidRDefault="00EE0945" w:rsidP="0003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EE0945">
              <w:rPr>
                <w:b/>
                <w:bCs/>
                <w:sz w:val="22"/>
                <w:szCs w:val="22"/>
              </w:rPr>
              <w:t>L</w:t>
            </w:r>
            <w:r w:rsidR="0003609B" w:rsidRPr="0003609B">
              <w:rPr>
                <w:b/>
                <w:bCs/>
                <w:sz w:val="22"/>
                <w:szCs w:val="22"/>
              </w:rPr>
              <w:t>ahvičky</w:t>
            </w:r>
            <w:r w:rsidRPr="00EE0945">
              <w:rPr>
                <w:b/>
                <w:bCs/>
                <w:sz w:val="22"/>
                <w:szCs w:val="22"/>
              </w:rPr>
              <w:t xml:space="preserve"> s </w:t>
            </w:r>
            <w:r w:rsidRPr="00EE0945">
              <w:rPr>
                <w:b/>
                <w:bCs/>
                <w:sz w:val="22"/>
                <w:szCs w:val="22"/>
                <w:lang w:val="en-US"/>
              </w:rPr>
              <w:t>rozpouštědlem</w:t>
            </w:r>
          </w:p>
        </w:tc>
      </w:tr>
      <w:tr w:rsidR="00EE0945" w:rsidRPr="00EE0945" w14:paraId="0510AD5F" w14:textId="77777777" w:rsidTr="00546D79">
        <w:tc>
          <w:tcPr>
            <w:tcW w:w="2410" w:type="dxa"/>
          </w:tcPr>
          <w:p w14:paraId="5326D8BC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10</w:t>
            </w:r>
          </w:p>
        </w:tc>
        <w:tc>
          <w:tcPr>
            <w:tcW w:w="3475" w:type="dxa"/>
          </w:tcPr>
          <w:p w14:paraId="14557A05" w14:textId="489FA54A" w:rsidR="00EE0945" w:rsidRPr="00EE0945" w:rsidRDefault="00EE0945" w:rsidP="0003609B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10 dávek (</w:t>
            </w:r>
            <w:r w:rsidR="0003609B">
              <w:rPr>
                <w:sz w:val="22"/>
                <w:szCs w:val="22"/>
              </w:rPr>
              <w:t>lahvička</w:t>
            </w:r>
            <w:r w:rsidR="0003609B" w:rsidRPr="00EE0945">
              <w:rPr>
                <w:sz w:val="22"/>
                <w:szCs w:val="22"/>
              </w:rPr>
              <w:t xml:space="preserve"> </w:t>
            </w:r>
            <w:r w:rsidRPr="00EE0945">
              <w:rPr>
                <w:sz w:val="22"/>
                <w:szCs w:val="22"/>
              </w:rPr>
              <w:t>20 ml)</w:t>
            </w:r>
          </w:p>
        </w:tc>
        <w:tc>
          <w:tcPr>
            <w:tcW w:w="2762" w:type="dxa"/>
          </w:tcPr>
          <w:p w14:paraId="2E36BD80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20 ml</w:t>
            </w:r>
          </w:p>
        </w:tc>
      </w:tr>
      <w:tr w:rsidR="00EE0945" w:rsidRPr="00EE0945" w14:paraId="1962812C" w14:textId="77777777" w:rsidTr="00546D79">
        <w:tc>
          <w:tcPr>
            <w:tcW w:w="2410" w:type="dxa"/>
          </w:tcPr>
          <w:p w14:paraId="6BD7CF21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50</w:t>
            </w:r>
          </w:p>
        </w:tc>
        <w:tc>
          <w:tcPr>
            <w:tcW w:w="3475" w:type="dxa"/>
          </w:tcPr>
          <w:p w14:paraId="513218FA" w14:textId="2F94D91B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50 dávek (</w:t>
            </w:r>
            <w:r w:rsidR="0003609B">
              <w:rPr>
                <w:sz w:val="22"/>
                <w:szCs w:val="22"/>
              </w:rPr>
              <w:t>lahvička</w:t>
            </w:r>
            <w:r w:rsidRPr="00EE0945">
              <w:rPr>
                <w:sz w:val="22"/>
                <w:szCs w:val="22"/>
              </w:rPr>
              <w:t xml:space="preserve"> 100 ml)</w:t>
            </w:r>
          </w:p>
        </w:tc>
        <w:tc>
          <w:tcPr>
            <w:tcW w:w="2762" w:type="dxa"/>
          </w:tcPr>
          <w:p w14:paraId="09F50F8E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100 ml</w:t>
            </w:r>
          </w:p>
        </w:tc>
      </w:tr>
      <w:tr w:rsidR="00EE0945" w:rsidRPr="00EE0945" w14:paraId="582F20DA" w14:textId="77777777" w:rsidTr="00546D79">
        <w:tc>
          <w:tcPr>
            <w:tcW w:w="2410" w:type="dxa"/>
          </w:tcPr>
          <w:p w14:paraId="73022C81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100</w:t>
            </w:r>
          </w:p>
        </w:tc>
        <w:tc>
          <w:tcPr>
            <w:tcW w:w="3475" w:type="dxa"/>
          </w:tcPr>
          <w:p w14:paraId="3572418E" w14:textId="7C59B6BF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100 dávek (</w:t>
            </w:r>
            <w:r w:rsidR="0003609B">
              <w:rPr>
                <w:sz w:val="22"/>
                <w:szCs w:val="22"/>
              </w:rPr>
              <w:t>lahvička</w:t>
            </w:r>
            <w:r w:rsidRPr="00EE0945">
              <w:rPr>
                <w:sz w:val="22"/>
                <w:szCs w:val="22"/>
              </w:rPr>
              <w:t xml:space="preserve"> 100 ml)</w:t>
            </w:r>
          </w:p>
        </w:tc>
        <w:tc>
          <w:tcPr>
            <w:tcW w:w="2762" w:type="dxa"/>
          </w:tcPr>
          <w:p w14:paraId="7B49C59D" w14:textId="77777777" w:rsidR="00EE0945" w:rsidRPr="00EE0945" w:rsidRDefault="00EE0945" w:rsidP="00EE0945">
            <w:pPr>
              <w:jc w:val="center"/>
              <w:rPr>
                <w:sz w:val="22"/>
                <w:szCs w:val="22"/>
              </w:rPr>
            </w:pPr>
            <w:r w:rsidRPr="00EE0945">
              <w:rPr>
                <w:sz w:val="22"/>
                <w:szCs w:val="22"/>
              </w:rPr>
              <w:t>200 ml</w:t>
            </w:r>
          </w:p>
        </w:tc>
      </w:tr>
    </w:tbl>
    <w:p w14:paraId="230C3F1D" w14:textId="77777777" w:rsidR="00EE0945" w:rsidRPr="00EE0945" w:rsidRDefault="00EE0945" w:rsidP="00EE0945">
      <w:pPr>
        <w:rPr>
          <w:sz w:val="22"/>
          <w:szCs w:val="22"/>
        </w:rPr>
      </w:pPr>
    </w:p>
    <w:p w14:paraId="27DDEEF0" w14:textId="18C4CAB4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Ředění rekonstituované vakcíny v pitné vodě se provádí podle odměřeného příjmu pitné vody prasaty předchozí den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to v období </w:t>
      </w:r>
      <w:r w:rsidR="00C953A9">
        <w:rPr>
          <w:sz w:val="22"/>
          <w:szCs w:val="22"/>
        </w:rPr>
        <w:t>4</w:t>
      </w:r>
      <w:r w:rsidR="00C953A9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>hodin v době plánového podání přípravku.</w:t>
      </w:r>
    </w:p>
    <w:p w14:paraId="082437E5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70810356" w14:textId="77777777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</w:rPr>
      </w:pPr>
      <w:r w:rsidRPr="00EE0945">
        <w:rPr>
          <w:sz w:val="22"/>
          <w:szCs w:val="22"/>
          <w:u w:val="single"/>
        </w:rPr>
        <w:t>Vakcinace prostřednictvím tekutého krmiva</w:t>
      </w:r>
      <w:r w:rsidRPr="00EE0945">
        <w:rPr>
          <w:sz w:val="22"/>
          <w:szCs w:val="22"/>
        </w:rPr>
        <w:t>:</w:t>
      </w:r>
    </w:p>
    <w:p w14:paraId="2069EE75" w14:textId="77777777" w:rsidR="00EE0945" w:rsidRPr="00EE0945" w:rsidRDefault="00EE0945" w:rsidP="00EE0945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  <w:r w:rsidRPr="00EE0945">
        <w:rPr>
          <w:sz w:val="22"/>
          <w:szCs w:val="22"/>
          <w:lang w:eastAsia="de-DE"/>
        </w:rPr>
        <w:t xml:space="preserve">Krmné systémy </w:t>
      </w:r>
      <w:r w:rsidR="001547C0" w:rsidRPr="00EE0945">
        <w:rPr>
          <w:sz w:val="22"/>
          <w:szCs w:val="22"/>
          <w:lang w:eastAsia="de-DE"/>
        </w:rPr>
        <w:t>a</w:t>
      </w:r>
      <w:r w:rsidR="001547C0">
        <w:rPr>
          <w:sz w:val="22"/>
          <w:szCs w:val="22"/>
          <w:lang w:eastAsia="de-DE"/>
        </w:rPr>
        <w:t> </w:t>
      </w:r>
      <w:r w:rsidRPr="00EE0945">
        <w:rPr>
          <w:sz w:val="22"/>
          <w:szCs w:val="22"/>
          <w:lang w:eastAsia="de-DE"/>
        </w:rPr>
        <w:t xml:space="preserve">míchací zařízení musí být vyčištěny, aby v nich nezůstaly zbytky antimikrobiálních přípravků, čisticích nebo dezinfekčních prostředků. </w:t>
      </w:r>
    </w:p>
    <w:p w14:paraId="1AEDCDDB" w14:textId="77777777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</w:rPr>
      </w:pPr>
    </w:p>
    <w:p w14:paraId="2FFF0BBF" w14:textId="50A124E5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Vypočítejte požadovaný počet </w:t>
      </w:r>
      <w:r w:rsidR="0003609B">
        <w:rPr>
          <w:sz w:val="22"/>
          <w:szCs w:val="22"/>
        </w:rPr>
        <w:t>lahviček</w:t>
      </w:r>
      <w:r w:rsidR="0003609B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>s vakcínou podle výše uvedené tabulky.</w:t>
      </w:r>
    </w:p>
    <w:p w14:paraId="66727946" w14:textId="77777777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</w:rPr>
      </w:pPr>
    </w:p>
    <w:p w14:paraId="50A358EE" w14:textId="77777777" w:rsidR="00EE0945" w:rsidRPr="00EE0945" w:rsidRDefault="00EE0945" w:rsidP="00EE0945">
      <w:pPr>
        <w:tabs>
          <w:tab w:val="left" w:pos="0"/>
        </w:tabs>
        <w:rPr>
          <w:sz w:val="22"/>
          <w:szCs w:val="22"/>
        </w:rPr>
      </w:pPr>
      <w:r w:rsidRPr="00EE0945">
        <w:rPr>
          <w:sz w:val="22"/>
          <w:szCs w:val="22"/>
        </w:rPr>
        <w:t xml:space="preserve">Určete množství krmiva, které zvířata zkonzumují během jedné fáze krmení do 4 hodin. Množství krmiva je třeba stanovit dle příjmu krmiva </w:t>
      </w:r>
      <w:r w:rsidR="001547C0" w:rsidRPr="00EE0945">
        <w:rPr>
          <w:sz w:val="22"/>
          <w:szCs w:val="22"/>
        </w:rPr>
        <w:t>z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předchozího dne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ve stejné fázi krmení, pro kterou je vakcinace plánována.</w:t>
      </w:r>
    </w:p>
    <w:p w14:paraId="25978EE2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42514792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43339337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9.</w:t>
      </w:r>
      <w:r w:rsidRPr="00EE0945">
        <w:rPr>
          <w:b/>
          <w:sz w:val="22"/>
          <w:szCs w:val="22"/>
        </w:rPr>
        <w:tab/>
        <w:t>POKYNY PRO SPRÁVNÉ PODÁNÍ</w:t>
      </w:r>
    </w:p>
    <w:p w14:paraId="2CA38364" w14:textId="77777777" w:rsidR="00EE0945" w:rsidRPr="00EE0945" w:rsidRDefault="00EE0945" w:rsidP="00EE0945">
      <w:pPr>
        <w:rPr>
          <w:sz w:val="22"/>
          <w:szCs w:val="22"/>
          <w:u w:val="single"/>
        </w:rPr>
      </w:pPr>
    </w:p>
    <w:p w14:paraId="17F46813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  <w:u w:val="single"/>
        </w:rPr>
        <w:t>Vakcinace prostřednictvím systému pitné vody:</w:t>
      </w:r>
    </w:p>
    <w:p w14:paraId="16496517" w14:textId="1EC2BB09" w:rsid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Prasata, v závislosti na teplotě prostředí, obecně přijímají tekutinu v množství, které tvoří 8 až 12% jejich </w:t>
      </w:r>
      <w:r w:rsidR="0003609B">
        <w:rPr>
          <w:sz w:val="22"/>
          <w:szCs w:val="22"/>
        </w:rPr>
        <w:t>živé</w:t>
      </w:r>
      <w:r w:rsidR="0003609B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 xml:space="preserve">hmotnosti. Aktuální množství přijímané vody se může podstatně měnit v závislosti na několika faktorech. Pro účinnost produktu je hlavní, aby prase přijalo alespoň doporučenou dávku. Proto se doporučuje stanovit aktuální příjem vody,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to v období </w:t>
      </w:r>
      <w:r w:rsidR="000B1855">
        <w:rPr>
          <w:sz w:val="22"/>
          <w:szCs w:val="22"/>
        </w:rPr>
        <w:t>4</w:t>
      </w:r>
      <w:r w:rsidR="000B1855" w:rsidRPr="00EE0945">
        <w:rPr>
          <w:sz w:val="22"/>
          <w:szCs w:val="22"/>
        </w:rPr>
        <w:t xml:space="preserve"> </w:t>
      </w:r>
      <w:r w:rsidRPr="00EE0945">
        <w:rPr>
          <w:sz w:val="22"/>
          <w:szCs w:val="22"/>
        </w:rPr>
        <w:t>hodin den před vakcinací.</w:t>
      </w:r>
    </w:p>
    <w:p w14:paraId="18B7E213" w14:textId="77777777" w:rsidR="00FB7B4D" w:rsidRDefault="00FB7B4D" w:rsidP="00EE0945">
      <w:pPr>
        <w:rPr>
          <w:sz w:val="22"/>
          <w:szCs w:val="22"/>
        </w:rPr>
      </w:pPr>
    </w:p>
    <w:p w14:paraId="6168A7A6" w14:textId="77777777" w:rsidR="00FB7B4D" w:rsidRPr="00A422E6" w:rsidRDefault="00FB7B4D" w:rsidP="00EE0945">
      <w:pPr>
        <w:rPr>
          <w:sz w:val="22"/>
          <w:szCs w:val="22"/>
        </w:rPr>
      </w:pPr>
      <w:r w:rsidRPr="00A422E6">
        <w:rPr>
          <w:sz w:val="22"/>
          <w:szCs w:val="22"/>
        </w:rPr>
        <w:t>Při aplikaci vakcíny do žlabu je nutné zajistit, aby zvířata spotřebovala celý objem vody s vakcínou během 4 hodin. Při vakcinaci pomocí dávkovače je nutné naměřit objem zásobního roztoku tak, aby vystačil na 4 hodiny vakcinace.</w:t>
      </w:r>
    </w:p>
    <w:p w14:paraId="06F486B7" w14:textId="77777777" w:rsidR="00EE0945" w:rsidRPr="00EE0945" w:rsidRDefault="00EE0945" w:rsidP="00EE0945">
      <w:pPr>
        <w:rPr>
          <w:sz w:val="22"/>
          <w:szCs w:val="22"/>
        </w:rPr>
      </w:pPr>
    </w:p>
    <w:p w14:paraId="6DE0D42C" w14:textId="77777777" w:rsidR="00EE0945" w:rsidRPr="00EE0945" w:rsidRDefault="00EE0945" w:rsidP="00EE0945">
      <w:pPr>
        <w:rPr>
          <w:sz w:val="22"/>
          <w:szCs w:val="22"/>
          <w:lang w:eastAsia="de-DE"/>
        </w:rPr>
      </w:pPr>
      <w:r w:rsidRPr="00EE0945">
        <w:rPr>
          <w:sz w:val="22"/>
          <w:szCs w:val="22"/>
          <w:lang w:eastAsia="de-DE"/>
        </w:rPr>
        <w:t>Jako stabilizátor se doporučuje do pitné vody před aplikací přípravku přidat odtučněné mléko v prášku nebo roztok thiosulfátu sodného. Konečná koncentrace odtučněného mléka v prášku má být 2,5 g/l. Konečná koncentrace thiosulfátu sodného má být přibližně 0,055 g/l.</w:t>
      </w:r>
    </w:p>
    <w:p w14:paraId="653896F1" w14:textId="77777777" w:rsidR="00EE0945" w:rsidRPr="00EE0945" w:rsidRDefault="00EE0945" w:rsidP="00EE0945">
      <w:pPr>
        <w:jc w:val="both"/>
        <w:rPr>
          <w:sz w:val="22"/>
          <w:szCs w:val="22"/>
          <w:lang w:eastAsia="de-DE"/>
        </w:rPr>
      </w:pPr>
    </w:p>
    <w:p w14:paraId="4703783D" w14:textId="62CC8955" w:rsid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Po </w:t>
      </w:r>
      <w:r w:rsidR="00FB7B4D">
        <w:rPr>
          <w:sz w:val="22"/>
          <w:szCs w:val="22"/>
        </w:rPr>
        <w:t xml:space="preserve">naměření </w:t>
      </w:r>
      <w:r w:rsidRPr="00EE0945">
        <w:rPr>
          <w:sz w:val="22"/>
          <w:szCs w:val="22"/>
        </w:rPr>
        <w:t>vypočítan</w:t>
      </w:r>
      <w:r w:rsidR="00FB7B4D">
        <w:rPr>
          <w:sz w:val="22"/>
          <w:szCs w:val="22"/>
        </w:rPr>
        <w:t>ého</w:t>
      </w:r>
      <w:r w:rsidRPr="00EE0945">
        <w:rPr>
          <w:sz w:val="22"/>
          <w:szCs w:val="22"/>
        </w:rPr>
        <w:t xml:space="preserve"> množství vody by měl být do vody přidán thiosulfát sodný nebo odtučněné mléko v prášku. Potom je rekonstituovaná vakcína rozpuštěna buď ve vodě s odtučněným mlékem v prášku nebo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thiosulfátem sodným.</w:t>
      </w:r>
    </w:p>
    <w:p w14:paraId="6B288A15" w14:textId="77777777" w:rsidR="00FB7B4D" w:rsidRDefault="00FB7B4D" w:rsidP="00EE0945">
      <w:pPr>
        <w:rPr>
          <w:sz w:val="22"/>
          <w:szCs w:val="22"/>
        </w:rPr>
      </w:pPr>
    </w:p>
    <w:p w14:paraId="0D46443D" w14:textId="77777777" w:rsidR="00FB7B4D" w:rsidRPr="00EE0945" w:rsidRDefault="00FB7B4D" w:rsidP="00EE0945">
      <w:pPr>
        <w:rPr>
          <w:sz w:val="22"/>
          <w:szCs w:val="22"/>
        </w:rPr>
      </w:pPr>
      <w:r w:rsidRPr="00FB7B4D">
        <w:rPr>
          <w:sz w:val="22"/>
          <w:szCs w:val="22"/>
        </w:rPr>
        <w:t>Žlab nebo dávkovač je možné naplnit až poté, co je rekonstituovaná vakcína ve vodě dostatečně rovnoměrně rozptýlena.</w:t>
      </w:r>
    </w:p>
    <w:p w14:paraId="5BB48E55" w14:textId="77777777" w:rsidR="00EE0945" w:rsidRPr="00EE0945" w:rsidRDefault="00EE0945" w:rsidP="00EE0945">
      <w:pPr>
        <w:rPr>
          <w:sz w:val="22"/>
          <w:szCs w:val="22"/>
        </w:rPr>
      </w:pPr>
    </w:p>
    <w:p w14:paraId="38C5393B" w14:textId="77777777" w:rsidR="00EE0945" w:rsidRPr="00EE0945" w:rsidRDefault="00EE0945" w:rsidP="00EE0945">
      <w:pPr>
        <w:tabs>
          <w:tab w:val="left" w:pos="0"/>
        </w:tabs>
        <w:jc w:val="both"/>
        <w:rPr>
          <w:sz w:val="22"/>
          <w:szCs w:val="22"/>
          <w:lang w:eastAsia="de-DE"/>
        </w:rPr>
      </w:pPr>
      <w:r w:rsidRPr="00EE0945">
        <w:rPr>
          <w:sz w:val="22"/>
          <w:szCs w:val="22"/>
          <w:u w:val="single"/>
        </w:rPr>
        <w:t>Vakcinace prostřednictvím tekutého krmiva</w:t>
      </w:r>
      <w:r w:rsidRPr="00EE0945">
        <w:rPr>
          <w:sz w:val="22"/>
          <w:szCs w:val="22"/>
        </w:rPr>
        <w:t>:</w:t>
      </w:r>
    </w:p>
    <w:p w14:paraId="01316AEC" w14:textId="77777777" w:rsidR="00EE0945" w:rsidRPr="00EE0945" w:rsidRDefault="00EE0945" w:rsidP="00EE0945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  <w:r w:rsidRPr="00EE0945">
        <w:rPr>
          <w:sz w:val="22"/>
          <w:szCs w:val="22"/>
        </w:rPr>
        <w:t xml:space="preserve">Za pomocí pitné vody připravte čerstvé tekuté krmivo. Pro vakcinaci se nedoporučuje použití krmiva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řízenou fermentací</w:t>
      </w:r>
      <w:r w:rsidRPr="00EE0945">
        <w:t xml:space="preserve"> </w:t>
      </w:r>
      <w:r w:rsidRPr="00EE0945">
        <w:rPr>
          <w:sz w:val="22"/>
          <w:szCs w:val="22"/>
        </w:rPr>
        <w:t xml:space="preserve">nebo krmiva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obsahem formaldehydu, jelikož stabilita vakcíny nebyla pro tento druh krmiva testována. Rekonstituujte vakcínu pomocí dodaného rozpouštědla. Do zcela připraveného tekutého krmiva přidejte rekonstituovanou vakcínu.</w:t>
      </w:r>
    </w:p>
    <w:p w14:paraId="5FDF9515" w14:textId="77777777" w:rsidR="00EE0945" w:rsidRPr="00EE0945" w:rsidRDefault="00EE0945" w:rsidP="00EE0945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</w:p>
    <w:p w14:paraId="1F672D0F" w14:textId="77777777" w:rsidR="00EE0945" w:rsidRPr="00EE0945" w:rsidRDefault="00EE0945" w:rsidP="00EE0945">
      <w:pPr>
        <w:tabs>
          <w:tab w:val="left" w:pos="0"/>
          <w:tab w:val="left" w:pos="709"/>
          <w:tab w:val="left" w:pos="851"/>
        </w:tabs>
        <w:rPr>
          <w:sz w:val="22"/>
          <w:szCs w:val="22"/>
        </w:rPr>
      </w:pPr>
      <w:r w:rsidRPr="00EE0945">
        <w:rPr>
          <w:sz w:val="22"/>
          <w:szCs w:val="22"/>
        </w:rPr>
        <w:t xml:space="preserve">Případně pro usnadnění homogenního rozmíchání může být rekonstituovaná vakcína dále ředěna pro získání většího objemu. Tento postup je nutné provést pomocí čerstvé pitné vody obsahující 2,5 g/litr odstředěného sušeného mléka nebo 0,055 g/litr thiosíranu sodného,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pak následně promíchat s tekutým krmivem. Zajistěte, aby byla rekonstituovaná vakcína v krmivu rovnoměrně rozložená.</w:t>
      </w:r>
    </w:p>
    <w:p w14:paraId="54386301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 </w:t>
      </w:r>
    </w:p>
    <w:p w14:paraId="123AECF1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79A08947" w14:textId="3905BC65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10.</w:t>
      </w:r>
      <w:r w:rsidRPr="00EE0945">
        <w:rPr>
          <w:b/>
          <w:sz w:val="22"/>
          <w:szCs w:val="22"/>
        </w:rPr>
        <w:tab/>
        <w:t>OCHRANNÁ</w:t>
      </w:r>
      <w:r w:rsidR="008274D7">
        <w:rPr>
          <w:b/>
          <w:sz w:val="22"/>
          <w:szCs w:val="22"/>
        </w:rPr>
        <w:t>(É)</w:t>
      </w:r>
      <w:r w:rsidRPr="00EE0945">
        <w:rPr>
          <w:b/>
          <w:sz w:val="22"/>
          <w:szCs w:val="22"/>
        </w:rPr>
        <w:t xml:space="preserve"> LHŮTA</w:t>
      </w:r>
      <w:r w:rsidR="008274D7">
        <w:rPr>
          <w:b/>
          <w:sz w:val="22"/>
          <w:szCs w:val="22"/>
        </w:rPr>
        <w:t>(Y)</w:t>
      </w:r>
      <w:r w:rsidRPr="00EE0945">
        <w:rPr>
          <w:b/>
          <w:sz w:val="22"/>
          <w:szCs w:val="22"/>
        </w:rPr>
        <w:t xml:space="preserve"> </w:t>
      </w:r>
    </w:p>
    <w:p w14:paraId="1EBF5DAF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2E79C3D7" w14:textId="77777777" w:rsidR="00EE0945" w:rsidRPr="00EE0945" w:rsidRDefault="00EE0945" w:rsidP="00EE0945">
      <w:pPr>
        <w:jc w:val="both"/>
        <w:rPr>
          <w:iCs/>
          <w:sz w:val="22"/>
          <w:szCs w:val="22"/>
        </w:rPr>
      </w:pPr>
      <w:r w:rsidRPr="00EE0945">
        <w:rPr>
          <w:sz w:val="22"/>
          <w:szCs w:val="22"/>
        </w:rPr>
        <w:t>Bez ochranných lhůt.</w:t>
      </w:r>
    </w:p>
    <w:p w14:paraId="105ACA9A" w14:textId="77777777" w:rsidR="00EE0945" w:rsidRPr="00EE0945" w:rsidRDefault="00EE0945" w:rsidP="00EE0945">
      <w:pPr>
        <w:jc w:val="both"/>
        <w:rPr>
          <w:iCs/>
          <w:sz w:val="22"/>
          <w:szCs w:val="22"/>
        </w:rPr>
      </w:pPr>
    </w:p>
    <w:p w14:paraId="061B31F7" w14:textId="77777777" w:rsidR="00EE0945" w:rsidRPr="00EE0945" w:rsidRDefault="00EE0945" w:rsidP="00EE0945">
      <w:pPr>
        <w:jc w:val="both"/>
        <w:rPr>
          <w:iCs/>
          <w:sz w:val="22"/>
          <w:szCs w:val="22"/>
        </w:rPr>
      </w:pPr>
    </w:p>
    <w:p w14:paraId="5C589729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11.</w:t>
      </w:r>
      <w:r w:rsidRPr="00EE0945">
        <w:rPr>
          <w:b/>
          <w:sz w:val="22"/>
          <w:szCs w:val="22"/>
        </w:rPr>
        <w:tab/>
        <w:t>ZVLÁŠTNÍ OPATŘENÍ PRO UCHOVÁVÁNÍ</w:t>
      </w:r>
    </w:p>
    <w:p w14:paraId="4DABF635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91121D3" w14:textId="18FA9779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Uchovávat mimo </w:t>
      </w:r>
      <w:r w:rsidR="0012501D">
        <w:rPr>
          <w:sz w:val="22"/>
          <w:szCs w:val="22"/>
        </w:rPr>
        <w:t xml:space="preserve">dohled a </w:t>
      </w:r>
      <w:r w:rsidRPr="00EE0945">
        <w:rPr>
          <w:sz w:val="22"/>
          <w:szCs w:val="22"/>
        </w:rPr>
        <w:t>dosah dětí.</w:t>
      </w:r>
    </w:p>
    <w:p w14:paraId="014B7BF0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Uchovávejte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přepravujte chlazené (2 </w:t>
      </w:r>
      <w:r w:rsidRPr="00EE0945">
        <w:rPr>
          <w:sz w:val="22"/>
          <w:szCs w:val="22"/>
        </w:rPr>
        <w:sym w:font="Symbol" w:char="F0B0"/>
      </w:r>
      <w:r w:rsidRPr="00EE0945">
        <w:rPr>
          <w:sz w:val="22"/>
          <w:szCs w:val="22"/>
        </w:rPr>
        <w:t xml:space="preserve">C – 8 </w:t>
      </w:r>
      <w:r w:rsidRPr="00EE0945">
        <w:rPr>
          <w:sz w:val="22"/>
          <w:szCs w:val="22"/>
        </w:rPr>
        <w:sym w:font="Symbol" w:char="F0B0"/>
      </w:r>
      <w:r w:rsidRPr="00EE0945">
        <w:rPr>
          <w:sz w:val="22"/>
          <w:szCs w:val="22"/>
        </w:rPr>
        <w:t>C).</w:t>
      </w:r>
    </w:p>
    <w:p w14:paraId="47DE6953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Chraňte před mrazem.</w:t>
      </w:r>
    </w:p>
    <w:p w14:paraId="3A7B6567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Chraňte před světlem.</w:t>
      </w:r>
    </w:p>
    <w:p w14:paraId="2AEDF3F7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Doba použitelnosti po rekonstituci podle návodu: 4 hodiny.</w:t>
      </w:r>
    </w:p>
    <w:p w14:paraId="05B51284" w14:textId="140D3AD9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Nepoužívejte tento veterinární léčivý přípravek po uplynutí doby použitelnosti uvedené na </w:t>
      </w:r>
      <w:r w:rsidR="0012501D">
        <w:rPr>
          <w:sz w:val="22"/>
          <w:szCs w:val="22"/>
        </w:rPr>
        <w:t>krabičce</w:t>
      </w:r>
      <w:r w:rsidRPr="00EE0945">
        <w:rPr>
          <w:sz w:val="22"/>
          <w:szCs w:val="22"/>
        </w:rPr>
        <w:t xml:space="preserve">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etiketě</w:t>
      </w:r>
      <w:r w:rsidR="00465F87">
        <w:rPr>
          <w:sz w:val="22"/>
          <w:szCs w:val="22"/>
        </w:rPr>
        <w:t xml:space="preserve"> po</w:t>
      </w:r>
      <w:r w:rsidRPr="00EE0945">
        <w:rPr>
          <w:sz w:val="22"/>
          <w:szCs w:val="22"/>
        </w:rPr>
        <w:t xml:space="preserve"> EXP.</w:t>
      </w:r>
    </w:p>
    <w:p w14:paraId="0E9405E2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FB25DDB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8C78195" w14:textId="77777777" w:rsidR="00EE0945" w:rsidRPr="00EE0945" w:rsidRDefault="00EE0945" w:rsidP="00EE0945">
      <w:pPr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12.</w:t>
      </w:r>
      <w:r w:rsidRPr="00EE0945">
        <w:rPr>
          <w:b/>
          <w:sz w:val="22"/>
          <w:szCs w:val="22"/>
        </w:rPr>
        <w:tab/>
        <w:t>ZVLÁŠTNÍ UPOZORNĚNÍ</w:t>
      </w:r>
    </w:p>
    <w:p w14:paraId="78C327F6" w14:textId="77777777" w:rsidR="00FB7B4D" w:rsidRPr="00EE0945" w:rsidRDefault="00FB7B4D" w:rsidP="00EE0945">
      <w:pPr>
        <w:jc w:val="both"/>
        <w:rPr>
          <w:b/>
          <w:sz w:val="22"/>
          <w:szCs w:val="22"/>
        </w:rPr>
      </w:pPr>
    </w:p>
    <w:p w14:paraId="71E10BB7" w14:textId="77777777" w:rsidR="00B5550E" w:rsidRPr="00A422E6" w:rsidRDefault="00B5550E" w:rsidP="00EE0945">
      <w:pPr>
        <w:rPr>
          <w:sz w:val="22"/>
          <w:szCs w:val="22"/>
          <w:u w:val="single"/>
        </w:rPr>
      </w:pPr>
      <w:r w:rsidRPr="00A422E6">
        <w:rPr>
          <w:sz w:val="22"/>
          <w:szCs w:val="22"/>
          <w:u w:val="single"/>
        </w:rPr>
        <w:t>Zvláštní upozornění pro každý cílový druh:</w:t>
      </w:r>
    </w:p>
    <w:p w14:paraId="33DD0811" w14:textId="77777777" w:rsidR="00465F87" w:rsidRDefault="00465F87" w:rsidP="00465F87">
      <w:pPr>
        <w:rPr>
          <w:sz w:val="22"/>
          <w:szCs w:val="22"/>
        </w:rPr>
      </w:pPr>
      <w:r w:rsidRPr="00F30D3F">
        <w:rPr>
          <w:szCs w:val="22"/>
        </w:rPr>
        <w:t>Vakcinovat pouze zdravá zvířata.</w:t>
      </w:r>
    </w:p>
    <w:p w14:paraId="36BB772E" w14:textId="77777777" w:rsidR="001D2974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Vakcína nebyla testována </w:t>
      </w:r>
      <w:r w:rsidR="001547C0" w:rsidRPr="00EE0945">
        <w:rPr>
          <w:sz w:val="22"/>
          <w:szCs w:val="22"/>
        </w:rPr>
        <w:t>u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chovných kanců. </w:t>
      </w:r>
    </w:p>
    <w:p w14:paraId="395650DC" w14:textId="2ADB3636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Proto použití </w:t>
      </w:r>
      <w:r w:rsidR="001547C0" w:rsidRPr="00EE0945">
        <w:rPr>
          <w:sz w:val="22"/>
          <w:szCs w:val="22"/>
        </w:rPr>
        <w:t>u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chovných kanců není doporučováno.</w:t>
      </w:r>
    </w:p>
    <w:p w14:paraId="3F68E8BB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36B51B7C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 xml:space="preserve">Zvířata, kterým se aplikují antimikrobiální přípravky, které jsou účinné proti </w:t>
      </w:r>
      <w:r w:rsidRPr="00EE0945">
        <w:rPr>
          <w:i/>
          <w:sz w:val="22"/>
          <w:szCs w:val="22"/>
        </w:rPr>
        <w:t>Lawsonia spp</w:t>
      </w:r>
      <w:r w:rsidRPr="00EE0945">
        <w:rPr>
          <w:sz w:val="22"/>
          <w:szCs w:val="22"/>
        </w:rPr>
        <w:t xml:space="preserve">., se nesmí přípravkem vakcinovat. Takové antimikrobiální přípravky se nesmí minimálně tři dny před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tři dny po aplikací vakcíny podávat (viz bod „Interakce“).</w:t>
      </w:r>
    </w:p>
    <w:p w14:paraId="5CEC3DCF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6E0C1F43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>Účinnost revakcinace není známa.</w:t>
      </w:r>
    </w:p>
    <w:p w14:paraId="62185136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59F078D4" w14:textId="77777777" w:rsidR="00EE0945" w:rsidRPr="00EE0945" w:rsidRDefault="00EE0945" w:rsidP="00C26D6E">
      <w:pPr>
        <w:keepNext/>
        <w:jc w:val="both"/>
        <w:rPr>
          <w:bCs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 xml:space="preserve">Zvláštní opatření pro použití </w:t>
      </w:r>
      <w:r w:rsidR="001547C0" w:rsidRPr="00EE0945">
        <w:rPr>
          <w:bCs/>
          <w:sz w:val="22"/>
          <w:szCs w:val="22"/>
          <w:u w:val="single"/>
        </w:rPr>
        <w:t>u</w:t>
      </w:r>
      <w:r w:rsidR="001547C0">
        <w:rPr>
          <w:bCs/>
          <w:sz w:val="22"/>
          <w:szCs w:val="22"/>
          <w:u w:val="single"/>
        </w:rPr>
        <w:t> </w:t>
      </w:r>
      <w:r w:rsidRPr="00EE0945">
        <w:rPr>
          <w:bCs/>
          <w:sz w:val="22"/>
          <w:szCs w:val="22"/>
          <w:u w:val="single"/>
        </w:rPr>
        <w:t>zvířat</w:t>
      </w:r>
    </w:p>
    <w:p w14:paraId="4C67B140" w14:textId="5A9755B2" w:rsidR="00EE0945" w:rsidRPr="00EE0945" w:rsidRDefault="00EE0945" w:rsidP="00C26D6E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V případě anafylaktických reakcí je doporučena symptomatická léčba zahrnující podání glukokortikoidů, adrenalinu nebo antihistaminik.</w:t>
      </w:r>
    </w:p>
    <w:p w14:paraId="4107C356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61DD80F9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Přípravek je atenuovaná, živá vakcína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nelze vyloučit možnost rozšíření patogena na nevakcinovaná zvířata. Avšak na základě provedených studií s kontrolními vnímavými prasaty je frekvence šíření atenuovaného kmene </w:t>
      </w:r>
      <w:r w:rsidRPr="00EE0945">
        <w:rPr>
          <w:i/>
          <w:sz w:val="22"/>
          <w:szCs w:val="22"/>
        </w:rPr>
        <w:t xml:space="preserve">Lawsonia intracellularis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s tím spojené riziko velmi nízké. DNA </w:t>
      </w:r>
      <w:r w:rsidRPr="00EE0945">
        <w:rPr>
          <w:i/>
          <w:sz w:val="22"/>
          <w:szCs w:val="22"/>
        </w:rPr>
        <w:t>Lawsonia intracellularis</w:t>
      </w:r>
      <w:r w:rsidRPr="00EE0945">
        <w:rPr>
          <w:sz w:val="22"/>
          <w:szCs w:val="22"/>
        </w:rPr>
        <w:t xml:space="preserve"> může být do tří dní po vakcinaci detekována ve vzorcích trusu </w:t>
      </w:r>
      <w:r w:rsidR="001547C0" w:rsidRPr="00EE0945">
        <w:rPr>
          <w:sz w:val="22"/>
          <w:szCs w:val="22"/>
        </w:rPr>
        <w:t>u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více než poloviny vakcinovaných zvířat, proto nemůže být během tohoto období vyloučen přenos z ošetřených zvířat na zvířata zastavená ve stejném kotci. </w:t>
      </w:r>
    </w:p>
    <w:p w14:paraId="09A9BC48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4FA8D83E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bCs/>
          <w:color w:val="333333"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1B7CA44F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Při nakládání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veterinárním léčivým přípravkem je nutno vyhnout se kontaktu s pokožkou.</w:t>
      </w:r>
    </w:p>
    <w:p w14:paraId="17B81FC0" w14:textId="77777777" w:rsidR="00EE0945" w:rsidRPr="00EE0945" w:rsidRDefault="00EE0945" w:rsidP="00EE0945">
      <w:pPr>
        <w:tabs>
          <w:tab w:val="left" w:pos="610"/>
          <w:tab w:val="left" w:pos="9160"/>
        </w:tabs>
        <w:rPr>
          <w:b/>
          <w:color w:val="333333"/>
          <w:sz w:val="22"/>
          <w:szCs w:val="22"/>
        </w:rPr>
      </w:pPr>
      <w:r w:rsidRPr="00EE0945">
        <w:rPr>
          <w:sz w:val="22"/>
          <w:szCs w:val="22"/>
        </w:rPr>
        <w:t xml:space="preserve">V případě náhodného kontaktu s pokožkou je nutno postižené místo umýt mýdlem nebo dezinfekčním prostředkem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důkladně opláchnout vodou.</w:t>
      </w:r>
    </w:p>
    <w:p w14:paraId="0DA6D34F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</w:p>
    <w:p w14:paraId="540526E9" w14:textId="77777777" w:rsidR="00EE0945" w:rsidRPr="00EE0945" w:rsidRDefault="00EE0945" w:rsidP="00EE0945">
      <w:pPr>
        <w:rPr>
          <w:bCs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 xml:space="preserve">Březost </w:t>
      </w:r>
      <w:r w:rsidR="001547C0" w:rsidRPr="00EE0945">
        <w:rPr>
          <w:bCs/>
          <w:sz w:val="22"/>
          <w:szCs w:val="22"/>
          <w:u w:val="single"/>
        </w:rPr>
        <w:t>a</w:t>
      </w:r>
      <w:r w:rsidR="001547C0">
        <w:rPr>
          <w:bCs/>
          <w:sz w:val="22"/>
          <w:szCs w:val="22"/>
          <w:u w:val="single"/>
        </w:rPr>
        <w:t> </w:t>
      </w:r>
      <w:r w:rsidRPr="00EE0945">
        <w:rPr>
          <w:bCs/>
          <w:sz w:val="22"/>
          <w:szCs w:val="22"/>
          <w:u w:val="single"/>
        </w:rPr>
        <w:t>laktace</w:t>
      </w:r>
    </w:p>
    <w:p w14:paraId="64B28EBC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  <w:r w:rsidRPr="00EE0945">
        <w:rPr>
          <w:iCs/>
          <w:sz w:val="22"/>
          <w:szCs w:val="22"/>
        </w:rPr>
        <w:t xml:space="preserve">Po aplikaci vakcíny chovným </w:t>
      </w:r>
      <w:r w:rsidR="001547C0" w:rsidRPr="00EE0945">
        <w:rPr>
          <w:iCs/>
          <w:sz w:val="22"/>
          <w:szCs w:val="22"/>
        </w:rPr>
        <w:t>a</w:t>
      </w:r>
      <w:r w:rsidR="001547C0">
        <w:rPr>
          <w:iCs/>
          <w:sz w:val="22"/>
          <w:szCs w:val="22"/>
        </w:rPr>
        <w:t> </w:t>
      </w:r>
      <w:r w:rsidRPr="00EE0945">
        <w:rPr>
          <w:iCs/>
          <w:sz w:val="22"/>
          <w:szCs w:val="22"/>
        </w:rPr>
        <w:t>březím zvířatům nebyly pozorovány žádné nežádoucí reakce.</w:t>
      </w:r>
    </w:p>
    <w:p w14:paraId="311AB730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b/>
          <w:sz w:val="22"/>
          <w:szCs w:val="22"/>
        </w:rPr>
      </w:pPr>
    </w:p>
    <w:p w14:paraId="68F26DB3" w14:textId="77777777" w:rsidR="00EE0945" w:rsidRPr="00EE0945" w:rsidRDefault="00EE0945" w:rsidP="00EE0945">
      <w:pPr>
        <w:rPr>
          <w:bCs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 xml:space="preserve">Interakce s jinými léčivými přípravky </w:t>
      </w:r>
      <w:r w:rsidR="001547C0" w:rsidRPr="00EE0945">
        <w:rPr>
          <w:bCs/>
          <w:sz w:val="22"/>
          <w:szCs w:val="22"/>
          <w:u w:val="single"/>
        </w:rPr>
        <w:t>a</w:t>
      </w:r>
      <w:r w:rsidR="001547C0">
        <w:rPr>
          <w:bCs/>
          <w:sz w:val="22"/>
          <w:szCs w:val="22"/>
          <w:u w:val="single"/>
        </w:rPr>
        <w:t> </w:t>
      </w:r>
      <w:r w:rsidRPr="00EE0945">
        <w:rPr>
          <w:bCs/>
          <w:sz w:val="22"/>
          <w:szCs w:val="22"/>
          <w:u w:val="single"/>
        </w:rPr>
        <w:t>jiné formy interakce</w:t>
      </w:r>
    </w:p>
    <w:p w14:paraId="37674DE2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 xml:space="preserve">Jelikož se jedná </w:t>
      </w:r>
      <w:r w:rsidR="001547C0" w:rsidRPr="00EE0945">
        <w:rPr>
          <w:sz w:val="22"/>
          <w:szCs w:val="22"/>
        </w:rPr>
        <w:t>o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živou vakcínu, je nutno zamezit současné aplikaci antimikrobiálních přípravků, které jsou účinné proti </w:t>
      </w:r>
      <w:r w:rsidRPr="00EE0945">
        <w:rPr>
          <w:i/>
          <w:sz w:val="22"/>
          <w:szCs w:val="22"/>
        </w:rPr>
        <w:t>Lawsonia spp.,</w:t>
      </w:r>
      <w:r w:rsidRPr="00EE0945">
        <w:rPr>
          <w:sz w:val="22"/>
          <w:szCs w:val="22"/>
        </w:rPr>
        <w:t xml:space="preserve"> minimálně tři dny před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po podání vakcíny (viz bod „Zvláštní upozornění“).</w:t>
      </w:r>
    </w:p>
    <w:p w14:paraId="1123B97C" w14:textId="77777777" w:rsidR="00EE0945" w:rsidRPr="00EE0945" w:rsidRDefault="00EE0945" w:rsidP="00EE0945">
      <w:pPr>
        <w:rPr>
          <w:sz w:val="22"/>
          <w:szCs w:val="22"/>
        </w:rPr>
      </w:pPr>
    </w:p>
    <w:p w14:paraId="228F907B" w14:textId="77777777" w:rsidR="00EE0945" w:rsidRPr="00EE0945" w:rsidRDefault="00EE0945" w:rsidP="00EE0945">
      <w:pPr>
        <w:tabs>
          <w:tab w:val="left" w:pos="610"/>
          <w:tab w:val="left" w:pos="9160"/>
        </w:tabs>
        <w:rPr>
          <w:sz w:val="22"/>
          <w:szCs w:val="22"/>
        </w:rPr>
      </w:pPr>
      <w:r w:rsidRPr="00EE0945">
        <w:rPr>
          <w:sz w:val="22"/>
          <w:szCs w:val="22"/>
        </w:rPr>
        <w:t xml:space="preserve">Nejsou dostupné informace </w:t>
      </w:r>
      <w:r w:rsidR="001547C0" w:rsidRPr="00EE0945">
        <w:rPr>
          <w:sz w:val="22"/>
          <w:szCs w:val="22"/>
        </w:rPr>
        <w:t>o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bezpečnosti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účinnosti této vakcíny, pokud je podávána zároveň s jiným veterinárním léčivým přípravkem. Rozhodnutí </w:t>
      </w:r>
      <w:r w:rsidR="001547C0" w:rsidRPr="00EE0945">
        <w:rPr>
          <w:sz w:val="22"/>
          <w:szCs w:val="22"/>
        </w:rPr>
        <w:t>o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použití této vakcíny před nebo po jakémkoliv jiném veterinárním léčivém přípravku musí být provedeno na základě zvážení jednotlivých případů.</w:t>
      </w:r>
    </w:p>
    <w:p w14:paraId="78A68EA1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</w:p>
    <w:p w14:paraId="28BAAF6D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bCs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 xml:space="preserve">Předávkování (symptomy, první pomoc, antidota) </w:t>
      </w:r>
    </w:p>
    <w:p w14:paraId="1CE8A2AB" w14:textId="77777777" w:rsidR="00EE0945" w:rsidRPr="00EE0945" w:rsidRDefault="00EE0945" w:rsidP="00EE0945">
      <w:pPr>
        <w:tabs>
          <w:tab w:val="left" w:pos="610"/>
          <w:tab w:val="left" w:pos="9160"/>
        </w:tabs>
        <w:rPr>
          <w:sz w:val="22"/>
          <w:szCs w:val="22"/>
        </w:rPr>
      </w:pPr>
      <w:r w:rsidRPr="00EE0945">
        <w:rPr>
          <w:iCs/>
          <w:sz w:val="22"/>
          <w:szCs w:val="22"/>
        </w:rPr>
        <w:t>Ani po</w:t>
      </w:r>
      <w:r w:rsidRPr="00EE0945">
        <w:rPr>
          <w:i/>
          <w:sz w:val="22"/>
          <w:szCs w:val="22"/>
        </w:rPr>
        <w:t xml:space="preserve"> </w:t>
      </w:r>
      <w:r w:rsidRPr="00EE0945">
        <w:rPr>
          <w:iCs/>
          <w:sz w:val="22"/>
          <w:szCs w:val="22"/>
        </w:rPr>
        <w:t>aplikaci desetinásobku doporučované dávky nebyly pozorovány nežádoucí vedlejší účinky přípravku.</w:t>
      </w:r>
    </w:p>
    <w:p w14:paraId="23B54B32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b/>
          <w:sz w:val="22"/>
          <w:szCs w:val="22"/>
        </w:rPr>
      </w:pPr>
    </w:p>
    <w:p w14:paraId="7D12852B" w14:textId="02E6C674" w:rsidR="00EE0945" w:rsidRPr="00EE0945" w:rsidRDefault="00EE0945" w:rsidP="00EE0945">
      <w:pPr>
        <w:tabs>
          <w:tab w:val="left" w:pos="610"/>
          <w:tab w:val="left" w:pos="9160"/>
        </w:tabs>
        <w:rPr>
          <w:bCs/>
          <w:sz w:val="22"/>
          <w:szCs w:val="22"/>
          <w:u w:val="single"/>
        </w:rPr>
      </w:pPr>
      <w:r w:rsidRPr="00EE0945">
        <w:rPr>
          <w:bCs/>
          <w:sz w:val="22"/>
          <w:szCs w:val="22"/>
          <w:u w:val="single"/>
        </w:rPr>
        <w:t>Inkompa</w:t>
      </w:r>
      <w:r w:rsidR="00DD2A55">
        <w:rPr>
          <w:bCs/>
          <w:sz w:val="22"/>
          <w:szCs w:val="22"/>
          <w:u w:val="single"/>
        </w:rPr>
        <w:t>ti</w:t>
      </w:r>
      <w:r w:rsidRPr="00EE0945">
        <w:rPr>
          <w:bCs/>
          <w:sz w:val="22"/>
          <w:szCs w:val="22"/>
          <w:u w:val="single"/>
        </w:rPr>
        <w:t>bility</w:t>
      </w:r>
    </w:p>
    <w:p w14:paraId="4A8BB1D0" w14:textId="77777777" w:rsidR="00EE0945" w:rsidRPr="00EE0945" w:rsidRDefault="00EE0945" w:rsidP="00EE0945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  <w:r w:rsidRPr="00EE0945">
        <w:rPr>
          <w:sz w:val="22"/>
          <w:szCs w:val="22"/>
        </w:rPr>
        <w:t xml:space="preserve">Nemísit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jiným veterinárním léčivým přípravkem </w:t>
      </w:r>
      <w:r w:rsidR="001547C0" w:rsidRPr="00EE0945">
        <w:rPr>
          <w:sz w:val="22"/>
          <w:szCs w:val="22"/>
        </w:rPr>
        <w:t>s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výjimkou rozpouštědla dodaného pro používání s tímto veterinárním léčivým přípravkem.</w:t>
      </w:r>
    </w:p>
    <w:p w14:paraId="6C3167AE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3E63665D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065AC3D9" w14:textId="77777777" w:rsidR="00EE0945" w:rsidRPr="00EE0945" w:rsidRDefault="00EE0945" w:rsidP="00EE0945">
      <w:pPr>
        <w:ind w:left="567" w:hanging="567"/>
        <w:rPr>
          <w:b/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13.</w:t>
      </w:r>
      <w:r w:rsidRPr="00EE0945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631808F0" w14:textId="77777777" w:rsidR="00EE0945" w:rsidRPr="00EE0945" w:rsidRDefault="00EE0945" w:rsidP="00EE0945">
      <w:pPr>
        <w:rPr>
          <w:sz w:val="22"/>
          <w:szCs w:val="22"/>
        </w:rPr>
      </w:pPr>
    </w:p>
    <w:p w14:paraId="2C1BC65E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Léčivé přípravky se nesmí likvidovat prostřednictvím odpadní vody či domovního odpadu.</w:t>
      </w:r>
    </w:p>
    <w:p w14:paraId="4095BC32" w14:textId="77777777" w:rsidR="00EE0945" w:rsidRPr="00EE0945" w:rsidRDefault="001547C0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EE0945" w:rsidRPr="00EE0945">
        <w:rPr>
          <w:sz w:val="22"/>
          <w:szCs w:val="22"/>
        </w:rPr>
        <w:t xml:space="preserve">možnostech likvidace nepotřebných léčivých přípravků se poraďte </w:t>
      </w:r>
      <w:r w:rsidRPr="00EE0945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="00EE0945" w:rsidRPr="00EE0945">
        <w:rPr>
          <w:sz w:val="22"/>
          <w:szCs w:val="22"/>
        </w:rPr>
        <w:t>vaším veterinárním lékařem. Tato opatření napomáhají chránit životní prostředí.</w:t>
      </w:r>
    </w:p>
    <w:p w14:paraId="4B619EE8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7B1A14D3" w14:textId="77777777" w:rsidR="00EE0945" w:rsidRPr="00EE0945" w:rsidRDefault="00EE0945" w:rsidP="00EE0945">
      <w:pPr>
        <w:jc w:val="both"/>
        <w:rPr>
          <w:b/>
          <w:sz w:val="22"/>
          <w:szCs w:val="22"/>
        </w:rPr>
      </w:pPr>
    </w:p>
    <w:p w14:paraId="329DEE18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14.</w:t>
      </w:r>
      <w:r w:rsidRPr="00EE0945">
        <w:rPr>
          <w:b/>
          <w:sz w:val="22"/>
          <w:szCs w:val="22"/>
        </w:rPr>
        <w:tab/>
        <w:t>DATUM POSLEDNÍ REVIZE PŘÍBALOVÉ INFORMACE</w:t>
      </w:r>
    </w:p>
    <w:p w14:paraId="6FC3E9E7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49F1454B" w14:textId="068B5BD7" w:rsidR="00EE0945" w:rsidRPr="00EE0945" w:rsidRDefault="00F20AE8" w:rsidP="00EE094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Prosinec </w:t>
      </w:r>
      <w:bookmarkStart w:id="0" w:name="_GoBack"/>
      <w:bookmarkEnd w:id="0"/>
      <w:r w:rsidR="00465F87">
        <w:rPr>
          <w:sz w:val="22"/>
          <w:szCs w:val="22"/>
        </w:rPr>
        <w:t>2020</w:t>
      </w:r>
    </w:p>
    <w:p w14:paraId="47FC2A2F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2FEB220B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6A85D915" w14:textId="77777777" w:rsidR="00EE0945" w:rsidRPr="00EE0945" w:rsidRDefault="00EE0945" w:rsidP="00EE0945">
      <w:pPr>
        <w:rPr>
          <w:sz w:val="22"/>
          <w:szCs w:val="22"/>
        </w:rPr>
      </w:pPr>
      <w:r w:rsidRPr="00A422E6">
        <w:rPr>
          <w:b/>
          <w:sz w:val="22"/>
          <w:szCs w:val="22"/>
          <w:highlight w:val="lightGray"/>
        </w:rPr>
        <w:t>15.</w:t>
      </w:r>
      <w:r w:rsidRPr="00EE0945">
        <w:rPr>
          <w:b/>
          <w:sz w:val="22"/>
          <w:szCs w:val="22"/>
        </w:rPr>
        <w:tab/>
        <w:t>DALŠÍ INFORMACE</w:t>
      </w:r>
    </w:p>
    <w:p w14:paraId="2BE5F9B5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30A970FE" w14:textId="77777777" w:rsidR="00EE0945" w:rsidRPr="00EE0945" w:rsidRDefault="00EE0945" w:rsidP="00EE0945">
      <w:pPr>
        <w:rPr>
          <w:strike/>
          <w:sz w:val="22"/>
          <w:szCs w:val="22"/>
        </w:rPr>
      </w:pPr>
      <w:r w:rsidRPr="00EE0945">
        <w:rPr>
          <w:sz w:val="22"/>
          <w:szCs w:val="22"/>
        </w:rPr>
        <w:t xml:space="preserve">Vakcína je určena ke stimulaci vývoje aktivní imunitní reakce na </w:t>
      </w:r>
      <w:r w:rsidRPr="00EE0945">
        <w:rPr>
          <w:i/>
          <w:sz w:val="22"/>
          <w:szCs w:val="22"/>
        </w:rPr>
        <w:t>Lawsonia intracellularis</w:t>
      </w:r>
      <w:r w:rsidRPr="00EE0945">
        <w:rPr>
          <w:iCs/>
          <w:sz w:val="22"/>
          <w:szCs w:val="22"/>
        </w:rPr>
        <w:t xml:space="preserve"> </w:t>
      </w:r>
      <w:r w:rsidR="001547C0" w:rsidRPr="00EE0945">
        <w:rPr>
          <w:iCs/>
          <w:sz w:val="22"/>
          <w:szCs w:val="22"/>
        </w:rPr>
        <w:t>u</w:t>
      </w:r>
      <w:r w:rsidR="001547C0">
        <w:rPr>
          <w:iCs/>
          <w:sz w:val="22"/>
          <w:szCs w:val="22"/>
        </w:rPr>
        <w:t> </w:t>
      </w:r>
      <w:r w:rsidRPr="00EE0945">
        <w:rPr>
          <w:iCs/>
          <w:sz w:val="22"/>
          <w:szCs w:val="22"/>
        </w:rPr>
        <w:t>prasat</w:t>
      </w:r>
      <w:r w:rsidRPr="00EE0945">
        <w:rPr>
          <w:sz w:val="22"/>
          <w:szCs w:val="22"/>
        </w:rPr>
        <w:t xml:space="preserve">. </w:t>
      </w:r>
    </w:p>
    <w:p w14:paraId="6F608AC0" w14:textId="77777777" w:rsidR="00EE0945" w:rsidRDefault="00EE0945" w:rsidP="00EE0945">
      <w:pPr>
        <w:rPr>
          <w:snapToGrid w:val="0"/>
          <w:sz w:val="22"/>
          <w:szCs w:val="22"/>
          <w:lang w:eastAsia="de-DE"/>
        </w:rPr>
      </w:pPr>
      <w:r w:rsidRPr="00EE0945">
        <w:rPr>
          <w:snapToGrid w:val="0"/>
          <w:sz w:val="22"/>
          <w:szCs w:val="22"/>
          <w:lang w:eastAsia="de-DE"/>
        </w:rPr>
        <w:t xml:space="preserve">Sérokonverze nemusí být obvykle po vakcinaci detekována </w:t>
      </w:r>
      <w:r w:rsidR="001547C0" w:rsidRPr="00EE0945">
        <w:rPr>
          <w:snapToGrid w:val="0"/>
          <w:sz w:val="22"/>
          <w:szCs w:val="22"/>
          <w:lang w:eastAsia="de-DE"/>
        </w:rPr>
        <w:t>a</w:t>
      </w:r>
      <w:r w:rsidR="001547C0">
        <w:rPr>
          <w:snapToGrid w:val="0"/>
          <w:sz w:val="22"/>
          <w:szCs w:val="22"/>
          <w:lang w:eastAsia="de-DE"/>
        </w:rPr>
        <w:t> </w:t>
      </w:r>
      <w:r w:rsidRPr="00EE0945">
        <w:rPr>
          <w:snapToGrid w:val="0"/>
          <w:sz w:val="22"/>
          <w:szCs w:val="22"/>
          <w:lang w:eastAsia="de-DE"/>
        </w:rPr>
        <w:t xml:space="preserve">nesouvisí </w:t>
      </w:r>
      <w:r w:rsidR="001547C0" w:rsidRPr="00EE0945">
        <w:rPr>
          <w:snapToGrid w:val="0"/>
          <w:sz w:val="22"/>
          <w:szCs w:val="22"/>
          <w:lang w:eastAsia="de-DE"/>
        </w:rPr>
        <w:t>s</w:t>
      </w:r>
      <w:r w:rsidR="001547C0">
        <w:rPr>
          <w:snapToGrid w:val="0"/>
          <w:sz w:val="22"/>
          <w:szCs w:val="22"/>
          <w:lang w:eastAsia="de-DE"/>
        </w:rPr>
        <w:t> </w:t>
      </w:r>
      <w:r w:rsidRPr="00EE0945">
        <w:rPr>
          <w:snapToGrid w:val="0"/>
          <w:sz w:val="22"/>
          <w:szCs w:val="22"/>
          <w:lang w:eastAsia="de-DE"/>
        </w:rPr>
        <w:t>ochranou.</w:t>
      </w:r>
    </w:p>
    <w:p w14:paraId="65B7D6B8" w14:textId="77777777" w:rsidR="00B5550E" w:rsidRDefault="00B5550E" w:rsidP="00EE0945">
      <w:pPr>
        <w:rPr>
          <w:snapToGrid w:val="0"/>
          <w:sz w:val="22"/>
          <w:szCs w:val="22"/>
          <w:lang w:eastAsia="de-DE"/>
        </w:rPr>
      </w:pPr>
    </w:p>
    <w:p w14:paraId="58B52B22" w14:textId="359C060A" w:rsidR="00B5550E" w:rsidRPr="00EE0945" w:rsidRDefault="00B5550E" w:rsidP="00EE0945">
      <w:pPr>
        <w:rPr>
          <w:snapToGrid w:val="0"/>
          <w:sz w:val="22"/>
          <w:szCs w:val="22"/>
          <w:lang w:eastAsia="de-DE"/>
        </w:rPr>
      </w:pPr>
      <w:r w:rsidRPr="00B5550E">
        <w:rPr>
          <w:snapToGrid w:val="0"/>
          <w:sz w:val="22"/>
          <w:szCs w:val="22"/>
          <w:lang w:eastAsia="de-DE"/>
        </w:rPr>
        <w:t xml:space="preserve">Vakcína moduluje složení mikrobiomu. Z publikované literatury vyplývá, že tento fakt může snižovat prevalenci Salmonella spp. v akutní fázi infekce a </w:t>
      </w:r>
      <w:r w:rsidR="00F46D47">
        <w:rPr>
          <w:snapToGrid w:val="0"/>
          <w:sz w:val="22"/>
          <w:szCs w:val="22"/>
          <w:lang w:eastAsia="de-DE"/>
        </w:rPr>
        <w:t xml:space="preserve">séroprevalenci </w:t>
      </w:r>
      <w:r w:rsidRPr="00B5550E">
        <w:rPr>
          <w:snapToGrid w:val="0"/>
          <w:sz w:val="22"/>
          <w:szCs w:val="22"/>
          <w:lang w:eastAsia="de-DE"/>
        </w:rPr>
        <w:t>při porážce u prasat sou</w:t>
      </w:r>
      <w:r w:rsidR="00C953A9">
        <w:rPr>
          <w:snapToGrid w:val="0"/>
          <w:sz w:val="22"/>
          <w:szCs w:val="22"/>
          <w:lang w:eastAsia="de-DE"/>
        </w:rPr>
        <w:t>časně</w:t>
      </w:r>
      <w:r w:rsidRPr="00B5550E">
        <w:rPr>
          <w:snapToGrid w:val="0"/>
          <w:sz w:val="22"/>
          <w:szCs w:val="22"/>
          <w:lang w:eastAsia="de-DE"/>
        </w:rPr>
        <w:t xml:space="preserve"> </w:t>
      </w:r>
      <w:r w:rsidR="00465F87">
        <w:rPr>
          <w:snapToGrid w:val="0"/>
          <w:sz w:val="22"/>
          <w:szCs w:val="22"/>
          <w:lang w:eastAsia="de-DE"/>
        </w:rPr>
        <w:t xml:space="preserve">infikovaných </w:t>
      </w:r>
      <w:r w:rsidRPr="00465F87">
        <w:rPr>
          <w:i/>
          <w:snapToGrid w:val="0"/>
          <w:sz w:val="22"/>
          <w:szCs w:val="22"/>
          <w:lang w:eastAsia="de-DE"/>
        </w:rPr>
        <w:t>L. intracellularis</w:t>
      </w:r>
      <w:r w:rsidRPr="00B5550E">
        <w:rPr>
          <w:snapToGrid w:val="0"/>
          <w:sz w:val="22"/>
          <w:szCs w:val="22"/>
          <w:lang w:eastAsia="de-DE"/>
        </w:rPr>
        <w:t xml:space="preserve"> a </w:t>
      </w:r>
      <w:r w:rsidRPr="00465F87">
        <w:rPr>
          <w:i/>
          <w:snapToGrid w:val="0"/>
          <w:sz w:val="22"/>
          <w:szCs w:val="22"/>
          <w:lang w:eastAsia="de-DE"/>
        </w:rPr>
        <w:t>Salmonella enterica</w:t>
      </w:r>
      <w:r w:rsidRPr="00B5550E">
        <w:rPr>
          <w:snapToGrid w:val="0"/>
          <w:sz w:val="22"/>
          <w:szCs w:val="22"/>
          <w:lang w:eastAsia="de-DE"/>
        </w:rPr>
        <w:t>.</w:t>
      </w:r>
    </w:p>
    <w:p w14:paraId="39448C79" w14:textId="77777777" w:rsidR="00EE0945" w:rsidRPr="00EE0945" w:rsidRDefault="00EE0945" w:rsidP="00EE0945">
      <w:pPr>
        <w:tabs>
          <w:tab w:val="left" w:pos="4536"/>
        </w:tabs>
        <w:rPr>
          <w:b/>
          <w:sz w:val="22"/>
          <w:szCs w:val="22"/>
        </w:rPr>
      </w:pPr>
    </w:p>
    <w:p w14:paraId="15CDBEA0" w14:textId="3DA08227" w:rsidR="00EE0945" w:rsidRPr="00EE0945" w:rsidRDefault="00EE0945" w:rsidP="00EE0945">
      <w:pPr>
        <w:tabs>
          <w:tab w:val="left" w:pos="4536"/>
        </w:tabs>
        <w:rPr>
          <w:sz w:val="22"/>
          <w:szCs w:val="22"/>
        </w:rPr>
      </w:pPr>
      <w:r w:rsidRPr="00EE0945">
        <w:rPr>
          <w:sz w:val="22"/>
          <w:szCs w:val="22"/>
        </w:rPr>
        <w:t xml:space="preserve">ATCvet kód: </w:t>
      </w:r>
      <w:r w:rsidRPr="00EE0945">
        <w:rPr>
          <w:bCs/>
          <w:sz w:val="22"/>
          <w:szCs w:val="22"/>
        </w:rPr>
        <w:t>QI09AE04</w:t>
      </w:r>
      <w:r w:rsidRPr="00EE0945">
        <w:rPr>
          <w:b/>
          <w:sz w:val="22"/>
          <w:szCs w:val="22"/>
        </w:rPr>
        <w:t xml:space="preserve"> </w:t>
      </w:r>
      <w:r w:rsidRPr="00EE0945">
        <w:rPr>
          <w:sz w:val="22"/>
          <w:szCs w:val="22"/>
        </w:rPr>
        <w:t>(</w:t>
      </w:r>
      <w:r w:rsidR="00C953A9" w:rsidRPr="00C953A9">
        <w:rPr>
          <w:sz w:val="22"/>
          <w:szCs w:val="22"/>
        </w:rPr>
        <w:t xml:space="preserve">imunologické přípravky pro prasatovité (suidae), </w:t>
      </w:r>
      <w:r w:rsidRPr="00EE0945">
        <w:rPr>
          <w:sz w:val="22"/>
          <w:szCs w:val="22"/>
        </w:rPr>
        <w:t>živé bakteriální vakcíny</w:t>
      </w:r>
      <w:r w:rsidR="00B5550E">
        <w:rPr>
          <w:sz w:val="22"/>
          <w:szCs w:val="22"/>
        </w:rPr>
        <w:t xml:space="preserve"> pro prasata</w:t>
      </w:r>
      <w:r w:rsidRPr="00EE0945">
        <w:rPr>
          <w:sz w:val="22"/>
          <w:szCs w:val="22"/>
        </w:rPr>
        <w:t>,</w:t>
      </w:r>
      <w:r w:rsidRPr="00EE0945">
        <w:rPr>
          <w:bCs/>
          <w:sz w:val="22"/>
          <w:szCs w:val="22"/>
        </w:rPr>
        <w:t xml:space="preserve"> </w:t>
      </w:r>
      <w:r w:rsidRPr="00EE0945">
        <w:rPr>
          <w:bCs/>
          <w:i/>
          <w:sz w:val="22"/>
          <w:szCs w:val="22"/>
        </w:rPr>
        <w:t>Lawsonia</w:t>
      </w:r>
      <w:r w:rsidRPr="00EE0945">
        <w:rPr>
          <w:b/>
          <w:sz w:val="22"/>
          <w:szCs w:val="22"/>
        </w:rPr>
        <w:t>)</w:t>
      </w:r>
    </w:p>
    <w:p w14:paraId="1116AA3D" w14:textId="77777777" w:rsidR="00EE0945" w:rsidRPr="00EE0945" w:rsidRDefault="00EE0945" w:rsidP="00EE0945">
      <w:pPr>
        <w:jc w:val="both"/>
        <w:rPr>
          <w:sz w:val="22"/>
          <w:szCs w:val="22"/>
        </w:rPr>
      </w:pPr>
    </w:p>
    <w:p w14:paraId="2D8D9CC9" w14:textId="02F0F944" w:rsidR="00EE0945" w:rsidRPr="00EE0945" w:rsidRDefault="00EE0945" w:rsidP="00EE0945">
      <w:pPr>
        <w:jc w:val="both"/>
        <w:rPr>
          <w:sz w:val="22"/>
          <w:szCs w:val="22"/>
          <w:u w:val="single"/>
        </w:rPr>
      </w:pPr>
      <w:r w:rsidRPr="00EE0945">
        <w:rPr>
          <w:sz w:val="22"/>
          <w:szCs w:val="22"/>
          <w:u w:val="single"/>
        </w:rPr>
        <w:t>Velikost</w:t>
      </w:r>
      <w:r w:rsidR="00465F87">
        <w:rPr>
          <w:sz w:val="22"/>
          <w:szCs w:val="22"/>
          <w:u w:val="single"/>
        </w:rPr>
        <w:t>i</w:t>
      </w:r>
      <w:r w:rsidRPr="00EE0945">
        <w:rPr>
          <w:sz w:val="22"/>
          <w:szCs w:val="22"/>
          <w:u w:val="single"/>
        </w:rPr>
        <w:t xml:space="preserve"> balení:</w:t>
      </w:r>
    </w:p>
    <w:p w14:paraId="2CC48E75" w14:textId="71DE4FC2" w:rsidR="00B5550E" w:rsidRPr="00B5550E" w:rsidRDefault="001D2974" w:rsidP="00B55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Kartonová krabička </w:t>
      </w:r>
      <w:r w:rsidR="00B5550E" w:rsidRPr="00B5550E">
        <w:rPr>
          <w:sz w:val="22"/>
          <w:szCs w:val="22"/>
        </w:rPr>
        <w:t>s 1 lahvičkou lyofilizátu o objemu 20 ml (10 dávek) a 1 lahvičkou rozpouštědla o objemu 20 ml.</w:t>
      </w:r>
    </w:p>
    <w:p w14:paraId="0B99E444" w14:textId="61AE388F" w:rsidR="00B5550E" w:rsidRPr="00B5550E" w:rsidRDefault="001D2974" w:rsidP="00B55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Kartonová krabička </w:t>
      </w:r>
      <w:r w:rsidR="00B5550E" w:rsidRPr="00B5550E">
        <w:rPr>
          <w:sz w:val="22"/>
          <w:szCs w:val="22"/>
        </w:rPr>
        <w:t>s 1 lahvičkou lyofilizátu o objemu 100 ml (50 dávek) a 1 lahvičkou rozpouštědla o objemu 100 ml.</w:t>
      </w:r>
    </w:p>
    <w:p w14:paraId="29D6BC4D" w14:textId="0FC061D0" w:rsidR="00B5550E" w:rsidRPr="00B5550E" w:rsidRDefault="001D2974" w:rsidP="00B55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Kartonová krabička </w:t>
      </w:r>
      <w:r w:rsidR="00B5550E" w:rsidRPr="00B5550E">
        <w:rPr>
          <w:sz w:val="22"/>
          <w:szCs w:val="22"/>
        </w:rPr>
        <w:t>s 1 lahvičkou lyofilizátu o objemu 100 ml (100 dávek) a 1 lahvičkou rozpouštědla o objemu 200 ml.</w:t>
      </w:r>
    </w:p>
    <w:p w14:paraId="2E02A745" w14:textId="4BE0C4DF" w:rsidR="00B5550E" w:rsidRDefault="001D2974" w:rsidP="00B55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Kartonová krabička </w:t>
      </w:r>
      <w:r w:rsidR="00B5550E" w:rsidRPr="00B5550E">
        <w:rPr>
          <w:sz w:val="22"/>
          <w:szCs w:val="22"/>
        </w:rPr>
        <w:t>s 12 lahvičkami lyofilizátu o objemu 100 ml (100 dávek) a 12 lahvičkami rozpouštědla o objemu 200 ml.</w:t>
      </w:r>
    </w:p>
    <w:p w14:paraId="00477FCF" w14:textId="77777777" w:rsidR="00C26D6E" w:rsidRDefault="00C26D6E" w:rsidP="00EE0945">
      <w:pPr>
        <w:jc w:val="both"/>
        <w:rPr>
          <w:sz w:val="22"/>
          <w:szCs w:val="22"/>
        </w:rPr>
      </w:pPr>
    </w:p>
    <w:p w14:paraId="1291FFA7" w14:textId="3E10ABCB" w:rsidR="00EE0945" w:rsidRPr="00EE0945" w:rsidRDefault="00EE0945" w:rsidP="00EE0945">
      <w:pPr>
        <w:jc w:val="both"/>
        <w:rPr>
          <w:b/>
          <w:sz w:val="22"/>
          <w:szCs w:val="22"/>
        </w:rPr>
      </w:pPr>
      <w:r w:rsidRPr="00EE0945">
        <w:rPr>
          <w:sz w:val="22"/>
          <w:szCs w:val="22"/>
        </w:rPr>
        <w:t xml:space="preserve">Příslušné lahvičky lyofilizátu </w:t>
      </w:r>
      <w:r w:rsidR="001547C0" w:rsidRPr="00EE0945">
        <w:rPr>
          <w:sz w:val="22"/>
          <w:szCs w:val="22"/>
        </w:rPr>
        <w:t>a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 xml:space="preserve">rozpouštědla jsou baleny společně </w:t>
      </w:r>
      <w:r w:rsidR="001547C0" w:rsidRPr="00EE0945">
        <w:rPr>
          <w:sz w:val="22"/>
          <w:szCs w:val="22"/>
        </w:rPr>
        <w:t>v</w:t>
      </w:r>
      <w:r w:rsidR="001547C0">
        <w:rPr>
          <w:sz w:val="22"/>
          <w:szCs w:val="22"/>
        </w:rPr>
        <w:t> </w:t>
      </w:r>
      <w:r w:rsidRPr="00EE0945">
        <w:rPr>
          <w:sz w:val="22"/>
          <w:szCs w:val="22"/>
        </w:rPr>
        <w:t>jedné kart</w:t>
      </w:r>
      <w:r w:rsidR="00C815A4">
        <w:rPr>
          <w:sz w:val="22"/>
          <w:szCs w:val="22"/>
        </w:rPr>
        <w:t>o</w:t>
      </w:r>
      <w:r w:rsidRPr="00EE0945">
        <w:rPr>
          <w:sz w:val="22"/>
          <w:szCs w:val="22"/>
        </w:rPr>
        <w:t>nové krabici.</w:t>
      </w:r>
    </w:p>
    <w:p w14:paraId="0609738D" w14:textId="77777777" w:rsidR="00EE0945" w:rsidRPr="00EE0945" w:rsidRDefault="00EE0945" w:rsidP="00EE0945">
      <w:pPr>
        <w:jc w:val="both"/>
        <w:rPr>
          <w:sz w:val="22"/>
          <w:szCs w:val="22"/>
        </w:rPr>
      </w:pPr>
      <w:r w:rsidRPr="00EE0945">
        <w:rPr>
          <w:sz w:val="22"/>
          <w:szCs w:val="22"/>
        </w:rPr>
        <w:t>Na trhu nemusí být všechny velikosti balení.</w:t>
      </w:r>
    </w:p>
    <w:p w14:paraId="33A29F72" w14:textId="77777777" w:rsidR="00EE0945" w:rsidRPr="00EE0945" w:rsidRDefault="00EE0945" w:rsidP="00EE0945">
      <w:pPr>
        <w:rPr>
          <w:sz w:val="22"/>
          <w:szCs w:val="22"/>
        </w:rPr>
      </w:pPr>
    </w:p>
    <w:p w14:paraId="00CBAD3D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Pouze pro zvířata.</w:t>
      </w:r>
    </w:p>
    <w:p w14:paraId="20C1A1F4" w14:textId="77777777" w:rsidR="00EE0945" w:rsidRPr="00EE0945" w:rsidRDefault="00EE0945" w:rsidP="00EE0945">
      <w:pPr>
        <w:rPr>
          <w:sz w:val="22"/>
          <w:szCs w:val="22"/>
        </w:rPr>
      </w:pPr>
      <w:r w:rsidRPr="00EE0945">
        <w:rPr>
          <w:sz w:val="22"/>
          <w:szCs w:val="22"/>
        </w:rPr>
        <w:t>Veterinární léčivý přípravek je vydáván pouze na předpis.</w:t>
      </w:r>
    </w:p>
    <w:p w14:paraId="3F6EC83C" w14:textId="77777777" w:rsidR="00EE0945" w:rsidRPr="00EE0945" w:rsidRDefault="00EE0945" w:rsidP="00EE0945">
      <w:pPr>
        <w:rPr>
          <w:sz w:val="22"/>
          <w:szCs w:val="22"/>
        </w:rPr>
      </w:pPr>
    </w:p>
    <w:p w14:paraId="61F4947A" w14:textId="1EAFEBBC" w:rsidR="00300574" w:rsidRDefault="00300574" w:rsidP="00300574">
      <w:pPr>
        <w:rPr>
          <w:sz w:val="22"/>
          <w:szCs w:val="22"/>
        </w:rPr>
      </w:pPr>
      <w:r>
        <w:rPr>
          <w:sz w:val="22"/>
          <w:szCs w:val="22"/>
        </w:rPr>
        <w:t xml:space="preserve">Enterisol Ileitis je registrovaná ochranná známka společnosti Boehringer Ingelheim Vetmedica GmbH, používaná na základě licence. </w:t>
      </w:r>
    </w:p>
    <w:p w14:paraId="46ECA91E" w14:textId="77777777" w:rsidR="00D370E8" w:rsidRPr="0061109D" w:rsidRDefault="00D370E8" w:rsidP="00EE0945">
      <w:pPr>
        <w:jc w:val="center"/>
        <w:outlineLvl w:val="0"/>
        <w:rPr>
          <w:sz w:val="22"/>
          <w:szCs w:val="22"/>
        </w:rPr>
      </w:pPr>
    </w:p>
    <w:sectPr w:rsidR="00D370E8" w:rsidRPr="0061109D" w:rsidSect="003C0500">
      <w:footerReference w:type="even" r:id="rId12"/>
      <w:footerReference w:type="default" r:id="rId13"/>
      <w:pgSz w:w="11906" w:h="16838"/>
      <w:pgMar w:top="1134" w:right="1418" w:bottom="1134" w:left="1418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C8E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C8E82" w16cid:durableId="236F4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19A3" w14:textId="77777777" w:rsidR="004C1649" w:rsidRDefault="004C1649">
      <w:r>
        <w:separator/>
      </w:r>
    </w:p>
  </w:endnote>
  <w:endnote w:type="continuationSeparator" w:id="0">
    <w:p w14:paraId="10048B95" w14:textId="77777777" w:rsidR="004C1649" w:rsidRDefault="004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710E" w14:textId="77777777" w:rsidR="003D4B39" w:rsidRDefault="003D4B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D3B0970" w14:textId="77777777" w:rsidR="003D4B39" w:rsidRDefault="003D4B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FF12" w14:textId="6686B640" w:rsidR="003D4B39" w:rsidRPr="003C0500" w:rsidRDefault="003D4B39" w:rsidP="003C0500">
    <w:pPr>
      <w:pStyle w:val="Zpat"/>
      <w:jc w:val="center"/>
      <w:rPr>
        <w:rFonts w:ascii="Arial" w:hAnsi="Arial" w:cs="Arial"/>
        <w:sz w:val="16"/>
        <w:szCs w:val="16"/>
      </w:rPr>
    </w:pPr>
    <w:r w:rsidRPr="003C0500">
      <w:rPr>
        <w:rFonts w:ascii="Arial" w:hAnsi="Arial" w:cs="Arial"/>
        <w:sz w:val="16"/>
        <w:szCs w:val="16"/>
      </w:rPr>
      <w:fldChar w:fldCharType="begin"/>
    </w:r>
    <w:r w:rsidRPr="003C0500">
      <w:rPr>
        <w:rFonts w:ascii="Arial" w:hAnsi="Arial" w:cs="Arial"/>
        <w:sz w:val="16"/>
        <w:szCs w:val="16"/>
      </w:rPr>
      <w:instrText>PAGE   \* MERGEFORMAT</w:instrText>
    </w:r>
    <w:r w:rsidRPr="003C0500">
      <w:rPr>
        <w:rFonts w:ascii="Arial" w:hAnsi="Arial" w:cs="Arial"/>
        <w:sz w:val="16"/>
        <w:szCs w:val="16"/>
      </w:rPr>
      <w:fldChar w:fldCharType="separate"/>
    </w:r>
    <w:r w:rsidR="004C1649" w:rsidRPr="004C1649">
      <w:rPr>
        <w:rFonts w:ascii="Arial" w:hAnsi="Arial" w:cs="Arial"/>
        <w:noProof/>
        <w:sz w:val="16"/>
        <w:szCs w:val="16"/>
        <w:lang w:val="de-DE"/>
      </w:rPr>
      <w:t>1</w:t>
    </w:r>
    <w:r w:rsidRPr="003C05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EFBF" w14:textId="77777777" w:rsidR="004C1649" w:rsidRDefault="004C1649">
      <w:r>
        <w:separator/>
      </w:r>
    </w:p>
  </w:footnote>
  <w:footnote w:type="continuationSeparator" w:id="0">
    <w:p w14:paraId="1948FB66" w14:textId="77777777" w:rsidR="004C1649" w:rsidRDefault="004C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DFE"/>
    <w:multiLevelType w:val="hybridMultilevel"/>
    <w:tmpl w:val="7BFE2344"/>
    <w:lvl w:ilvl="0" w:tplc="13503F4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75FBD"/>
    <w:multiLevelType w:val="multilevel"/>
    <w:tmpl w:val="3AB8EF7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C013F"/>
    <w:multiLevelType w:val="multilevel"/>
    <w:tmpl w:val="D870C0DC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2">
    <w:nsid w:val="339B70EB"/>
    <w:multiLevelType w:val="multilevel"/>
    <w:tmpl w:val="5BA8B4F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0E386A"/>
    <w:multiLevelType w:val="multilevel"/>
    <w:tmpl w:val="1754671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58AE5E26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2">
    <w:nsid w:val="5B591D47"/>
    <w:multiLevelType w:val="multilevel"/>
    <w:tmpl w:val="E8ACA836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0629EE"/>
    <w:multiLevelType w:val="multilevel"/>
    <w:tmpl w:val="911450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4991076"/>
    <w:multiLevelType w:val="multilevel"/>
    <w:tmpl w:val="83B67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77C2D"/>
    <w:multiLevelType w:val="multilevel"/>
    <w:tmpl w:val="37E4A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28"/>
  </w:num>
  <w:num w:numId="6">
    <w:abstractNumId w:val="10"/>
  </w:num>
  <w:num w:numId="7">
    <w:abstractNumId w:val="19"/>
  </w:num>
  <w:num w:numId="8">
    <w:abstractNumId w:val="18"/>
  </w:num>
  <w:num w:numId="9">
    <w:abstractNumId w:val="7"/>
  </w:num>
  <w:num w:numId="10">
    <w:abstractNumId w:val="26"/>
  </w:num>
  <w:num w:numId="11">
    <w:abstractNumId w:val="27"/>
  </w:num>
  <w:num w:numId="12">
    <w:abstractNumId w:val="14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30"/>
  </w:num>
  <w:num w:numId="18">
    <w:abstractNumId w:val="8"/>
  </w:num>
  <w:num w:numId="19">
    <w:abstractNumId w:val="1"/>
  </w:num>
  <w:num w:numId="20">
    <w:abstractNumId w:val="15"/>
  </w:num>
  <w:num w:numId="21">
    <w:abstractNumId w:val="4"/>
  </w:num>
  <w:num w:numId="22">
    <w:abstractNumId w:val="6"/>
  </w:num>
  <w:num w:numId="23">
    <w:abstractNumId w:val="21"/>
  </w:num>
  <w:num w:numId="24">
    <w:abstractNumId w:val="9"/>
  </w:num>
  <w:num w:numId="25">
    <w:abstractNumId w:val="31"/>
  </w:num>
  <w:num w:numId="26">
    <w:abstractNumId w:val="13"/>
  </w:num>
  <w:num w:numId="27">
    <w:abstractNumId w:val="5"/>
  </w:num>
  <w:num w:numId="28">
    <w:abstractNumId w:val="12"/>
  </w:num>
  <w:num w:numId="29">
    <w:abstractNumId w:val="20"/>
  </w:num>
  <w:num w:numId="30">
    <w:abstractNumId w:val="16"/>
  </w:num>
  <w:num w:numId="31">
    <w:abstractNumId w:val="24"/>
  </w:num>
  <w:num w:numId="32">
    <w:abstractNumId w:val="23"/>
  </w:num>
  <w:num w:numId="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dleckova,Linda (AH RA_PV_CO) BI-CZ-P">
    <w15:presenceInfo w15:providerId="AD" w15:userId="S-1-5-21-343818398-790525478-682003330-1794448"/>
  </w15:person>
  <w15:person w15:author="Kadleckova,Linda (AH RA_PV_CO) BI-CZ-P [2]">
    <w15:presenceInfo w15:providerId="AD" w15:userId="S::linda.kadleckova@boehringer-ingelheim.com::83ff6fc2-ea57-40b0-acd2-1ba6e9111bf7"/>
  </w15:person>
  <w15:person w15:author="HT-BIV-DE-I">
    <w15:presenceInfo w15:providerId="None" w15:userId="HT-BIV-DE-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9"/>
    <w:rsid w:val="0000138B"/>
    <w:rsid w:val="0000202C"/>
    <w:rsid w:val="00005989"/>
    <w:rsid w:val="00005F4B"/>
    <w:rsid w:val="000204CD"/>
    <w:rsid w:val="000306B0"/>
    <w:rsid w:val="00034B9D"/>
    <w:rsid w:val="00034DBF"/>
    <w:rsid w:val="0003609B"/>
    <w:rsid w:val="00036EE5"/>
    <w:rsid w:val="00050ACC"/>
    <w:rsid w:val="00066DA2"/>
    <w:rsid w:val="0007087D"/>
    <w:rsid w:val="00073197"/>
    <w:rsid w:val="0007481F"/>
    <w:rsid w:val="00084E96"/>
    <w:rsid w:val="000950FE"/>
    <w:rsid w:val="000A070C"/>
    <w:rsid w:val="000A3D59"/>
    <w:rsid w:val="000B1855"/>
    <w:rsid w:val="000B4BCA"/>
    <w:rsid w:val="000B4D30"/>
    <w:rsid w:val="000B723F"/>
    <w:rsid w:val="000C54E6"/>
    <w:rsid w:val="000E63D0"/>
    <w:rsid w:val="000F0A06"/>
    <w:rsid w:val="000F5636"/>
    <w:rsid w:val="00102935"/>
    <w:rsid w:val="001036BD"/>
    <w:rsid w:val="00103E1D"/>
    <w:rsid w:val="00106B25"/>
    <w:rsid w:val="001233B9"/>
    <w:rsid w:val="0012501D"/>
    <w:rsid w:val="0012788C"/>
    <w:rsid w:val="0013078B"/>
    <w:rsid w:val="00131366"/>
    <w:rsid w:val="00142452"/>
    <w:rsid w:val="00142697"/>
    <w:rsid w:val="001504E6"/>
    <w:rsid w:val="0015315C"/>
    <w:rsid w:val="001545D5"/>
    <w:rsid w:val="001547C0"/>
    <w:rsid w:val="00156B45"/>
    <w:rsid w:val="0016243A"/>
    <w:rsid w:val="00180300"/>
    <w:rsid w:val="00186493"/>
    <w:rsid w:val="00190EDE"/>
    <w:rsid w:val="00194BE3"/>
    <w:rsid w:val="001B071D"/>
    <w:rsid w:val="001B54F2"/>
    <w:rsid w:val="001B712A"/>
    <w:rsid w:val="001B78C5"/>
    <w:rsid w:val="001C0449"/>
    <w:rsid w:val="001C1A0E"/>
    <w:rsid w:val="001D2974"/>
    <w:rsid w:val="001D3651"/>
    <w:rsid w:val="001D4F25"/>
    <w:rsid w:val="001E33D8"/>
    <w:rsid w:val="00222094"/>
    <w:rsid w:val="002232D5"/>
    <w:rsid w:val="002316A5"/>
    <w:rsid w:val="0024549C"/>
    <w:rsid w:val="0025024F"/>
    <w:rsid w:val="002518F2"/>
    <w:rsid w:val="00255E78"/>
    <w:rsid w:val="0026149D"/>
    <w:rsid w:val="00271076"/>
    <w:rsid w:val="00276076"/>
    <w:rsid w:val="00280801"/>
    <w:rsid w:val="002861DD"/>
    <w:rsid w:val="002957C5"/>
    <w:rsid w:val="002A1075"/>
    <w:rsid w:val="002A1D8E"/>
    <w:rsid w:val="002B7222"/>
    <w:rsid w:val="002B78F3"/>
    <w:rsid w:val="002C2307"/>
    <w:rsid w:val="002D3AE9"/>
    <w:rsid w:val="002E0492"/>
    <w:rsid w:val="00300574"/>
    <w:rsid w:val="00303A5F"/>
    <w:rsid w:val="0031059B"/>
    <w:rsid w:val="00317728"/>
    <w:rsid w:val="00327BB7"/>
    <w:rsid w:val="0033314C"/>
    <w:rsid w:val="0034118B"/>
    <w:rsid w:val="00361640"/>
    <w:rsid w:val="003667E8"/>
    <w:rsid w:val="0037412A"/>
    <w:rsid w:val="00382BDC"/>
    <w:rsid w:val="003940D9"/>
    <w:rsid w:val="003953FE"/>
    <w:rsid w:val="00397B48"/>
    <w:rsid w:val="003A1497"/>
    <w:rsid w:val="003A2362"/>
    <w:rsid w:val="003A37A3"/>
    <w:rsid w:val="003A7C39"/>
    <w:rsid w:val="003B60A0"/>
    <w:rsid w:val="003C0500"/>
    <w:rsid w:val="003C12D7"/>
    <w:rsid w:val="003C61DB"/>
    <w:rsid w:val="003D4B39"/>
    <w:rsid w:val="003D4EA1"/>
    <w:rsid w:val="003D647F"/>
    <w:rsid w:val="003D6E2C"/>
    <w:rsid w:val="003E3AFF"/>
    <w:rsid w:val="003E4C24"/>
    <w:rsid w:val="003F4826"/>
    <w:rsid w:val="00404E21"/>
    <w:rsid w:val="0041006D"/>
    <w:rsid w:val="00416FDF"/>
    <w:rsid w:val="00423828"/>
    <w:rsid w:val="00433642"/>
    <w:rsid w:val="0043433A"/>
    <w:rsid w:val="004512D3"/>
    <w:rsid w:val="00454C43"/>
    <w:rsid w:val="00465F87"/>
    <w:rsid w:val="00470E86"/>
    <w:rsid w:val="00476B57"/>
    <w:rsid w:val="00482FEA"/>
    <w:rsid w:val="00483B93"/>
    <w:rsid w:val="004869DF"/>
    <w:rsid w:val="004906EC"/>
    <w:rsid w:val="0049107E"/>
    <w:rsid w:val="004A0EE1"/>
    <w:rsid w:val="004A24F9"/>
    <w:rsid w:val="004A601D"/>
    <w:rsid w:val="004A74C7"/>
    <w:rsid w:val="004C1649"/>
    <w:rsid w:val="004D21CD"/>
    <w:rsid w:val="004D7778"/>
    <w:rsid w:val="004E0F06"/>
    <w:rsid w:val="004E1D5D"/>
    <w:rsid w:val="004E4B86"/>
    <w:rsid w:val="004E58C3"/>
    <w:rsid w:val="005004F8"/>
    <w:rsid w:val="005008EC"/>
    <w:rsid w:val="005054BD"/>
    <w:rsid w:val="00510408"/>
    <w:rsid w:val="00510EF1"/>
    <w:rsid w:val="0051197C"/>
    <w:rsid w:val="00511DA7"/>
    <w:rsid w:val="005123A4"/>
    <w:rsid w:val="00516DD3"/>
    <w:rsid w:val="00520269"/>
    <w:rsid w:val="005208EF"/>
    <w:rsid w:val="00521F47"/>
    <w:rsid w:val="0053273D"/>
    <w:rsid w:val="00537FB7"/>
    <w:rsid w:val="00545AFB"/>
    <w:rsid w:val="00546D79"/>
    <w:rsid w:val="005513D8"/>
    <w:rsid w:val="00561D0F"/>
    <w:rsid w:val="0056762A"/>
    <w:rsid w:val="00570083"/>
    <w:rsid w:val="00571479"/>
    <w:rsid w:val="00573110"/>
    <w:rsid w:val="005737C1"/>
    <w:rsid w:val="00581050"/>
    <w:rsid w:val="00587F1F"/>
    <w:rsid w:val="005901B7"/>
    <w:rsid w:val="00596577"/>
    <w:rsid w:val="005A1B45"/>
    <w:rsid w:val="005A6345"/>
    <w:rsid w:val="005B2AD1"/>
    <w:rsid w:val="005B550E"/>
    <w:rsid w:val="005C00B9"/>
    <w:rsid w:val="005C419D"/>
    <w:rsid w:val="005C65D8"/>
    <w:rsid w:val="005E5AC4"/>
    <w:rsid w:val="005E7339"/>
    <w:rsid w:val="00600CAF"/>
    <w:rsid w:val="00602AB0"/>
    <w:rsid w:val="0060482B"/>
    <w:rsid w:val="0061109D"/>
    <w:rsid w:val="00615F18"/>
    <w:rsid w:val="0063159E"/>
    <w:rsid w:val="006354A7"/>
    <w:rsid w:val="0063772B"/>
    <w:rsid w:val="00637BBD"/>
    <w:rsid w:val="00637F73"/>
    <w:rsid w:val="0064379A"/>
    <w:rsid w:val="00644296"/>
    <w:rsid w:val="0065724C"/>
    <w:rsid w:val="0066424D"/>
    <w:rsid w:val="006822E3"/>
    <w:rsid w:val="006A43C0"/>
    <w:rsid w:val="006B121E"/>
    <w:rsid w:val="006B479D"/>
    <w:rsid w:val="006B50F8"/>
    <w:rsid w:val="006B6728"/>
    <w:rsid w:val="006C2215"/>
    <w:rsid w:val="006C290C"/>
    <w:rsid w:val="006C2D59"/>
    <w:rsid w:val="006D182D"/>
    <w:rsid w:val="006D6BDB"/>
    <w:rsid w:val="006E062A"/>
    <w:rsid w:val="006E0888"/>
    <w:rsid w:val="006F4DD0"/>
    <w:rsid w:val="007215B3"/>
    <w:rsid w:val="00740E76"/>
    <w:rsid w:val="00741315"/>
    <w:rsid w:val="00743698"/>
    <w:rsid w:val="00746F15"/>
    <w:rsid w:val="00747AE9"/>
    <w:rsid w:val="00747C79"/>
    <w:rsid w:val="007530A1"/>
    <w:rsid w:val="0075593E"/>
    <w:rsid w:val="00756806"/>
    <w:rsid w:val="007609B1"/>
    <w:rsid w:val="007639C2"/>
    <w:rsid w:val="00786FC6"/>
    <w:rsid w:val="00790BA6"/>
    <w:rsid w:val="00791CC2"/>
    <w:rsid w:val="007B309C"/>
    <w:rsid w:val="007B49C0"/>
    <w:rsid w:val="007B7C22"/>
    <w:rsid w:val="007C4D94"/>
    <w:rsid w:val="007C5398"/>
    <w:rsid w:val="007E26F9"/>
    <w:rsid w:val="007E2A52"/>
    <w:rsid w:val="007E334D"/>
    <w:rsid w:val="007E6F6C"/>
    <w:rsid w:val="008011BA"/>
    <w:rsid w:val="008039D8"/>
    <w:rsid w:val="008274D7"/>
    <w:rsid w:val="00835F42"/>
    <w:rsid w:val="00836182"/>
    <w:rsid w:val="008418AF"/>
    <w:rsid w:val="008418CB"/>
    <w:rsid w:val="00844E93"/>
    <w:rsid w:val="00847477"/>
    <w:rsid w:val="00854190"/>
    <w:rsid w:val="00856420"/>
    <w:rsid w:val="00872629"/>
    <w:rsid w:val="00883453"/>
    <w:rsid w:val="00886F18"/>
    <w:rsid w:val="008A40DA"/>
    <w:rsid w:val="008B2BED"/>
    <w:rsid w:val="008B3047"/>
    <w:rsid w:val="008B554C"/>
    <w:rsid w:val="008C6F29"/>
    <w:rsid w:val="008D051C"/>
    <w:rsid w:val="008D0855"/>
    <w:rsid w:val="008E55B2"/>
    <w:rsid w:val="008F1CD6"/>
    <w:rsid w:val="008F2D30"/>
    <w:rsid w:val="008F41FE"/>
    <w:rsid w:val="008F6FD8"/>
    <w:rsid w:val="00914782"/>
    <w:rsid w:val="009149E5"/>
    <w:rsid w:val="00914C12"/>
    <w:rsid w:val="0091570A"/>
    <w:rsid w:val="0092235A"/>
    <w:rsid w:val="00923DCE"/>
    <w:rsid w:val="00932D2B"/>
    <w:rsid w:val="009364C3"/>
    <w:rsid w:val="00936906"/>
    <w:rsid w:val="00936AC1"/>
    <w:rsid w:val="0094045A"/>
    <w:rsid w:val="0094296A"/>
    <w:rsid w:val="00946632"/>
    <w:rsid w:val="009471AE"/>
    <w:rsid w:val="00957174"/>
    <w:rsid w:val="009755FD"/>
    <w:rsid w:val="009910BA"/>
    <w:rsid w:val="00992E8B"/>
    <w:rsid w:val="00995E94"/>
    <w:rsid w:val="00996F70"/>
    <w:rsid w:val="009A333B"/>
    <w:rsid w:val="009A446A"/>
    <w:rsid w:val="009B099E"/>
    <w:rsid w:val="009B0B00"/>
    <w:rsid w:val="009B0BB9"/>
    <w:rsid w:val="009B3DD0"/>
    <w:rsid w:val="009C07A0"/>
    <w:rsid w:val="009C08B3"/>
    <w:rsid w:val="009C1DA4"/>
    <w:rsid w:val="009C5998"/>
    <w:rsid w:val="009D382C"/>
    <w:rsid w:val="009E2E10"/>
    <w:rsid w:val="009E35AE"/>
    <w:rsid w:val="009E48B8"/>
    <w:rsid w:val="009E636A"/>
    <w:rsid w:val="009E7266"/>
    <w:rsid w:val="009F6DBF"/>
    <w:rsid w:val="00A100AA"/>
    <w:rsid w:val="00A110D6"/>
    <w:rsid w:val="00A14E22"/>
    <w:rsid w:val="00A21A80"/>
    <w:rsid w:val="00A277CE"/>
    <w:rsid w:val="00A3006A"/>
    <w:rsid w:val="00A35242"/>
    <w:rsid w:val="00A3594F"/>
    <w:rsid w:val="00A37BE5"/>
    <w:rsid w:val="00A422E6"/>
    <w:rsid w:val="00A54B75"/>
    <w:rsid w:val="00A80620"/>
    <w:rsid w:val="00A86B8D"/>
    <w:rsid w:val="00AA6279"/>
    <w:rsid w:val="00AA7A7C"/>
    <w:rsid w:val="00AB0509"/>
    <w:rsid w:val="00AB677E"/>
    <w:rsid w:val="00AD2125"/>
    <w:rsid w:val="00AD3AA5"/>
    <w:rsid w:val="00AE0813"/>
    <w:rsid w:val="00AE6792"/>
    <w:rsid w:val="00AF012A"/>
    <w:rsid w:val="00B00865"/>
    <w:rsid w:val="00B03983"/>
    <w:rsid w:val="00B05E0D"/>
    <w:rsid w:val="00B30EE4"/>
    <w:rsid w:val="00B35C31"/>
    <w:rsid w:val="00B42BA4"/>
    <w:rsid w:val="00B47799"/>
    <w:rsid w:val="00B5550E"/>
    <w:rsid w:val="00B744C5"/>
    <w:rsid w:val="00B7475F"/>
    <w:rsid w:val="00B82CD9"/>
    <w:rsid w:val="00BA0659"/>
    <w:rsid w:val="00BB326B"/>
    <w:rsid w:val="00BC1B89"/>
    <w:rsid w:val="00BC7CA8"/>
    <w:rsid w:val="00BD1212"/>
    <w:rsid w:val="00BD19F9"/>
    <w:rsid w:val="00BD59B5"/>
    <w:rsid w:val="00BE3293"/>
    <w:rsid w:val="00BF720C"/>
    <w:rsid w:val="00C011DE"/>
    <w:rsid w:val="00C222BF"/>
    <w:rsid w:val="00C26D6E"/>
    <w:rsid w:val="00C276FE"/>
    <w:rsid w:val="00C2797E"/>
    <w:rsid w:val="00C30924"/>
    <w:rsid w:val="00C50B4B"/>
    <w:rsid w:val="00C50DBB"/>
    <w:rsid w:val="00C5339F"/>
    <w:rsid w:val="00C655D9"/>
    <w:rsid w:val="00C70220"/>
    <w:rsid w:val="00C7322A"/>
    <w:rsid w:val="00C7614F"/>
    <w:rsid w:val="00C811B1"/>
    <w:rsid w:val="00C815A4"/>
    <w:rsid w:val="00C86D9A"/>
    <w:rsid w:val="00C92728"/>
    <w:rsid w:val="00C92BFC"/>
    <w:rsid w:val="00C93634"/>
    <w:rsid w:val="00C94E5E"/>
    <w:rsid w:val="00C94ECD"/>
    <w:rsid w:val="00C953A9"/>
    <w:rsid w:val="00C96373"/>
    <w:rsid w:val="00CA4B47"/>
    <w:rsid w:val="00CB7C9F"/>
    <w:rsid w:val="00CC4733"/>
    <w:rsid w:val="00CC6989"/>
    <w:rsid w:val="00CC7429"/>
    <w:rsid w:val="00CC79D6"/>
    <w:rsid w:val="00CE1ABA"/>
    <w:rsid w:val="00CE547A"/>
    <w:rsid w:val="00CF0896"/>
    <w:rsid w:val="00CF1BD5"/>
    <w:rsid w:val="00CF3FB6"/>
    <w:rsid w:val="00CF6FA7"/>
    <w:rsid w:val="00D05B3E"/>
    <w:rsid w:val="00D065E6"/>
    <w:rsid w:val="00D11C3B"/>
    <w:rsid w:val="00D12E73"/>
    <w:rsid w:val="00D145D9"/>
    <w:rsid w:val="00D16771"/>
    <w:rsid w:val="00D205F6"/>
    <w:rsid w:val="00D22F5A"/>
    <w:rsid w:val="00D3260C"/>
    <w:rsid w:val="00D370E8"/>
    <w:rsid w:val="00D414B7"/>
    <w:rsid w:val="00D417FE"/>
    <w:rsid w:val="00D4219C"/>
    <w:rsid w:val="00D46A17"/>
    <w:rsid w:val="00D47C16"/>
    <w:rsid w:val="00D55E24"/>
    <w:rsid w:val="00D622F0"/>
    <w:rsid w:val="00D72A51"/>
    <w:rsid w:val="00D74A26"/>
    <w:rsid w:val="00D76B86"/>
    <w:rsid w:val="00D93916"/>
    <w:rsid w:val="00D95D36"/>
    <w:rsid w:val="00D96CFF"/>
    <w:rsid w:val="00DB3BF1"/>
    <w:rsid w:val="00DB6121"/>
    <w:rsid w:val="00DD16CD"/>
    <w:rsid w:val="00DD2A55"/>
    <w:rsid w:val="00DE2633"/>
    <w:rsid w:val="00DE546C"/>
    <w:rsid w:val="00DF004C"/>
    <w:rsid w:val="00DF208C"/>
    <w:rsid w:val="00DF6910"/>
    <w:rsid w:val="00E12DC7"/>
    <w:rsid w:val="00E15BAE"/>
    <w:rsid w:val="00E250C3"/>
    <w:rsid w:val="00E34B66"/>
    <w:rsid w:val="00E371FB"/>
    <w:rsid w:val="00E37436"/>
    <w:rsid w:val="00E3773D"/>
    <w:rsid w:val="00E377AF"/>
    <w:rsid w:val="00E4143A"/>
    <w:rsid w:val="00E41E2A"/>
    <w:rsid w:val="00E4203A"/>
    <w:rsid w:val="00E42D18"/>
    <w:rsid w:val="00E4748C"/>
    <w:rsid w:val="00E52381"/>
    <w:rsid w:val="00E57443"/>
    <w:rsid w:val="00E627A4"/>
    <w:rsid w:val="00E66624"/>
    <w:rsid w:val="00E72BB3"/>
    <w:rsid w:val="00E7301E"/>
    <w:rsid w:val="00E7468D"/>
    <w:rsid w:val="00E817F6"/>
    <w:rsid w:val="00E86209"/>
    <w:rsid w:val="00E9345C"/>
    <w:rsid w:val="00E97ED0"/>
    <w:rsid w:val="00EA2CCF"/>
    <w:rsid w:val="00EA4213"/>
    <w:rsid w:val="00EA59B5"/>
    <w:rsid w:val="00EA6E92"/>
    <w:rsid w:val="00EA7BF1"/>
    <w:rsid w:val="00EB7AE6"/>
    <w:rsid w:val="00EC6DD3"/>
    <w:rsid w:val="00ED3262"/>
    <w:rsid w:val="00EE0945"/>
    <w:rsid w:val="00EF11DA"/>
    <w:rsid w:val="00EF5236"/>
    <w:rsid w:val="00F102E4"/>
    <w:rsid w:val="00F20AE8"/>
    <w:rsid w:val="00F23215"/>
    <w:rsid w:val="00F31091"/>
    <w:rsid w:val="00F32D1C"/>
    <w:rsid w:val="00F46D47"/>
    <w:rsid w:val="00F54547"/>
    <w:rsid w:val="00F55E10"/>
    <w:rsid w:val="00F6176A"/>
    <w:rsid w:val="00F70E31"/>
    <w:rsid w:val="00F712CA"/>
    <w:rsid w:val="00F744A5"/>
    <w:rsid w:val="00F87953"/>
    <w:rsid w:val="00F95DD7"/>
    <w:rsid w:val="00FA1F8B"/>
    <w:rsid w:val="00FA453C"/>
    <w:rsid w:val="00FB560F"/>
    <w:rsid w:val="00FB6548"/>
    <w:rsid w:val="00FB7B4D"/>
    <w:rsid w:val="00FD2D3F"/>
    <w:rsid w:val="00FD35F0"/>
    <w:rsid w:val="00FF120B"/>
    <w:rsid w:val="00FF242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4C"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rsid w:val="003D6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rsid w:val="0065724C"/>
    <w:pPr>
      <w:numPr>
        <w:numId w:val="2"/>
      </w:numPr>
    </w:pPr>
    <w:rPr>
      <w:sz w:val="22"/>
    </w:rPr>
  </w:style>
  <w:style w:type="paragraph" w:styleId="Zkladntextodsazen">
    <w:name w:val="Body Text Indent"/>
    <w:basedOn w:val="Normln"/>
    <w:rsid w:val="0065724C"/>
    <w:pPr>
      <w:ind w:left="567"/>
    </w:pPr>
    <w:rPr>
      <w:sz w:val="22"/>
      <w:lang w:val="de-DE"/>
    </w:rPr>
  </w:style>
  <w:style w:type="paragraph" w:styleId="Zkladntextodsazen2">
    <w:name w:val="Body Text Indent 2"/>
    <w:basedOn w:val="Normln"/>
    <w:rsid w:val="0065724C"/>
    <w:pPr>
      <w:ind w:left="567"/>
    </w:pPr>
    <w:rPr>
      <w:i/>
      <w:sz w:val="22"/>
      <w:lang w:val="de-DE"/>
    </w:rPr>
  </w:style>
  <w:style w:type="paragraph" w:styleId="Textvysvtlivek">
    <w:name w:val="endnote text"/>
    <w:basedOn w:val="Normln"/>
    <w:semiHidden/>
    <w:rsid w:val="0065724C"/>
    <w:pPr>
      <w:ind w:left="567" w:hanging="567"/>
    </w:pPr>
    <w:rPr>
      <w:sz w:val="22"/>
    </w:rPr>
  </w:style>
  <w:style w:type="paragraph" w:styleId="Zkladntextodsazen3">
    <w:name w:val="Body Text Indent 3"/>
    <w:basedOn w:val="Normln"/>
    <w:rsid w:val="0065724C"/>
    <w:pPr>
      <w:ind w:left="567"/>
    </w:pPr>
  </w:style>
  <w:style w:type="paragraph" w:styleId="Zpat">
    <w:name w:val="footer"/>
    <w:basedOn w:val="Normln"/>
    <w:link w:val="ZpatChar"/>
    <w:uiPriority w:val="99"/>
    <w:rsid w:val="006572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724C"/>
  </w:style>
  <w:style w:type="character" w:styleId="Hypertextovodkaz">
    <w:name w:val="Hyperlink"/>
    <w:rsid w:val="009E48B8"/>
    <w:rPr>
      <w:color w:val="0000FF"/>
      <w:u w:val="single"/>
    </w:rPr>
  </w:style>
  <w:style w:type="paragraph" w:styleId="Textbubliny">
    <w:name w:val="Balloon Text"/>
    <w:basedOn w:val="Normln"/>
    <w:semiHidden/>
    <w:rsid w:val="00BC7CA8"/>
    <w:rPr>
      <w:rFonts w:ascii="Tahoma" w:hAnsi="Tahoma" w:cs="Tahoma"/>
      <w:sz w:val="16"/>
      <w:szCs w:val="16"/>
    </w:rPr>
  </w:style>
  <w:style w:type="paragraph" w:customStyle="1" w:styleId="Textalignleft">
    <w:name w:val="Text align left"/>
    <w:basedOn w:val="Normln"/>
    <w:rsid w:val="00F55E10"/>
    <w:pPr>
      <w:spacing w:before="120"/>
    </w:pPr>
    <w:rPr>
      <w:rFonts w:ascii="Arial" w:hAnsi="Arial"/>
      <w:sz w:val="22"/>
      <w:lang w:val="en-US" w:eastAsia="de-DE"/>
    </w:rPr>
  </w:style>
  <w:style w:type="paragraph" w:customStyle="1" w:styleId="Gliederung2-Text">
    <w:name w:val="Gliederung 2-Text"/>
    <w:basedOn w:val="Nadpis2"/>
    <w:rsid w:val="003D647F"/>
    <w:pPr>
      <w:keepNext w:val="0"/>
      <w:tabs>
        <w:tab w:val="left" w:pos="709"/>
      </w:tabs>
      <w:spacing w:before="0" w:after="0"/>
      <w:ind w:left="709"/>
      <w:jc w:val="both"/>
    </w:pPr>
    <w:rPr>
      <w:b w:val="0"/>
      <w:bCs w:val="0"/>
      <w:i w:val="0"/>
      <w:iCs w:val="0"/>
      <w:sz w:val="22"/>
      <w:szCs w:val="22"/>
      <w:lang w:val="en-US" w:eastAsia="de-DE"/>
    </w:rPr>
  </w:style>
  <w:style w:type="paragraph" w:styleId="Textvbloku">
    <w:name w:val="Block Text"/>
    <w:basedOn w:val="Normln"/>
    <w:rsid w:val="003D647F"/>
    <w:pPr>
      <w:spacing w:line="260" w:lineRule="exact"/>
      <w:ind w:left="2268" w:right="1711" w:hanging="567"/>
    </w:pPr>
    <w:rPr>
      <w:b/>
      <w:sz w:val="22"/>
      <w:lang w:val="en-GB" w:eastAsia="en-US"/>
    </w:rPr>
  </w:style>
  <w:style w:type="character" w:styleId="Odkaznakoment">
    <w:name w:val="annotation reference"/>
    <w:semiHidden/>
    <w:rsid w:val="00C96373"/>
    <w:rPr>
      <w:sz w:val="16"/>
      <w:szCs w:val="16"/>
    </w:rPr>
  </w:style>
  <w:style w:type="paragraph" w:styleId="Textkomente">
    <w:name w:val="annotation text"/>
    <w:basedOn w:val="Normln"/>
    <w:semiHidden/>
    <w:rsid w:val="00C96373"/>
    <w:rPr>
      <w:sz w:val="20"/>
    </w:rPr>
  </w:style>
  <w:style w:type="paragraph" w:styleId="Pedmtkomente">
    <w:name w:val="annotation subject"/>
    <w:basedOn w:val="Textkomente"/>
    <w:next w:val="Textkomente"/>
    <w:semiHidden/>
    <w:rsid w:val="00C96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0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0500"/>
    <w:rPr>
      <w:sz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C0500"/>
    <w:rPr>
      <w:sz w:val="24"/>
      <w:lang w:val="cs-CZ" w:eastAsia="cs-CZ" w:bidi="ar-SA"/>
    </w:rPr>
  </w:style>
  <w:style w:type="character" w:styleId="Zvraznn">
    <w:name w:val="Emphasis"/>
    <w:uiPriority w:val="20"/>
    <w:qFormat/>
    <w:rsid w:val="004E58C3"/>
    <w:rPr>
      <w:b/>
      <w:bCs/>
      <w:i w:val="0"/>
      <w:iCs w:val="0"/>
    </w:rPr>
  </w:style>
  <w:style w:type="paragraph" w:styleId="Revize">
    <w:name w:val="Revision"/>
    <w:hidden/>
    <w:uiPriority w:val="99"/>
    <w:semiHidden/>
    <w:rsid w:val="00156B45"/>
    <w:rPr>
      <w:sz w:val="24"/>
      <w:lang w:val="cs-CZ" w:eastAsia="cs-CZ"/>
    </w:rPr>
  </w:style>
  <w:style w:type="character" w:customStyle="1" w:styleId="gt-text">
    <w:name w:val="gt-text"/>
    <w:basedOn w:val="Standardnpsmoodstavce"/>
    <w:rsid w:val="00271076"/>
  </w:style>
  <w:style w:type="paragraph" w:styleId="Odstavecseseznamem">
    <w:name w:val="List Paragraph"/>
    <w:basedOn w:val="Normln"/>
    <w:uiPriority w:val="34"/>
    <w:qFormat/>
    <w:rsid w:val="00DD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4C"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rsid w:val="003D6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rsid w:val="0065724C"/>
    <w:pPr>
      <w:numPr>
        <w:numId w:val="2"/>
      </w:numPr>
    </w:pPr>
    <w:rPr>
      <w:sz w:val="22"/>
    </w:rPr>
  </w:style>
  <w:style w:type="paragraph" w:styleId="Zkladntextodsazen">
    <w:name w:val="Body Text Indent"/>
    <w:basedOn w:val="Normln"/>
    <w:rsid w:val="0065724C"/>
    <w:pPr>
      <w:ind w:left="567"/>
    </w:pPr>
    <w:rPr>
      <w:sz w:val="22"/>
      <w:lang w:val="de-DE"/>
    </w:rPr>
  </w:style>
  <w:style w:type="paragraph" w:styleId="Zkladntextodsazen2">
    <w:name w:val="Body Text Indent 2"/>
    <w:basedOn w:val="Normln"/>
    <w:rsid w:val="0065724C"/>
    <w:pPr>
      <w:ind w:left="567"/>
    </w:pPr>
    <w:rPr>
      <w:i/>
      <w:sz w:val="22"/>
      <w:lang w:val="de-DE"/>
    </w:rPr>
  </w:style>
  <w:style w:type="paragraph" w:styleId="Textvysvtlivek">
    <w:name w:val="endnote text"/>
    <w:basedOn w:val="Normln"/>
    <w:semiHidden/>
    <w:rsid w:val="0065724C"/>
    <w:pPr>
      <w:ind w:left="567" w:hanging="567"/>
    </w:pPr>
    <w:rPr>
      <w:sz w:val="22"/>
    </w:rPr>
  </w:style>
  <w:style w:type="paragraph" w:styleId="Zkladntextodsazen3">
    <w:name w:val="Body Text Indent 3"/>
    <w:basedOn w:val="Normln"/>
    <w:rsid w:val="0065724C"/>
    <w:pPr>
      <w:ind w:left="567"/>
    </w:pPr>
  </w:style>
  <w:style w:type="paragraph" w:styleId="Zpat">
    <w:name w:val="footer"/>
    <w:basedOn w:val="Normln"/>
    <w:link w:val="ZpatChar"/>
    <w:uiPriority w:val="99"/>
    <w:rsid w:val="006572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724C"/>
  </w:style>
  <w:style w:type="character" w:styleId="Hypertextovodkaz">
    <w:name w:val="Hyperlink"/>
    <w:rsid w:val="009E48B8"/>
    <w:rPr>
      <w:color w:val="0000FF"/>
      <w:u w:val="single"/>
    </w:rPr>
  </w:style>
  <w:style w:type="paragraph" w:styleId="Textbubliny">
    <w:name w:val="Balloon Text"/>
    <w:basedOn w:val="Normln"/>
    <w:semiHidden/>
    <w:rsid w:val="00BC7CA8"/>
    <w:rPr>
      <w:rFonts w:ascii="Tahoma" w:hAnsi="Tahoma" w:cs="Tahoma"/>
      <w:sz w:val="16"/>
      <w:szCs w:val="16"/>
    </w:rPr>
  </w:style>
  <w:style w:type="paragraph" w:customStyle="1" w:styleId="Textalignleft">
    <w:name w:val="Text align left"/>
    <w:basedOn w:val="Normln"/>
    <w:rsid w:val="00F55E10"/>
    <w:pPr>
      <w:spacing w:before="120"/>
    </w:pPr>
    <w:rPr>
      <w:rFonts w:ascii="Arial" w:hAnsi="Arial"/>
      <w:sz w:val="22"/>
      <w:lang w:val="en-US" w:eastAsia="de-DE"/>
    </w:rPr>
  </w:style>
  <w:style w:type="paragraph" w:customStyle="1" w:styleId="Gliederung2-Text">
    <w:name w:val="Gliederung 2-Text"/>
    <w:basedOn w:val="Nadpis2"/>
    <w:rsid w:val="003D647F"/>
    <w:pPr>
      <w:keepNext w:val="0"/>
      <w:tabs>
        <w:tab w:val="left" w:pos="709"/>
      </w:tabs>
      <w:spacing w:before="0" w:after="0"/>
      <w:ind w:left="709"/>
      <w:jc w:val="both"/>
    </w:pPr>
    <w:rPr>
      <w:b w:val="0"/>
      <w:bCs w:val="0"/>
      <w:i w:val="0"/>
      <w:iCs w:val="0"/>
      <w:sz w:val="22"/>
      <w:szCs w:val="22"/>
      <w:lang w:val="en-US" w:eastAsia="de-DE"/>
    </w:rPr>
  </w:style>
  <w:style w:type="paragraph" w:styleId="Textvbloku">
    <w:name w:val="Block Text"/>
    <w:basedOn w:val="Normln"/>
    <w:rsid w:val="003D647F"/>
    <w:pPr>
      <w:spacing w:line="260" w:lineRule="exact"/>
      <w:ind w:left="2268" w:right="1711" w:hanging="567"/>
    </w:pPr>
    <w:rPr>
      <w:b/>
      <w:sz w:val="22"/>
      <w:lang w:val="en-GB" w:eastAsia="en-US"/>
    </w:rPr>
  </w:style>
  <w:style w:type="character" w:styleId="Odkaznakoment">
    <w:name w:val="annotation reference"/>
    <w:semiHidden/>
    <w:rsid w:val="00C96373"/>
    <w:rPr>
      <w:sz w:val="16"/>
      <w:szCs w:val="16"/>
    </w:rPr>
  </w:style>
  <w:style w:type="paragraph" w:styleId="Textkomente">
    <w:name w:val="annotation text"/>
    <w:basedOn w:val="Normln"/>
    <w:semiHidden/>
    <w:rsid w:val="00C96373"/>
    <w:rPr>
      <w:sz w:val="20"/>
    </w:rPr>
  </w:style>
  <w:style w:type="paragraph" w:styleId="Pedmtkomente">
    <w:name w:val="annotation subject"/>
    <w:basedOn w:val="Textkomente"/>
    <w:next w:val="Textkomente"/>
    <w:semiHidden/>
    <w:rsid w:val="00C96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0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0500"/>
    <w:rPr>
      <w:sz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C0500"/>
    <w:rPr>
      <w:sz w:val="24"/>
      <w:lang w:val="cs-CZ" w:eastAsia="cs-CZ" w:bidi="ar-SA"/>
    </w:rPr>
  </w:style>
  <w:style w:type="character" w:styleId="Zvraznn">
    <w:name w:val="Emphasis"/>
    <w:uiPriority w:val="20"/>
    <w:qFormat/>
    <w:rsid w:val="004E58C3"/>
    <w:rPr>
      <w:b/>
      <w:bCs/>
      <w:i w:val="0"/>
      <w:iCs w:val="0"/>
    </w:rPr>
  </w:style>
  <w:style w:type="paragraph" w:styleId="Revize">
    <w:name w:val="Revision"/>
    <w:hidden/>
    <w:uiPriority w:val="99"/>
    <w:semiHidden/>
    <w:rsid w:val="00156B45"/>
    <w:rPr>
      <w:sz w:val="24"/>
      <w:lang w:val="cs-CZ" w:eastAsia="cs-CZ"/>
    </w:rPr>
  </w:style>
  <w:style w:type="character" w:customStyle="1" w:styleId="gt-text">
    <w:name w:val="gt-text"/>
    <w:basedOn w:val="Standardnpsmoodstavce"/>
    <w:rsid w:val="00271076"/>
  </w:style>
  <w:style w:type="paragraph" w:styleId="Odstavecseseznamem">
    <w:name w:val="List Paragraph"/>
    <w:basedOn w:val="Normln"/>
    <w:uiPriority w:val="34"/>
    <w:qFormat/>
    <w:rsid w:val="00DD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6" ma:contentTypeDescription="Ein neues Dokument erstellen." ma:contentTypeScope="" ma:versionID="64b425173a339e90db8f144964999e64">
  <xsd:schema xmlns:xsd="http://www.w3.org/2001/XMLSchema" xmlns:xs="http://www.w3.org/2001/XMLSchema" xmlns:p="http://schemas.microsoft.com/office/2006/metadata/properties" xmlns:ns2="475dbe14-e6e6-4e48-9d0c-f2238cd72264" xmlns:ns3="0fa7ed56-613c-4591-82d0-5d1e7e244400" targetNamespace="http://schemas.microsoft.com/office/2006/metadata/properties" ma:root="true" ma:fieldsID="8f2fbe0c1d2712e373b92bd772b0c2e9" ns2:_="" ns3:_="">
    <xsd:import namespace="475dbe14-e6e6-4e48-9d0c-f2238cd72264"/>
    <xsd:import namespace="0fa7ed56-613c-4591-82d0-5d1e7e24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2A8C-20C7-462E-A037-D6396BAC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3117-F3CA-4CF0-ADE0-C77F1911E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5E02B-42CF-4055-B149-F1C6FA789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381CC-CCCC-41D8-B4BD-3E4ED564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1522</Words>
  <Characters>8983</Characters>
  <Application>Microsoft Office Word</Application>
  <DocSecurity>0</DocSecurity>
  <Lines>74</Lines>
  <Paragraphs>20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SOUHRN ÚDAJŮ O PŘÍPRAVKU</vt:lpstr>
      <vt:lpstr>SOUHRN ÚDAJŮ O PŘÍPRAVKU</vt:lpstr>
      <vt:lpstr>SOUHRN ÚDAJŮ O PŘÍPRAVKU</vt:lpstr>
      <vt:lpstr>SOUHRN ÚDAJŮ O PŘÍPRAVKU</vt:lpstr>
    </vt:vector>
  </TitlesOfParts>
  <Company>Boehringer Ingelheim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MVDr. Eduard Jiran, DrSc.</dc:creator>
  <cp:lastModifiedBy>Neugebauerová Kateřina</cp:lastModifiedBy>
  <cp:revision>8</cp:revision>
  <cp:lastPrinted>2020-12-08T07:57:00Z</cp:lastPrinted>
  <dcterms:created xsi:type="dcterms:W3CDTF">2020-12-01T13:20:00Z</dcterms:created>
  <dcterms:modified xsi:type="dcterms:W3CDTF">2020-12-08T13:47:00Z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</Properties>
</file>