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46" w:rsidRDefault="00717046"/>
    <w:p w:rsidR="00717046" w:rsidRDefault="00717046"/>
    <w:p w:rsidR="00717046" w:rsidRDefault="00717046"/>
    <w:p w:rsidR="00717046" w:rsidRDefault="00717046"/>
    <w:p w:rsidR="00717046" w:rsidRDefault="00717046"/>
    <w:p w:rsidR="00717046" w:rsidRDefault="00717046"/>
    <w:p w:rsidR="00717046" w:rsidRDefault="00717046">
      <w:pPr>
        <w:ind w:left="284" w:hanging="284"/>
        <w:rPr>
          <w:b/>
        </w:rPr>
      </w:pPr>
    </w:p>
    <w:p w:rsidR="00717046" w:rsidRDefault="00717046">
      <w:pPr>
        <w:ind w:right="113"/>
      </w:pPr>
    </w:p>
    <w:p w:rsidR="00717046" w:rsidRDefault="00717046">
      <w:pPr>
        <w:ind w:right="113"/>
      </w:pPr>
    </w:p>
    <w:p w:rsidR="00717046" w:rsidRDefault="00717046">
      <w:pPr>
        <w:ind w:right="113"/>
      </w:pPr>
    </w:p>
    <w:p w:rsidR="00717046" w:rsidRDefault="00717046">
      <w:pPr>
        <w:ind w:right="113"/>
      </w:pPr>
    </w:p>
    <w:p w:rsidR="00717046" w:rsidRDefault="00717046">
      <w:pPr>
        <w:ind w:right="113"/>
      </w:pPr>
    </w:p>
    <w:p w:rsidR="00717046" w:rsidRDefault="00717046">
      <w:pPr>
        <w:ind w:right="113"/>
      </w:pPr>
    </w:p>
    <w:p w:rsidR="00717046" w:rsidRDefault="00717046">
      <w:pPr>
        <w:ind w:right="113"/>
      </w:pPr>
    </w:p>
    <w:p w:rsidR="00717046" w:rsidRDefault="00717046">
      <w:pPr>
        <w:ind w:right="113"/>
      </w:pPr>
    </w:p>
    <w:p w:rsidR="00717046" w:rsidRDefault="00717046">
      <w:pPr>
        <w:ind w:right="113"/>
      </w:pPr>
    </w:p>
    <w:p w:rsidR="00717046" w:rsidRDefault="00717046">
      <w:pPr>
        <w:ind w:right="113"/>
      </w:pPr>
    </w:p>
    <w:p w:rsidR="00717046" w:rsidRDefault="00717046"/>
    <w:p w:rsidR="00717046" w:rsidRDefault="00717046"/>
    <w:p w:rsidR="00717046" w:rsidRDefault="00717046"/>
    <w:p w:rsidR="00717046" w:rsidRDefault="00717046"/>
    <w:p w:rsidR="00717046" w:rsidRDefault="00717046">
      <w:pPr>
        <w:ind w:right="113"/>
        <w:jc w:val="center"/>
      </w:pPr>
      <w:r>
        <w:rPr>
          <w:b/>
        </w:rPr>
        <w:t>B. PŘÍBALOVÁ INFORMACE</w:t>
      </w:r>
    </w:p>
    <w:p w:rsidR="00717046" w:rsidRDefault="00717046">
      <w:pPr>
        <w:tabs>
          <w:tab w:val="left" w:pos="1418"/>
          <w:tab w:val="left" w:pos="1560"/>
        </w:tabs>
        <w:rPr>
          <w:b/>
          <w:sz w:val="28"/>
        </w:rPr>
      </w:pPr>
      <w:r>
        <w:br w:type="page"/>
      </w:r>
    </w:p>
    <w:p w:rsidR="00717046" w:rsidRDefault="00717046">
      <w:pPr>
        <w:jc w:val="center"/>
        <w:rPr>
          <w:b/>
        </w:rPr>
      </w:pPr>
      <w:r>
        <w:rPr>
          <w:b/>
        </w:rPr>
        <w:lastRenderedPageBreak/>
        <w:t>PŘÍBALOVÁ INFORMACE</w:t>
      </w:r>
    </w:p>
    <w:p w:rsidR="00717046" w:rsidRDefault="00717046">
      <w:pPr>
        <w:jc w:val="center"/>
      </w:pPr>
    </w:p>
    <w:p w:rsidR="00717046" w:rsidRPr="00E90EAC" w:rsidRDefault="00E90EAC" w:rsidP="00E90EAC">
      <w:pPr>
        <w:jc w:val="center"/>
        <w:rPr>
          <w:sz w:val="28"/>
          <w:szCs w:val="28"/>
        </w:rPr>
      </w:pPr>
      <w:proofErr w:type="spellStart"/>
      <w:r w:rsidRPr="00E90EAC">
        <w:rPr>
          <w:b/>
          <w:sz w:val="28"/>
          <w:szCs w:val="28"/>
        </w:rPr>
        <w:t>Denagard</w:t>
      </w:r>
      <w:proofErr w:type="spellEnd"/>
      <w:r w:rsidRPr="00E90EAC">
        <w:rPr>
          <w:b/>
          <w:sz w:val="28"/>
          <w:szCs w:val="28"/>
        </w:rPr>
        <w:t xml:space="preserve"> </w:t>
      </w:r>
      <w:r w:rsidR="001D4538">
        <w:rPr>
          <w:b/>
          <w:sz w:val="28"/>
          <w:szCs w:val="28"/>
        </w:rPr>
        <w:t>1</w:t>
      </w:r>
      <w:r w:rsidRPr="00E90EAC">
        <w:rPr>
          <w:b/>
          <w:sz w:val="28"/>
          <w:szCs w:val="28"/>
        </w:rPr>
        <w:t>00 mg/ml injekční roztok</w:t>
      </w:r>
      <w:r w:rsidR="00C70D0C">
        <w:rPr>
          <w:b/>
          <w:sz w:val="28"/>
          <w:szCs w:val="28"/>
        </w:rPr>
        <w:t xml:space="preserve"> pro prasata</w:t>
      </w:r>
    </w:p>
    <w:p w:rsidR="00717046" w:rsidRDefault="00717046" w:rsidP="00E90EAC">
      <w:pPr>
        <w:jc w:val="center"/>
      </w:pPr>
    </w:p>
    <w:p w:rsidR="00717046" w:rsidRDefault="00717046" w:rsidP="00126F69">
      <w:pPr>
        <w:ind w:left="709" w:hanging="709"/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717046" w:rsidRDefault="00717046">
      <w:pPr>
        <w:rPr>
          <w:b/>
        </w:rPr>
      </w:pPr>
    </w:p>
    <w:p w:rsidR="00717046" w:rsidRDefault="00717046" w:rsidP="00126F69">
      <w:pPr>
        <w:ind w:left="709"/>
      </w:pPr>
      <w:r>
        <w:rPr>
          <w:u w:val="single"/>
        </w:rPr>
        <w:t>Držitel rozhodnutí o registraci</w:t>
      </w:r>
      <w:r>
        <w:t>:</w:t>
      </w:r>
    </w:p>
    <w:p w:rsidR="0041004C" w:rsidRPr="00E8782A" w:rsidRDefault="0041004C" w:rsidP="00B75471">
      <w:pPr>
        <w:ind w:right="-318" w:firstLine="708"/>
        <w:jc w:val="both"/>
        <w:rPr>
          <w:sz w:val="22"/>
          <w:szCs w:val="22"/>
        </w:rPr>
      </w:pPr>
      <w:proofErr w:type="spellStart"/>
      <w:r w:rsidRPr="00E8782A">
        <w:rPr>
          <w:bCs/>
          <w:sz w:val="22"/>
          <w:szCs w:val="22"/>
        </w:rPr>
        <w:t>Elanco</w:t>
      </w:r>
      <w:proofErr w:type="spellEnd"/>
      <w:r w:rsidRPr="00E8782A">
        <w:rPr>
          <w:bCs/>
          <w:sz w:val="22"/>
          <w:szCs w:val="22"/>
        </w:rPr>
        <w:t xml:space="preserve"> </w:t>
      </w:r>
      <w:proofErr w:type="spellStart"/>
      <w:r w:rsidRPr="00E8782A">
        <w:rPr>
          <w:bCs/>
          <w:sz w:val="22"/>
          <w:szCs w:val="22"/>
        </w:rPr>
        <w:t>GmbH</w:t>
      </w:r>
      <w:proofErr w:type="spellEnd"/>
      <w:r>
        <w:rPr>
          <w:bCs/>
          <w:sz w:val="22"/>
          <w:szCs w:val="22"/>
        </w:rPr>
        <w:t xml:space="preserve">, </w:t>
      </w:r>
      <w:r w:rsidRPr="00E8782A">
        <w:rPr>
          <w:bCs/>
          <w:sz w:val="22"/>
          <w:szCs w:val="22"/>
        </w:rPr>
        <w:t>Heinz-</w:t>
      </w:r>
      <w:proofErr w:type="spellStart"/>
      <w:r w:rsidRPr="00E8782A">
        <w:rPr>
          <w:bCs/>
          <w:sz w:val="22"/>
          <w:szCs w:val="22"/>
        </w:rPr>
        <w:t>Lohmann</w:t>
      </w:r>
      <w:proofErr w:type="spellEnd"/>
      <w:r w:rsidRPr="00E8782A">
        <w:rPr>
          <w:bCs/>
          <w:sz w:val="22"/>
          <w:szCs w:val="22"/>
        </w:rPr>
        <w:t>-Str. 4</w:t>
      </w:r>
      <w:r>
        <w:rPr>
          <w:bCs/>
          <w:sz w:val="22"/>
          <w:szCs w:val="22"/>
        </w:rPr>
        <w:t xml:space="preserve">, </w:t>
      </w:r>
      <w:r w:rsidRPr="00E8782A">
        <w:rPr>
          <w:bCs/>
          <w:sz w:val="22"/>
          <w:szCs w:val="22"/>
        </w:rPr>
        <w:t xml:space="preserve">27472 </w:t>
      </w:r>
      <w:proofErr w:type="spellStart"/>
      <w:r w:rsidRPr="00E8782A">
        <w:rPr>
          <w:bCs/>
          <w:sz w:val="22"/>
          <w:szCs w:val="22"/>
        </w:rPr>
        <w:t>Cuxhaven</w:t>
      </w:r>
      <w:proofErr w:type="spellEnd"/>
      <w:r>
        <w:rPr>
          <w:bCs/>
          <w:sz w:val="22"/>
          <w:szCs w:val="22"/>
        </w:rPr>
        <w:t xml:space="preserve">, </w:t>
      </w:r>
      <w:r w:rsidRPr="00E8782A">
        <w:rPr>
          <w:sz w:val="22"/>
          <w:szCs w:val="22"/>
          <w:lang w:val="sl-SI"/>
        </w:rPr>
        <w:t>Německo</w:t>
      </w:r>
    </w:p>
    <w:p w:rsidR="00717046" w:rsidRDefault="00717046" w:rsidP="00126F69">
      <w:pPr>
        <w:ind w:left="709"/>
        <w:rPr>
          <w:strike/>
          <w:highlight w:val="magenta"/>
        </w:rPr>
      </w:pPr>
      <w:r>
        <w:rPr>
          <w:u w:val="single"/>
        </w:rPr>
        <w:t>Výrobce odpovědný za uvolnění šarže</w:t>
      </w:r>
      <w:r>
        <w:t>:</w:t>
      </w:r>
      <w:r>
        <w:rPr>
          <w:strike/>
        </w:rPr>
        <w:t xml:space="preserve"> </w:t>
      </w:r>
    </w:p>
    <w:p w:rsidR="00E9453F" w:rsidRPr="00EF6784" w:rsidRDefault="00314CA9" w:rsidP="00126F69">
      <w:pPr>
        <w:autoSpaceDE w:val="0"/>
        <w:autoSpaceDN w:val="0"/>
        <w:adjustRightInd w:val="0"/>
        <w:ind w:left="709"/>
        <w:rPr>
          <w:color w:val="000000"/>
        </w:rPr>
      </w:pPr>
      <w:proofErr w:type="spellStart"/>
      <w:r>
        <w:rPr>
          <w:color w:val="000000"/>
        </w:rPr>
        <w:t>Elanco</w:t>
      </w:r>
      <w:proofErr w:type="spellEnd"/>
      <w:r>
        <w:rPr>
          <w:color w:val="000000"/>
        </w:rPr>
        <w:t xml:space="preserve"> France SAS</w:t>
      </w:r>
      <w:r w:rsidR="00E9453F" w:rsidRPr="00EF6784">
        <w:rPr>
          <w:color w:val="000000"/>
        </w:rPr>
        <w:t xml:space="preserve">, 26, </w:t>
      </w:r>
      <w:proofErr w:type="spellStart"/>
      <w:r>
        <w:rPr>
          <w:color w:val="000000"/>
        </w:rPr>
        <w:t>R</w:t>
      </w:r>
      <w:r w:rsidR="00E9453F" w:rsidRPr="00EF6784">
        <w:rPr>
          <w:color w:val="000000"/>
        </w:rPr>
        <w:t>ue</w:t>
      </w:r>
      <w:proofErr w:type="spellEnd"/>
      <w:r w:rsidR="00E9453F" w:rsidRPr="00EF6784">
        <w:rPr>
          <w:color w:val="000000"/>
        </w:rPr>
        <w:t xml:space="preserve"> de </w:t>
      </w:r>
      <w:smartTag w:uri="urn:schemas-microsoft-com:office:smarttags" w:element="PersonName">
        <w:smartTagPr>
          <w:attr w:name="ProductID" w:val="la Chapelle"/>
        </w:smartTagPr>
        <w:r w:rsidR="00E9453F" w:rsidRPr="00EF6784">
          <w:rPr>
            <w:color w:val="000000"/>
          </w:rPr>
          <w:t xml:space="preserve">la </w:t>
        </w:r>
        <w:proofErr w:type="spellStart"/>
        <w:r w:rsidR="00E9453F" w:rsidRPr="00EF6784">
          <w:rPr>
            <w:color w:val="000000"/>
          </w:rPr>
          <w:t>Chapelle</w:t>
        </w:r>
      </w:smartTag>
      <w:proofErr w:type="spellEnd"/>
      <w:r w:rsidR="00E9453F" w:rsidRPr="00EF6784">
        <w:rPr>
          <w:color w:val="000000"/>
        </w:rPr>
        <w:t xml:space="preserve">, F-68330 </w:t>
      </w:r>
      <w:proofErr w:type="spellStart"/>
      <w:r w:rsidR="00E9453F" w:rsidRPr="00EF6784">
        <w:rPr>
          <w:color w:val="000000"/>
        </w:rPr>
        <w:t>Huningue</w:t>
      </w:r>
      <w:proofErr w:type="spellEnd"/>
      <w:r w:rsidR="00E9453F" w:rsidRPr="00EF6784">
        <w:rPr>
          <w:color w:val="000000"/>
        </w:rPr>
        <w:t>, Franc</w:t>
      </w:r>
      <w:r w:rsidR="0075049B">
        <w:rPr>
          <w:color w:val="000000"/>
        </w:rPr>
        <w:t>i</w:t>
      </w:r>
      <w:r w:rsidR="00E9453F" w:rsidRPr="00EF6784">
        <w:rPr>
          <w:color w:val="000000"/>
        </w:rPr>
        <w:t>e</w:t>
      </w:r>
    </w:p>
    <w:p w:rsidR="00E9453F" w:rsidRPr="00EF6784" w:rsidRDefault="00E9453F" w:rsidP="00126F69">
      <w:pPr>
        <w:ind w:left="709"/>
        <w:rPr>
          <w:bCs/>
          <w:u w:val="single"/>
        </w:rPr>
      </w:pPr>
    </w:p>
    <w:p w:rsidR="00717046" w:rsidRDefault="00717046"/>
    <w:p w:rsidR="00717046" w:rsidRDefault="00717046"/>
    <w:p w:rsidR="00717046" w:rsidRDefault="00717046">
      <w:pPr>
        <w:numPr>
          <w:ilvl w:val="0"/>
          <w:numId w:val="39"/>
        </w:numPr>
        <w:rPr>
          <w:b/>
        </w:rPr>
      </w:pPr>
      <w:r>
        <w:rPr>
          <w:b/>
        </w:rPr>
        <w:t>NÁZEV VETERINÁRNÍHO LÉČIVÉHO PŘÍPRAVKU</w:t>
      </w:r>
    </w:p>
    <w:p w:rsidR="00717046" w:rsidRDefault="00717046">
      <w:pPr>
        <w:rPr>
          <w:b/>
        </w:rPr>
      </w:pPr>
    </w:p>
    <w:p w:rsidR="00E90EAC" w:rsidRPr="00E90EAC" w:rsidRDefault="00E90EAC">
      <w:pPr>
        <w:ind w:firstLine="705"/>
        <w:rPr>
          <w:b/>
          <w:sz w:val="28"/>
          <w:szCs w:val="28"/>
        </w:rPr>
      </w:pPr>
      <w:proofErr w:type="spellStart"/>
      <w:r w:rsidRPr="00E90EAC">
        <w:rPr>
          <w:b/>
          <w:sz w:val="28"/>
          <w:szCs w:val="28"/>
        </w:rPr>
        <w:t>Denagard</w:t>
      </w:r>
      <w:proofErr w:type="spellEnd"/>
      <w:r w:rsidRPr="00E90EAC">
        <w:rPr>
          <w:b/>
          <w:sz w:val="28"/>
          <w:szCs w:val="28"/>
        </w:rPr>
        <w:t xml:space="preserve"> </w:t>
      </w:r>
      <w:r w:rsidR="001D4538">
        <w:rPr>
          <w:b/>
          <w:sz w:val="28"/>
          <w:szCs w:val="28"/>
        </w:rPr>
        <w:t>1</w:t>
      </w:r>
      <w:r w:rsidRPr="00E90EAC">
        <w:rPr>
          <w:b/>
          <w:sz w:val="28"/>
          <w:szCs w:val="28"/>
        </w:rPr>
        <w:t xml:space="preserve">00 mg/ml injekční roztok </w:t>
      </w:r>
      <w:r w:rsidR="00C70D0C">
        <w:rPr>
          <w:b/>
          <w:sz w:val="28"/>
          <w:szCs w:val="28"/>
        </w:rPr>
        <w:t>pro prasata</w:t>
      </w:r>
    </w:p>
    <w:p w:rsidR="00717046" w:rsidRDefault="00717046">
      <w:pPr>
        <w:ind w:firstLine="705"/>
        <w:rPr>
          <w:b/>
        </w:rPr>
      </w:pPr>
      <w:proofErr w:type="spellStart"/>
      <w:r>
        <w:rPr>
          <w:bCs/>
        </w:rPr>
        <w:t>Tiamulin</w:t>
      </w:r>
      <w:r w:rsidR="00083FF2">
        <w:rPr>
          <w:bCs/>
        </w:rPr>
        <w:t>um</w:t>
      </w:r>
      <w:proofErr w:type="spellEnd"/>
    </w:p>
    <w:p w:rsidR="00E90EAC" w:rsidRDefault="00E90EAC">
      <w:pPr>
        <w:ind w:firstLine="705"/>
        <w:rPr>
          <w:b/>
        </w:rPr>
      </w:pPr>
    </w:p>
    <w:p w:rsidR="00126F69" w:rsidRDefault="00126F69">
      <w:pPr>
        <w:ind w:firstLine="705"/>
        <w:rPr>
          <w:b/>
        </w:rPr>
      </w:pPr>
    </w:p>
    <w:p w:rsidR="00717046" w:rsidRDefault="00717046">
      <w:pPr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717046" w:rsidRDefault="00717046">
      <w:pPr>
        <w:ind w:left="720"/>
      </w:pPr>
    </w:p>
    <w:p w:rsidR="00717046" w:rsidRDefault="00717046">
      <w:pPr>
        <w:ind w:left="720"/>
      </w:pPr>
      <w:r>
        <w:t>1 ml roztoku obsahuje</w:t>
      </w:r>
    </w:p>
    <w:p w:rsidR="00717046" w:rsidRDefault="00717046">
      <w:pPr>
        <w:pStyle w:val="Nadpis1"/>
        <w:ind w:left="720"/>
      </w:pPr>
      <w:r>
        <w:rPr>
          <w:rFonts w:ascii="Times New Roman" w:hAnsi="Times New Roman"/>
          <w:sz w:val="24"/>
        </w:rPr>
        <w:t>Léčivá látka:</w:t>
      </w:r>
      <w:r>
        <w:t xml:space="preserve"> </w:t>
      </w:r>
    </w:p>
    <w:p w:rsidR="00717046" w:rsidRDefault="00717046">
      <w:pPr>
        <w:ind w:left="720"/>
      </w:pPr>
      <w:proofErr w:type="spellStart"/>
      <w:r>
        <w:t>Tiamulin</w:t>
      </w:r>
      <w:r w:rsidR="00083FF2">
        <w:t>um</w:t>
      </w:r>
      <w:proofErr w:type="spellEnd"/>
      <w:r>
        <w:tab/>
      </w:r>
      <w:r>
        <w:tab/>
      </w:r>
      <w:r w:rsidR="002B7480">
        <w:tab/>
      </w:r>
      <w:r>
        <w:t>1</w:t>
      </w:r>
      <w:r w:rsidR="001D4538">
        <w:t>00</w:t>
      </w:r>
      <w:r>
        <w:t xml:space="preserve"> mg </w:t>
      </w:r>
    </w:p>
    <w:p w:rsidR="00717046" w:rsidRDefault="00717046" w:rsidP="00F747EF">
      <w:pPr>
        <w:ind w:left="720"/>
      </w:pPr>
      <w:r>
        <w:t xml:space="preserve">(odpovídá </w:t>
      </w:r>
      <w:r w:rsidR="001D4538">
        <w:t>123</w:t>
      </w:r>
      <w:r>
        <w:t xml:space="preserve"> mg </w:t>
      </w:r>
      <w:proofErr w:type="spellStart"/>
      <w:r>
        <w:t>Tiamulini</w:t>
      </w:r>
      <w:proofErr w:type="spellEnd"/>
      <w:r>
        <w:t xml:space="preserve"> </w:t>
      </w:r>
      <w:proofErr w:type="spellStart"/>
      <w:r>
        <w:t>hydrogenfumaras</w:t>
      </w:r>
      <w:proofErr w:type="spellEnd"/>
      <w:r>
        <w:t>)</w:t>
      </w:r>
    </w:p>
    <w:p w:rsidR="00717046" w:rsidRDefault="00717046">
      <w:pPr>
        <w:ind w:left="720"/>
      </w:pPr>
    </w:p>
    <w:p w:rsidR="00717046" w:rsidRDefault="00717046">
      <w:pPr>
        <w:tabs>
          <w:tab w:val="left" w:pos="0"/>
          <w:tab w:val="right" w:pos="6480"/>
        </w:tabs>
        <w:ind w:left="720"/>
      </w:pPr>
      <w:r>
        <w:rPr>
          <w:b/>
        </w:rPr>
        <w:t>Pomocné látky:</w:t>
      </w:r>
      <w:r>
        <w:t xml:space="preserve"> </w:t>
      </w:r>
    </w:p>
    <w:p w:rsidR="00717046" w:rsidRDefault="001D4538" w:rsidP="001D4538">
      <w:pPr>
        <w:ind w:firstLine="705"/>
        <w:rPr>
          <w:b/>
        </w:rPr>
      </w:pPr>
      <w:proofErr w:type="spellStart"/>
      <w:r>
        <w:t>Ethanol</w:t>
      </w:r>
      <w:proofErr w:type="spellEnd"/>
      <w:r>
        <w:t xml:space="preserve"> (96% v/v)</w:t>
      </w:r>
      <w:r>
        <w:tab/>
      </w:r>
      <w:r>
        <w:tab/>
        <w:t>34 mg</w:t>
      </w:r>
      <w:r w:rsidDel="008351A5">
        <w:t xml:space="preserve"> </w:t>
      </w:r>
    </w:p>
    <w:p w:rsidR="00717046" w:rsidRDefault="00717046"/>
    <w:p w:rsidR="00126F69" w:rsidRDefault="00126F69"/>
    <w:p w:rsidR="00717046" w:rsidRDefault="00717046" w:rsidP="00F50980">
      <w:pPr>
        <w:numPr>
          <w:ilvl w:val="0"/>
          <w:numId w:val="46"/>
        </w:numPr>
        <w:rPr>
          <w:b/>
        </w:rPr>
      </w:pPr>
      <w:r>
        <w:rPr>
          <w:b/>
        </w:rPr>
        <w:t>INDIKACE</w:t>
      </w:r>
    </w:p>
    <w:p w:rsidR="006F2E97" w:rsidRDefault="006F2E97" w:rsidP="006F2E97">
      <w:pPr>
        <w:ind w:left="705"/>
        <w:rPr>
          <w:b/>
        </w:rPr>
      </w:pPr>
    </w:p>
    <w:p w:rsidR="006F2E97" w:rsidRPr="006F2E97" w:rsidRDefault="006F2E97" w:rsidP="006F2E97">
      <w:pPr>
        <w:ind w:left="705"/>
        <w:rPr>
          <w:bCs/>
        </w:rPr>
      </w:pPr>
      <w:r w:rsidRPr="006F2E97">
        <w:rPr>
          <w:bCs/>
        </w:rPr>
        <w:t xml:space="preserve">Léčba infekcí prasat vyvolaných zárodky citlivými na </w:t>
      </w:r>
      <w:proofErr w:type="spellStart"/>
      <w:r w:rsidRPr="006F2E97">
        <w:rPr>
          <w:bCs/>
        </w:rPr>
        <w:t>tiamulin</w:t>
      </w:r>
      <w:proofErr w:type="spellEnd"/>
      <w:r w:rsidRPr="006F2E97">
        <w:rPr>
          <w:bCs/>
        </w:rPr>
        <w:t>:</w:t>
      </w:r>
    </w:p>
    <w:p w:rsidR="00C70D0C" w:rsidRPr="006F2E97" w:rsidRDefault="006F2E97" w:rsidP="006F2E97">
      <w:pPr>
        <w:pStyle w:val="Nadpis3"/>
        <w:ind w:left="705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F2E97">
        <w:rPr>
          <w:rFonts w:ascii="Times New Roman" w:hAnsi="Times New Roman" w:cs="Times New Roman"/>
          <w:sz w:val="24"/>
          <w:szCs w:val="24"/>
        </w:rPr>
        <w:t>-</w:t>
      </w:r>
      <w:r w:rsidR="00C70D0C" w:rsidRPr="006F2E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D0C" w:rsidRPr="006F2E97">
        <w:rPr>
          <w:rFonts w:ascii="Times New Roman" w:hAnsi="Times New Roman" w:cs="Times New Roman"/>
          <w:sz w:val="24"/>
          <w:szCs w:val="24"/>
        </w:rPr>
        <w:t>dysenterie</w:t>
      </w:r>
      <w:proofErr w:type="spellEnd"/>
      <w:r w:rsidR="00C70D0C" w:rsidRPr="006F2E97">
        <w:rPr>
          <w:rFonts w:ascii="Times New Roman" w:hAnsi="Times New Roman" w:cs="Times New Roman"/>
          <w:sz w:val="24"/>
          <w:szCs w:val="24"/>
        </w:rPr>
        <w:t xml:space="preserve"> </w:t>
      </w:r>
      <w:r w:rsidR="00CC19F4" w:rsidRPr="006F2E97">
        <w:rPr>
          <w:rFonts w:ascii="Times New Roman" w:hAnsi="Times New Roman" w:cs="Times New Roman"/>
          <w:sz w:val="24"/>
          <w:szCs w:val="24"/>
        </w:rPr>
        <w:t xml:space="preserve">prasat </w:t>
      </w:r>
      <w:r w:rsidR="00C70D0C" w:rsidRPr="006F2E97">
        <w:rPr>
          <w:rFonts w:ascii="Times New Roman" w:hAnsi="Times New Roman" w:cs="Times New Roman"/>
          <w:b w:val="0"/>
          <w:sz w:val="24"/>
          <w:szCs w:val="24"/>
        </w:rPr>
        <w:t xml:space="preserve">způsobené </w:t>
      </w:r>
      <w:proofErr w:type="spellStart"/>
      <w:r w:rsidR="00C70D0C" w:rsidRPr="006F2E9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Brachyspira</w:t>
      </w:r>
      <w:proofErr w:type="spellEnd"/>
      <w:r w:rsidR="00C70D0C" w:rsidRPr="006F2E9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proofErr w:type="spellStart"/>
      <w:r w:rsidR="00C70D0C" w:rsidRPr="006F2E9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hyodysenteriae</w:t>
      </w:r>
      <w:proofErr w:type="spellEnd"/>
      <w:r w:rsidR="00C70D0C" w:rsidRPr="006F2E9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a komplikované </w:t>
      </w:r>
      <w:proofErr w:type="spellStart"/>
      <w:r w:rsidR="00C70D0C" w:rsidRPr="006F2E9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Bacteroides</w:t>
      </w:r>
      <w:proofErr w:type="spellEnd"/>
      <w:r w:rsidR="00C70D0C" w:rsidRPr="006F2E9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proofErr w:type="spellStart"/>
      <w:r w:rsidR="00C70D0C" w:rsidRPr="0075049B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spp</w:t>
      </w:r>
      <w:proofErr w:type="spellEnd"/>
      <w:r w:rsidR="007504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C70D0C" w:rsidRPr="007504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C70D0C" w:rsidRPr="006F2E9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a </w:t>
      </w:r>
      <w:proofErr w:type="spellStart"/>
      <w:r w:rsidR="00C70D0C" w:rsidRPr="006F2E9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Fusobacterium</w:t>
      </w:r>
      <w:proofErr w:type="spellEnd"/>
      <w:r w:rsidR="00C70D0C" w:rsidRPr="006F2E97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proofErr w:type="spellStart"/>
      <w:r w:rsidR="00C70D0C" w:rsidRPr="0075049B">
        <w:rPr>
          <w:rFonts w:ascii="Times New Roman" w:hAnsi="Times New Roman" w:cs="Times New Roman"/>
          <w:b w:val="0"/>
          <w:bCs w:val="0"/>
          <w:iCs/>
          <w:color w:val="000000"/>
          <w:sz w:val="24"/>
          <w:szCs w:val="24"/>
        </w:rPr>
        <w:t>spp</w:t>
      </w:r>
      <w:proofErr w:type="spellEnd"/>
      <w:r w:rsidR="00C70D0C" w:rsidRPr="007504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C8085C" w:rsidRPr="0075049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</w:p>
    <w:p w:rsidR="00C70D0C" w:rsidRDefault="00C70D0C" w:rsidP="00C70D0C">
      <w:pPr>
        <w:ind w:left="705"/>
      </w:pPr>
    </w:p>
    <w:p w:rsidR="00C70D0C" w:rsidRDefault="006F2E97" w:rsidP="006F2E97">
      <w:pPr>
        <w:ind w:left="705"/>
      </w:pPr>
      <w:r>
        <w:rPr>
          <w:b/>
        </w:rPr>
        <w:t>-</w:t>
      </w:r>
      <w:r w:rsidR="00C70D0C" w:rsidRPr="000F3835">
        <w:rPr>
          <w:b/>
        </w:rPr>
        <w:t xml:space="preserve"> komplexu respiračních onemocnění prasat ( PRDC)</w:t>
      </w:r>
      <w:r w:rsidR="00C70D0C">
        <w:t xml:space="preserve"> způsobené </w:t>
      </w:r>
      <w:proofErr w:type="spellStart"/>
      <w:r w:rsidR="00C70D0C" w:rsidRPr="000F3835">
        <w:rPr>
          <w:i/>
        </w:rPr>
        <w:t>Mycoplasma</w:t>
      </w:r>
      <w:proofErr w:type="spellEnd"/>
      <w:r w:rsidR="00C70D0C" w:rsidRPr="000F3835">
        <w:rPr>
          <w:i/>
        </w:rPr>
        <w:t xml:space="preserve"> </w:t>
      </w:r>
      <w:proofErr w:type="spellStart"/>
      <w:r w:rsidR="00C70D0C" w:rsidRPr="000F3835">
        <w:rPr>
          <w:i/>
        </w:rPr>
        <w:t>hyopneumoniae</w:t>
      </w:r>
      <w:proofErr w:type="spellEnd"/>
      <w:r w:rsidR="00C70D0C">
        <w:t xml:space="preserve"> a komplikované viry a bakteriemi</w:t>
      </w:r>
      <w:r w:rsidR="00C8085C">
        <w:t>,</w:t>
      </w:r>
    </w:p>
    <w:p w:rsidR="00C70D0C" w:rsidRDefault="00C70D0C" w:rsidP="00C70D0C">
      <w:pPr>
        <w:ind w:left="705"/>
      </w:pPr>
    </w:p>
    <w:p w:rsidR="00C70D0C" w:rsidRDefault="006F2E97" w:rsidP="00C8085C">
      <w:pPr>
        <w:ind w:left="705"/>
      </w:pPr>
      <w:r>
        <w:rPr>
          <w:b/>
        </w:rPr>
        <w:t xml:space="preserve">- </w:t>
      </w:r>
      <w:r w:rsidR="00C70D0C" w:rsidRPr="00135DE2">
        <w:rPr>
          <w:b/>
        </w:rPr>
        <w:t>artritidy</w:t>
      </w:r>
      <w:r w:rsidR="00C70D0C" w:rsidRPr="00CC19F4">
        <w:rPr>
          <w:b/>
        </w:rPr>
        <w:t xml:space="preserve"> </w:t>
      </w:r>
      <w:r w:rsidR="00CC19F4" w:rsidRPr="00CC19F4">
        <w:rPr>
          <w:b/>
        </w:rPr>
        <w:t xml:space="preserve">prasat </w:t>
      </w:r>
      <w:r w:rsidR="00C70D0C">
        <w:t xml:space="preserve">způsobené </w:t>
      </w:r>
      <w:proofErr w:type="spellStart"/>
      <w:r w:rsidR="00C70D0C" w:rsidRPr="00135DE2">
        <w:rPr>
          <w:i/>
        </w:rPr>
        <w:t>Mycoplasma</w:t>
      </w:r>
      <w:proofErr w:type="spellEnd"/>
      <w:r w:rsidR="00C70D0C" w:rsidRPr="00135DE2">
        <w:rPr>
          <w:i/>
        </w:rPr>
        <w:t xml:space="preserve"> </w:t>
      </w:r>
      <w:proofErr w:type="spellStart"/>
      <w:r w:rsidR="00C70D0C" w:rsidRPr="00135DE2">
        <w:rPr>
          <w:i/>
        </w:rPr>
        <w:t>hyosynoviae</w:t>
      </w:r>
      <w:proofErr w:type="spellEnd"/>
      <w:r w:rsidR="00C70D0C">
        <w:t xml:space="preserve"> pro snížení příznaků kulhání</w:t>
      </w:r>
      <w:r w:rsidR="00C8085C">
        <w:t>,</w:t>
      </w:r>
    </w:p>
    <w:p w:rsidR="00C70D0C" w:rsidRDefault="00C70D0C" w:rsidP="00C70D0C"/>
    <w:p w:rsidR="00C70D0C" w:rsidRDefault="00C70D0C" w:rsidP="006F2E97">
      <w:r>
        <w:tab/>
      </w:r>
      <w:r w:rsidR="006F2E97">
        <w:rPr>
          <w:b/>
        </w:rPr>
        <w:t xml:space="preserve">- </w:t>
      </w:r>
      <w:r w:rsidRPr="001C1543">
        <w:rPr>
          <w:b/>
        </w:rPr>
        <w:t>pleuropneumonie prasat</w:t>
      </w:r>
      <w:r>
        <w:t xml:space="preserve"> způsobené </w:t>
      </w:r>
      <w:proofErr w:type="spellStart"/>
      <w:r w:rsidRPr="001C1543">
        <w:rPr>
          <w:i/>
        </w:rPr>
        <w:t>Actinobacillus</w:t>
      </w:r>
      <w:proofErr w:type="spellEnd"/>
      <w:r w:rsidRPr="001C1543">
        <w:rPr>
          <w:i/>
        </w:rPr>
        <w:t xml:space="preserve"> </w:t>
      </w:r>
      <w:proofErr w:type="spellStart"/>
      <w:r w:rsidRPr="001C1543">
        <w:rPr>
          <w:i/>
        </w:rPr>
        <w:t>pleuropneumoni</w:t>
      </w:r>
      <w:r w:rsidR="007D3479">
        <w:rPr>
          <w:i/>
        </w:rPr>
        <w:t>a</w:t>
      </w:r>
      <w:r w:rsidRPr="001C1543">
        <w:rPr>
          <w:i/>
        </w:rPr>
        <w:t>e</w:t>
      </w:r>
      <w:proofErr w:type="spellEnd"/>
      <w:r w:rsidR="00C8085C">
        <w:rPr>
          <w:i/>
        </w:rPr>
        <w:t>.</w:t>
      </w:r>
    </w:p>
    <w:p w:rsidR="00717046" w:rsidRDefault="00717046">
      <w:pPr>
        <w:ind w:firstLine="708"/>
        <w:rPr>
          <w:b/>
        </w:rPr>
      </w:pPr>
    </w:p>
    <w:p w:rsidR="00717046" w:rsidRDefault="00717046">
      <w:pPr>
        <w:rPr>
          <w:b/>
        </w:rPr>
      </w:pPr>
    </w:p>
    <w:p w:rsidR="00717046" w:rsidRDefault="00717046">
      <w:r>
        <w:rPr>
          <w:b/>
        </w:rPr>
        <w:t xml:space="preserve">5. </w:t>
      </w:r>
      <w:r>
        <w:rPr>
          <w:b/>
        </w:rPr>
        <w:tab/>
        <w:t>KONTRAINDIKACE</w:t>
      </w:r>
    </w:p>
    <w:p w:rsidR="00C70D0C" w:rsidRPr="00135DE2" w:rsidRDefault="00C70D0C" w:rsidP="00501B92">
      <w:pPr>
        <w:ind w:left="705"/>
        <w:jc w:val="both"/>
      </w:pPr>
      <w:r w:rsidRPr="00135DE2">
        <w:t xml:space="preserve">Zvířatům by se neměly podávat přípravky obsahující </w:t>
      </w:r>
      <w:proofErr w:type="spellStart"/>
      <w:r w:rsidRPr="00135DE2">
        <w:t>monensin</w:t>
      </w:r>
      <w:proofErr w:type="spellEnd"/>
      <w:r w:rsidRPr="00135DE2">
        <w:t xml:space="preserve">, </w:t>
      </w:r>
      <w:proofErr w:type="spellStart"/>
      <w:r w:rsidR="00501B92">
        <w:t>narasin</w:t>
      </w:r>
      <w:proofErr w:type="spellEnd"/>
      <w:r w:rsidR="00501B92">
        <w:t xml:space="preserve">, </w:t>
      </w:r>
      <w:proofErr w:type="spellStart"/>
      <w:r w:rsidR="00501B92">
        <w:t>maduramycin</w:t>
      </w:r>
      <w:proofErr w:type="spellEnd"/>
      <w:r w:rsidRPr="00135DE2">
        <w:t xml:space="preserve"> nebo </w:t>
      </w:r>
      <w:proofErr w:type="spellStart"/>
      <w:r w:rsidRPr="00135DE2">
        <w:t>salinomycin</w:t>
      </w:r>
      <w:proofErr w:type="spellEnd"/>
      <w:r w:rsidRPr="00135DE2">
        <w:t xml:space="preserve"> během nebo minimálně sedm dnů před nebo po léčbě </w:t>
      </w:r>
      <w:proofErr w:type="spellStart"/>
      <w:r w:rsidRPr="00135DE2">
        <w:t>tiamulinem</w:t>
      </w:r>
      <w:proofErr w:type="spellEnd"/>
      <w:r w:rsidRPr="00135DE2">
        <w:t>. To může vést k vážnému omezení růstu nebo k úhynu.</w:t>
      </w:r>
    </w:p>
    <w:p w:rsidR="00C70D0C" w:rsidRPr="00135DE2" w:rsidRDefault="00C70D0C" w:rsidP="006F2E97">
      <w:pPr>
        <w:ind w:firstLine="705"/>
        <w:jc w:val="both"/>
        <w:rPr>
          <w:color w:val="000000"/>
        </w:rPr>
      </w:pPr>
      <w:r w:rsidRPr="00135DE2">
        <w:rPr>
          <w:color w:val="000000"/>
        </w:rPr>
        <w:lastRenderedPageBreak/>
        <w:t xml:space="preserve">Informace týkající se interakce mezi </w:t>
      </w:r>
      <w:proofErr w:type="spellStart"/>
      <w:r w:rsidRPr="00135DE2">
        <w:rPr>
          <w:color w:val="000000"/>
        </w:rPr>
        <w:t>tiamulinem</w:t>
      </w:r>
      <w:proofErr w:type="spellEnd"/>
      <w:r w:rsidRPr="00135DE2">
        <w:rPr>
          <w:color w:val="000000"/>
        </w:rPr>
        <w:t xml:space="preserve"> a ionofory jsou obsaženy v bodě </w:t>
      </w:r>
      <w:r w:rsidR="006F2E97">
        <w:rPr>
          <w:color w:val="000000"/>
        </w:rPr>
        <w:t>12.</w:t>
      </w:r>
    </w:p>
    <w:p w:rsidR="00F32CAB" w:rsidRDefault="00F32CAB"/>
    <w:p w:rsidR="00126F69" w:rsidRDefault="00126F69"/>
    <w:p w:rsidR="00717046" w:rsidRDefault="00717046" w:rsidP="00F50980">
      <w:pPr>
        <w:numPr>
          <w:ilvl w:val="0"/>
          <w:numId w:val="40"/>
        </w:numPr>
        <w:rPr>
          <w:b/>
        </w:rPr>
      </w:pPr>
      <w:r>
        <w:rPr>
          <w:b/>
        </w:rPr>
        <w:t>NEŽÁDOUCÍ ÚČINKY</w:t>
      </w:r>
    </w:p>
    <w:p w:rsidR="00CC19F4" w:rsidRDefault="00C70D0C" w:rsidP="00C70D0C">
      <w:pPr>
        <w:ind w:left="705"/>
      </w:pPr>
      <w:r>
        <w:t xml:space="preserve">Po podání trojnásobné dávky přípravku nebyly pozorovány žádné vedlejší účinky. </w:t>
      </w:r>
    </w:p>
    <w:p w:rsidR="00CC19F4" w:rsidRDefault="00CC19F4" w:rsidP="002B7480">
      <w:pPr>
        <w:ind w:left="705"/>
      </w:pPr>
      <w:r>
        <w:t xml:space="preserve">Ve vzácných případech se může </w:t>
      </w:r>
      <w:r w:rsidR="00F747EF">
        <w:t xml:space="preserve">po podání přípravku </w:t>
      </w:r>
      <w:r>
        <w:t>objevit lehký otok a zarudnutí kůže.</w:t>
      </w:r>
    </w:p>
    <w:p w:rsidR="00C70D0C" w:rsidRDefault="00C70D0C" w:rsidP="00C70D0C">
      <w:pPr>
        <w:ind w:left="705"/>
      </w:pPr>
      <w:r>
        <w:t>Pokud se objeví příznaky otravy, okamžitě zastavte podávání přípravku a aplikujte podpůrnou symptomatickou léčbu.</w:t>
      </w:r>
    </w:p>
    <w:p w:rsidR="00C70D0C" w:rsidRDefault="00C70D0C">
      <w:pPr>
        <w:ind w:left="705"/>
      </w:pPr>
    </w:p>
    <w:p w:rsidR="00717046" w:rsidRDefault="00C70D0C">
      <w:pPr>
        <w:ind w:left="705"/>
      </w:pPr>
      <w:r>
        <w:t>Pokud zaznamenáte jakékoli jiné nežádoucí účinky, které nejsou uvedeny v této příbalové informaci, oznamte to prosím vašemu veterinárnímu lékaři</w:t>
      </w:r>
      <w:r w:rsidR="00717046">
        <w:t>.</w:t>
      </w:r>
    </w:p>
    <w:p w:rsidR="00717046" w:rsidRDefault="00717046"/>
    <w:p w:rsidR="00126F69" w:rsidRDefault="00126F69"/>
    <w:p w:rsidR="00717046" w:rsidRDefault="00717046">
      <w:r>
        <w:rPr>
          <w:b/>
        </w:rPr>
        <w:t>7.</w:t>
      </w:r>
      <w:r>
        <w:rPr>
          <w:b/>
        </w:rPr>
        <w:tab/>
        <w:t>CÍLOVÝ DRUH ZVÍŘAT</w:t>
      </w:r>
    </w:p>
    <w:p w:rsidR="00717046" w:rsidRDefault="00717046" w:rsidP="00ED3F2C">
      <w:pPr>
        <w:ind w:firstLine="708"/>
      </w:pPr>
      <w:r>
        <w:t>Pras</w:t>
      </w:r>
      <w:r w:rsidR="00ED3F2C">
        <w:t>e</w:t>
      </w:r>
    </w:p>
    <w:p w:rsidR="00717046" w:rsidRDefault="00717046">
      <w:pPr>
        <w:rPr>
          <w:b/>
        </w:rPr>
      </w:pPr>
    </w:p>
    <w:p w:rsidR="00126F69" w:rsidRDefault="00126F69">
      <w:pPr>
        <w:rPr>
          <w:b/>
        </w:rPr>
      </w:pPr>
    </w:p>
    <w:p w:rsidR="00717046" w:rsidRDefault="00717046">
      <w:r>
        <w:rPr>
          <w:b/>
        </w:rPr>
        <w:t>8.</w:t>
      </w:r>
      <w:r>
        <w:rPr>
          <w:b/>
        </w:rPr>
        <w:tab/>
        <w:t xml:space="preserve">DÁVKOVÁNÍ PRO KAŽDÝ DRUH, </w:t>
      </w:r>
      <w:r w:rsidR="002B7480">
        <w:rPr>
          <w:b/>
        </w:rPr>
        <w:t>CESTA (Y) A ZPŮSOB</w:t>
      </w:r>
      <w:r>
        <w:rPr>
          <w:b/>
        </w:rPr>
        <w:t xml:space="preserve"> PODÁNÍ</w:t>
      </w:r>
    </w:p>
    <w:p w:rsidR="00103B50" w:rsidRDefault="00C70D0C" w:rsidP="00103B50">
      <w:pPr>
        <w:ind w:left="708"/>
        <w:jc w:val="both"/>
      </w:pPr>
      <w:r>
        <w:t>Pro intramuskulární aplikaci u prasat.</w:t>
      </w:r>
      <w:r w:rsidR="00103B50">
        <w:t xml:space="preserve"> Preferenčně do oblasti krční svaloviny.</w:t>
      </w:r>
    </w:p>
    <w:p w:rsidR="00CC19F4" w:rsidRDefault="00CC19F4" w:rsidP="00CC19F4">
      <w:pPr>
        <w:ind w:left="708"/>
        <w:jc w:val="both"/>
      </w:pPr>
      <w:r>
        <w:t>Maximální objem do jednoho místa injekční aplikace nesmí přesáhnout 10 ml.</w:t>
      </w:r>
    </w:p>
    <w:p w:rsidR="00C70D0C" w:rsidRDefault="00C70D0C" w:rsidP="00CC19F4">
      <w:pPr>
        <w:tabs>
          <w:tab w:val="left" w:pos="1126"/>
        </w:tabs>
        <w:ind w:left="708"/>
        <w:jc w:val="both"/>
      </w:pPr>
    </w:p>
    <w:p w:rsidR="00C70D0C" w:rsidRPr="00C52627" w:rsidRDefault="00C70D0C" w:rsidP="00C70D0C">
      <w:pPr>
        <w:ind w:left="708"/>
        <w:jc w:val="both"/>
      </w:pPr>
      <w:r w:rsidRPr="00C52627">
        <w:t xml:space="preserve">K zajištění správného dávkování by měla být určena živá hmotnost co možná nejpřesněji, aby se předešlo </w:t>
      </w:r>
      <w:proofErr w:type="spellStart"/>
      <w:r w:rsidRPr="00C52627">
        <w:t>poddávkování</w:t>
      </w:r>
      <w:proofErr w:type="spellEnd"/>
      <w:r w:rsidRPr="00C52627">
        <w:t>.</w:t>
      </w:r>
    </w:p>
    <w:p w:rsidR="00C70D0C" w:rsidRPr="00C52627" w:rsidRDefault="00C70D0C" w:rsidP="00C70D0C">
      <w:pPr>
        <w:ind w:left="708"/>
        <w:jc w:val="both"/>
      </w:pPr>
    </w:p>
    <w:p w:rsidR="00C70D0C" w:rsidRPr="00F747EF" w:rsidRDefault="006F2E97" w:rsidP="006F2E97">
      <w:pPr>
        <w:numPr>
          <w:ilvl w:val="0"/>
          <w:numId w:val="44"/>
        </w:numPr>
        <w:tabs>
          <w:tab w:val="clear" w:pos="1440"/>
          <w:tab w:val="num" w:pos="900"/>
        </w:tabs>
        <w:rPr>
          <w:u w:val="single"/>
        </w:rPr>
      </w:pPr>
      <w:r>
        <w:t xml:space="preserve"> </w:t>
      </w:r>
      <w:r w:rsidR="00C70D0C" w:rsidRPr="00F747EF">
        <w:rPr>
          <w:u w:val="single"/>
        </w:rPr>
        <w:t xml:space="preserve">Léčba </w:t>
      </w:r>
      <w:proofErr w:type="spellStart"/>
      <w:r w:rsidR="00C70D0C" w:rsidRPr="00F747EF">
        <w:rPr>
          <w:u w:val="single"/>
        </w:rPr>
        <w:t>dysenterie</w:t>
      </w:r>
      <w:proofErr w:type="spellEnd"/>
      <w:r w:rsidR="00CC19F4" w:rsidRPr="00F747EF">
        <w:rPr>
          <w:u w:val="single"/>
        </w:rPr>
        <w:t xml:space="preserve"> prasat</w:t>
      </w:r>
    </w:p>
    <w:p w:rsidR="00C70D0C" w:rsidRDefault="00C70D0C" w:rsidP="006F2E97">
      <w:pPr>
        <w:ind w:left="708"/>
      </w:pPr>
      <w:r>
        <w:t>Cílová dávka je 8,0</w:t>
      </w:r>
      <w:r w:rsidR="0075049B">
        <w:t xml:space="preserve"> </w:t>
      </w:r>
      <w:r>
        <w:t xml:space="preserve">mg </w:t>
      </w:r>
      <w:proofErr w:type="spellStart"/>
      <w:r>
        <w:t>tiamulinu</w:t>
      </w:r>
      <w:proofErr w:type="spellEnd"/>
      <w:r>
        <w:t xml:space="preserve"> báze/kg živé hmotnosti (ekvivalent k</w:t>
      </w:r>
      <w:r w:rsidR="0075049B">
        <w:t> </w:t>
      </w:r>
      <w:r>
        <w:t>10</w:t>
      </w:r>
      <w:r w:rsidR="0075049B">
        <w:t xml:space="preserve"> </w:t>
      </w:r>
      <w:r>
        <w:t xml:space="preserve">mg </w:t>
      </w:r>
      <w:proofErr w:type="spellStart"/>
      <w:r>
        <w:t>tiamulin</w:t>
      </w:r>
      <w:proofErr w:type="spellEnd"/>
      <w:r>
        <w:t xml:space="preserve"> </w:t>
      </w:r>
      <w:proofErr w:type="spellStart"/>
      <w:r>
        <w:t>hydrogenfumarátu</w:t>
      </w:r>
      <w:proofErr w:type="spellEnd"/>
      <w:r>
        <w:t xml:space="preserve"> /kg živé hmotnosti) Toho je dosaženo při dávce 1,0 ml/</w:t>
      </w:r>
      <w:r w:rsidR="001D4538">
        <w:t>12,5</w:t>
      </w:r>
      <w:r>
        <w:t xml:space="preserve"> kg ž.hm. podané intramuskulárně 1x denně po dobu 1-2 po sobě jdoucích dnů.</w:t>
      </w:r>
    </w:p>
    <w:p w:rsidR="00C70D0C" w:rsidRDefault="00C70D0C" w:rsidP="00C70D0C"/>
    <w:p w:rsidR="00C70D0C" w:rsidRDefault="00C70D0C" w:rsidP="006F2E97">
      <w:pPr>
        <w:ind w:left="705"/>
      </w:pPr>
      <w:proofErr w:type="spellStart"/>
      <w:r>
        <w:t>ii</w:t>
      </w:r>
      <w:proofErr w:type="spellEnd"/>
      <w:r>
        <w:t xml:space="preserve">) </w:t>
      </w:r>
      <w:r w:rsidRPr="00F747EF">
        <w:rPr>
          <w:u w:val="single"/>
        </w:rPr>
        <w:t>Léčba komplexu respiračních onemocnění prasat (PRDC)</w:t>
      </w:r>
      <w:r>
        <w:t xml:space="preserve"> způsobené </w:t>
      </w:r>
      <w:proofErr w:type="spellStart"/>
      <w:r w:rsidRPr="000F3835">
        <w:rPr>
          <w:i/>
        </w:rPr>
        <w:t>Mycoplasma</w:t>
      </w:r>
      <w:proofErr w:type="spellEnd"/>
      <w:r w:rsidRPr="000F3835">
        <w:rPr>
          <w:i/>
        </w:rPr>
        <w:t xml:space="preserve"> </w:t>
      </w:r>
      <w:proofErr w:type="spellStart"/>
      <w:r w:rsidRPr="000F3835">
        <w:rPr>
          <w:i/>
        </w:rPr>
        <w:t>hyopneumoniae</w:t>
      </w:r>
      <w:proofErr w:type="spellEnd"/>
      <w:r>
        <w:t xml:space="preserve"> a komplikované viry a bakteriemi.</w:t>
      </w:r>
    </w:p>
    <w:p w:rsidR="00C70D0C" w:rsidRDefault="00C70D0C" w:rsidP="006F2E97">
      <w:pPr>
        <w:ind w:left="708"/>
      </w:pPr>
      <w:r>
        <w:t>Cílová dávka je 12,3</w:t>
      </w:r>
      <w:r w:rsidR="00E9453F">
        <w:t xml:space="preserve"> </w:t>
      </w:r>
      <w:r>
        <w:t xml:space="preserve">mg </w:t>
      </w:r>
      <w:proofErr w:type="spellStart"/>
      <w:r>
        <w:t>tiamulinu</w:t>
      </w:r>
      <w:proofErr w:type="spellEnd"/>
      <w:r>
        <w:t xml:space="preserve"> báze/kg živé hmotnosti (ekvivalent k</w:t>
      </w:r>
      <w:r w:rsidR="00E9453F">
        <w:t> </w:t>
      </w:r>
      <w:r>
        <w:t>15</w:t>
      </w:r>
      <w:r w:rsidR="00E9453F">
        <w:t xml:space="preserve"> </w:t>
      </w:r>
      <w:r>
        <w:t xml:space="preserve">mg </w:t>
      </w:r>
      <w:proofErr w:type="spellStart"/>
      <w:r>
        <w:t>tiamulin</w:t>
      </w:r>
      <w:proofErr w:type="spellEnd"/>
      <w:r>
        <w:t xml:space="preserve"> </w:t>
      </w:r>
      <w:proofErr w:type="spellStart"/>
      <w:r>
        <w:t>hydrogenfumarátu</w:t>
      </w:r>
      <w:proofErr w:type="spellEnd"/>
      <w:r>
        <w:t xml:space="preserve"> /kg živé hmotnosti) Toho je dosaženo při dávce 1,5 ml/</w:t>
      </w:r>
      <w:r w:rsidR="001D4538">
        <w:t>12,5</w:t>
      </w:r>
      <w:r>
        <w:t xml:space="preserve"> kg ž.hm. podané intramuskulárně 1x denně po dobu 3 po sobě jdoucích dnů.</w:t>
      </w:r>
    </w:p>
    <w:p w:rsidR="00C70D0C" w:rsidRDefault="00C70D0C" w:rsidP="00C70D0C">
      <w:pPr>
        <w:ind w:left="708"/>
      </w:pPr>
    </w:p>
    <w:p w:rsidR="00C70D0C" w:rsidRDefault="00C70D0C" w:rsidP="00C70D0C">
      <w:pPr>
        <w:ind w:left="708"/>
      </w:pPr>
      <w:proofErr w:type="spellStart"/>
      <w:r>
        <w:t>iii</w:t>
      </w:r>
      <w:proofErr w:type="spellEnd"/>
      <w:r>
        <w:t xml:space="preserve">) </w:t>
      </w:r>
      <w:r w:rsidRPr="00F747EF">
        <w:rPr>
          <w:u w:val="single"/>
        </w:rPr>
        <w:t>Léčba artritidy</w:t>
      </w:r>
      <w:r w:rsidR="00CC19F4" w:rsidRPr="00F747EF">
        <w:rPr>
          <w:u w:val="single"/>
        </w:rPr>
        <w:t xml:space="preserve"> prasat</w:t>
      </w:r>
      <w:r w:rsidRPr="001C1543">
        <w:t xml:space="preserve"> </w:t>
      </w:r>
      <w:r>
        <w:t xml:space="preserve">způsobené </w:t>
      </w:r>
      <w:proofErr w:type="spellStart"/>
      <w:r w:rsidRPr="00135DE2">
        <w:rPr>
          <w:i/>
        </w:rPr>
        <w:t>Mycoplasma</w:t>
      </w:r>
      <w:proofErr w:type="spellEnd"/>
      <w:r w:rsidRPr="00135DE2">
        <w:rPr>
          <w:i/>
        </w:rPr>
        <w:t xml:space="preserve"> </w:t>
      </w:r>
      <w:proofErr w:type="spellStart"/>
      <w:r w:rsidRPr="00135DE2">
        <w:rPr>
          <w:i/>
        </w:rPr>
        <w:t>hyosynoviae</w:t>
      </w:r>
      <w:proofErr w:type="spellEnd"/>
    </w:p>
    <w:p w:rsidR="00C70D0C" w:rsidRDefault="00C70D0C" w:rsidP="006F2E97">
      <w:pPr>
        <w:ind w:left="708"/>
      </w:pPr>
      <w:r>
        <w:t>Cílová dávka je 12,3</w:t>
      </w:r>
      <w:r w:rsidR="00E9453F">
        <w:t xml:space="preserve"> </w:t>
      </w:r>
      <w:r>
        <w:t xml:space="preserve">mg </w:t>
      </w:r>
      <w:proofErr w:type="spellStart"/>
      <w:r>
        <w:t>tiamulinu</w:t>
      </w:r>
      <w:proofErr w:type="spellEnd"/>
      <w:r>
        <w:t xml:space="preserve"> báze/kg živé hmotnosti (ekvivalent k</w:t>
      </w:r>
      <w:r w:rsidR="00E9453F">
        <w:t> </w:t>
      </w:r>
      <w:r>
        <w:t>15</w:t>
      </w:r>
      <w:r w:rsidR="00E9453F">
        <w:t xml:space="preserve"> </w:t>
      </w:r>
      <w:r>
        <w:t xml:space="preserve">mg </w:t>
      </w:r>
      <w:proofErr w:type="spellStart"/>
      <w:r>
        <w:t>tiamulin</w:t>
      </w:r>
      <w:proofErr w:type="spellEnd"/>
      <w:r>
        <w:t xml:space="preserve"> </w:t>
      </w:r>
      <w:proofErr w:type="spellStart"/>
      <w:r>
        <w:t>hydrogenfumarátu</w:t>
      </w:r>
      <w:proofErr w:type="spellEnd"/>
      <w:r>
        <w:t xml:space="preserve"> /kg živé hmotnosti) Toho je dosaženo při dávce 1,5 ml/</w:t>
      </w:r>
      <w:r w:rsidR="001D4538">
        <w:t>12,5</w:t>
      </w:r>
      <w:r>
        <w:t xml:space="preserve"> kg ž.hm. podané intramuskulárně 1x denně po dobu 3 po sobě jdoucích dnů.</w:t>
      </w:r>
    </w:p>
    <w:p w:rsidR="00C70D0C" w:rsidRDefault="00C70D0C" w:rsidP="00C70D0C">
      <w:pPr>
        <w:ind w:left="708"/>
      </w:pPr>
    </w:p>
    <w:p w:rsidR="00C70D0C" w:rsidRDefault="00C70D0C" w:rsidP="00C70D0C">
      <w:pPr>
        <w:ind w:left="708"/>
        <w:rPr>
          <w:i/>
        </w:rPr>
      </w:pPr>
      <w:proofErr w:type="spellStart"/>
      <w:r>
        <w:t>iv</w:t>
      </w:r>
      <w:proofErr w:type="spellEnd"/>
      <w:r w:rsidRPr="001C1543">
        <w:t xml:space="preserve">) </w:t>
      </w:r>
      <w:r w:rsidRPr="00F747EF">
        <w:rPr>
          <w:u w:val="single"/>
        </w:rPr>
        <w:t>Léčba pleuropneumonie prasat</w:t>
      </w:r>
      <w:r>
        <w:t xml:space="preserve"> způsobené </w:t>
      </w:r>
      <w:proofErr w:type="spellStart"/>
      <w:r w:rsidRPr="001C1543">
        <w:rPr>
          <w:i/>
        </w:rPr>
        <w:t>Actinobacillus</w:t>
      </w:r>
      <w:proofErr w:type="spellEnd"/>
      <w:r w:rsidRPr="001C1543">
        <w:rPr>
          <w:i/>
        </w:rPr>
        <w:t xml:space="preserve"> </w:t>
      </w:r>
      <w:proofErr w:type="spellStart"/>
      <w:r w:rsidRPr="001C1543">
        <w:rPr>
          <w:i/>
        </w:rPr>
        <w:t>pleuropneumoni</w:t>
      </w:r>
      <w:r w:rsidR="007D3479">
        <w:rPr>
          <w:i/>
        </w:rPr>
        <w:t>a</w:t>
      </w:r>
      <w:r w:rsidRPr="001C1543">
        <w:rPr>
          <w:i/>
        </w:rPr>
        <w:t>e</w:t>
      </w:r>
      <w:proofErr w:type="spellEnd"/>
    </w:p>
    <w:p w:rsidR="00C70D0C" w:rsidRDefault="00C70D0C" w:rsidP="006F2E97">
      <w:pPr>
        <w:ind w:left="708"/>
      </w:pPr>
      <w:r>
        <w:t>Cílová dávka je 12,3</w:t>
      </w:r>
      <w:r w:rsidR="00E9453F">
        <w:t xml:space="preserve"> </w:t>
      </w:r>
      <w:r>
        <w:t xml:space="preserve">mg </w:t>
      </w:r>
      <w:proofErr w:type="spellStart"/>
      <w:r>
        <w:t>tiamulinu</w:t>
      </w:r>
      <w:proofErr w:type="spellEnd"/>
      <w:r>
        <w:t xml:space="preserve"> báze/kg živé hmotnosti (ekvivalent k</w:t>
      </w:r>
      <w:r w:rsidR="00E9453F">
        <w:t> </w:t>
      </w:r>
      <w:r>
        <w:t>15</w:t>
      </w:r>
      <w:r w:rsidR="00E9453F">
        <w:t xml:space="preserve"> </w:t>
      </w:r>
      <w:r>
        <w:t xml:space="preserve">mg </w:t>
      </w:r>
      <w:proofErr w:type="spellStart"/>
      <w:r>
        <w:t>tiamulin</w:t>
      </w:r>
      <w:proofErr w:type="spellEnd"/>
      <w:r>
        <w:t xml:space="preserve"> </w:t>
      </w:r>
      <w:proofErr w:type="spellStart"/>
      <w:r>
        <w:t>hydrogenfumarátu</w:t>
      </w:r>
      <w:proofErr w:type="spellEnd"/>
      <w:r>
        <w:t xml:space="preserve"> /kg živé hmotnosti) Toho je dosaženo při dávce 1,5 ml/</w:t>
      </w:r>
      <w:r w:rsidR="001D4538">
        <w:t>12,5</w:t>
      </w:r>
      <w:r>
        <w:t xml:space="preserve"> kg ž.hm. podané intramuskulárně 1x denně po dobu </w:t>
      </w:r>
      <w:r w:rsidRPr="00062BA1">
        <w:t>3</w:t>
      </w:r>
      <w:r>
        <w:t xml:space="preserve"> po sobě jdoucích dnů.</w:t>
      </w:r>
    </w:p>
    <w:p w:rsidR="00C70D0C" w:rsidRDefault="00C70D0C" w:rsidP="00C70D0C">
      <w:pPr>
        <w:ind w:left="708"/>
      </w:pPr>
    </w:p>
    <w:p w:rsidR="00717046" w:rsidRDefault="00717046">
      <w:pPr>
        <w:rPr>
          <w:b/>
        </w:rPr>
      </w:pPr>
    </w:p>
    <w:p w:rsidR="00717046" w:rsidRDefault="00717046">
      <w:r>
        <w:rPr>
          <w:b/>
        </w:rPr>
        <w:t>9.</w:t>
      </w:r>
      <w:r>
        <w:rPr>
          <w:b/>
        </w:rPr>
        <w:tab/>
        <w:t>POKYNY PRO SPRÁVNÉ PODÁNÍ</w:t>
      </w:r>
    </w:p>
    <w:p w:rsidR="00C70D0C" w:rsidRDefault="00C70D0C" w:rsidP="00F747EF">
      <w:pPr>
        <w:ind w:left="708"/>
      </w:pPr>
      <w:r w:rsidRPr="006F2E97">
        <w:t xml:space="preserve">Jelikož je </w:t>
      </w:r>
      <w:r w:rsidR="00F747EF">
        <w:t xml:space="preserve">tento </w:t>
      </w:r>
      <w:r w:rsidRPr="006F2E97">
        <w:t>přípravek na bázi sezamového oleje, je důležité se přesvědčit, aby použitá stříkačk</w:t>
      </w:r>
      <w:r w:rsidR="00CC19F4" w:rsidRPr="006F2E97">
        <w:t>a</w:t>
      </w:r>
      <w:r w:rsidRPr="006F2E97">
        <w:t xml:space="preserve"> byla suchá. Přimích</w:t>
      </w:r>
      <w:r w:rsidR="00062BA1">
        <w:t>á</w:t>
      </w:r>
      <w:r w:rsidRPr="006F2E97">
        <w:t>ní vody do oleje může zapříčinit přilepení pístu ke stěně stříkačky.</w:t>
      </w:r>
    </w:p>
    <w:p w:rsidR="006F2E97" w:rsidRPr="006F2E97" w:rsidRDefault="006F2E97" w:rsidP="006F2E97">
      <w:pPr>
        <w:ind w:left="708"/>
      </w:pPr>
    </w:p>
    <w:p w:rsidR="00C70D0C" w:rsidRPr="006F2E97" w:rsidRDefault="00C70D0C" w:rsidP="006F2E97">
      <w:pPr>
        <w:ind w:left="708"/>
      </w:pPr>
      <w:r w:rsidRPr="006F2E97">
        <w:lastRenderedPageBreak/>
        <w:t xml:space="preserve">Je správnou klinickou praxí založit léčbu na testu citlivosti bakterií izolovaných ze zvířete. Pokud toto není možné, měla by být léčba založena na místní (regionální, farmové) </w:t>
      </w:r>
      <w:proofErr w:type="spellStart"/>
      <w:r w:rsidRPr="006F2E97">
        <w:t>epizootologické</w:t>
      </w:r>
      <w:proofErr w:type="spellEnd"/>
      <w:r w:rsidRPr="006F2E97">
        <w:t xml:space="preserve"> informaci o citlivosti cílové bakterie.</w:t>
      </w:r>
    </w:p>
    <w:p w:rsidR="00717046" w:rsidRDefault="00717046"/>
    <w:p w:rsidR="00717046" w:rsidRDefault="00717046"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A21504" w:rsidRDefault="00A21504" w:rsidP="00A21504"/>
    <w:p w:rsidR="00A21504" w:rsidRPr="00B4691A" w:rsidRDefault="00A21504" w:rsidP="00A21504">
      <w:pPr>
        <w:ind w:firstLine="708"/>
        <w:rPr>
          <w:bCs/>
        </w:rPr>
      </w:pPr>
      <w:r w:rsidRPr="00B4691A">
        <w:rPr>
          <w:bCs/>
        </w:rPr>
        <w:t xml:space="preserve">Prasata: Maso: </w:t>
      </w:r>
      <w:r w:rsidR="005D39D0">
        <w:rPr>
          <w:bCs/>
        </w:rPr>
        <w:t>28</w:t>
      </w:r>
      <w:r w:rsidRPr="00B4691A">
        <w:rPr>
          <w:bCs/>
        </w:rPr>
        <w:t xml:space="preserve"> dnů</w:t>
      </w:r>
    </w:p>
    <w:p w:rsidR="00717046" w:rsidRDefault="00717046"/>
    <w:p w:rsidR="00717046" w:rsidRDefault="00717046"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717046" w:rsidRDefault="00717046"/>
    <w:p w:rsidR="00717046" w:rsidRDefault="00B57ACA">
      <w:pPr>
        <w:ind w:left="720"/>
      </w:pPr>
      <w:r>
        <w:t xml:space="preserve">Uchovávat </w:t>
      </w:r>
      <w:r w:rsidR="00717046">
        <w:t>mimo dosah dětí</w:t>
      </w:r>
      <w:r>
        <w:t>.</w:t>
      </w:r>
    </w:p>
    <w:p w:rsidR="00717046" w:rsidRDefault="00717046">
      <w:pPr>
        <w:ind w:left="720"/>
      </w:pPr>
    </w:p>
    <w:p w:rsidR="00717046" w:rsidRDefault="00717046">
      <w:pPr>
        <w:ind w:left="720"/>
      </w:pPr>
      <w:r>
        <w:t xml:space="preserve">Uchovávejte při teplotě do </w:t>
      </w:r>
      <w:r w:rsidR="00093FF4">
        <w:t xml:space="preserve">25 </w:t>
      </w:r>
      <w:r>
        <w:t>°C</w:t>
      </w:r>
    </w:p>
    <w:p w:rsidR="001D4538" w:rsidRDefault="001D4538" w:rsidP="001D4538">
      <w:pPr>
        <w:tabs>
          <w:tab w:val="left" w:pos="3330"/>
        </w:tabs>
        <w:ind w:firstLine="708"/>
      </w:pPr>
      <w:r>
        <w:t>Chraňte před chladem.</w:t>
      </w:r>
      <w:r>
        <w:tab/>
      </w:r>
    </w:p>
    <w:p w:rsidR="001D4538" w:rsidRDefault="001D4538" w:rsidP="001D4538">
      <w:pPr>
        <w:ind w:firstLine="708"/>
      </w:pPr>
      <w:r>
        <w:t>Chraňte před světlem.</w:t>
      </w:r>
    </w:p>
    <w:p w:rsidR="00717046" w:rsidRDefault="00717046">
      <w:pPr>
        <w:ind w:firstLine="708"/>
      </w:pPr>
    </w:p>
    <w:p w:rsidR="00717046" w:rsidRDefault="00717046">
      <w:pPr>
        <w:ind w:firstLine="708"/>
      </w:pPr>
      <w:r>
        <w:t>Nepoužívejte po uplynutí doby použitelnosti uvedené na etiketě.</w:t>
      </w:r>
    </w:p>
    <w:p w:rsidR="00717046" w:rsidRDefault="00717046" w:rsidP="00A21504">
      <w:pPr>
        <w:ind w:firstLine="708"/>
      </w:pPr>
      <w:r>
        <w:t>Doba použitelnosti po prvním otevření vnitřního obalu: 28 dn</w:t>
      </w:r>
      <w:r w:rsidR="00A21504">
        <w:t>ů</w:t>
      </w:r>
    </w:p>
    <w:p w:rsidR="00717046" w:rsidRDefault="00717046">
      <w:pPr>
        <w:tabs>
          <w:tab w:val="left" w:pos="1418"/>
          <w:tab w:val="left" w:pos="1560"/>
        </w:tabs>
        <w:rPr>
          <w:i/>
        </w:rPr>
      </w:pPr>
    </w:p>
    <w:p w:rsidR="00717046" w:rsidRDefault="00717046">
      <w:pPr>
        <w:tabs>
          <w:tab w:val="left" w:pos="1418"/>
          <w:tab w:val="left" w:pos="1560"/>
        </w:tabs>
      </w:pPr>
    </w:p>
    <w:p w:rsidR="00717046" w:rsidRDefault="00717046">
      <w:r>
        <w:rPr>
          <w:b/>
        </w:rPr>
        <w:t>12.</w:t>
      </w:r>
      <w:r>
        <w:rPr>
          <w:b/>
        </w:rPr>
        <w:tab/>
        <w:t>ZVLÁŠTNÍ UPOZORNĚNÍ</w:t>
      </w:r>
    </w:p>
    <w:p w:rsidR="00C70D0C" w:rsidRDefault="00C70D0C">
      <w:pPr>
        <w:pStyle w:val="Zkladntextodsazen2"/>
        <w:ind w:left="709" w:hanging="1"/>
        <w:rPr>
          <w:b w:val="0"/>
          <w:sz w:val="24"/>
        </w:rPr>
      </w:pPr>
    </w:p>
    <w:p w:rsidR="00C70D0C" w:rsidRDefault="00C70D0C" w:rsidP="00C70D0C">
      <w:pPr>
        <w:ind w:firstLine="708"/>
      </w:pPr>
      <w:r>
        <w:t>Lze použít během březosti a laktace</w:t>
      </w:r>
    </w:p>
    <w:p w:rsidR="00C70D0C" w:rsidRDefault="00C70D0C">
      <w:pPr>
        <w:pStyle w:val="Zkladntextodsazen2"/>
        <w:ind w:left="709" w:hanging="1"/>
        <w:rPr>
          <w:b w:val="0"/>
          <w:sz w:val="24"/>
        </w:rPr>
      </w:pPr>
    </w:p>
    <w:p w:rsidR="000A7AA8" w:rsidRDefault="000A7AA8" w:rsidP="000A7AA8">
      <w:pPr>
        <w:ind w:left="708"/>
      </w:pPr>
      <w:r>
        <w:t xml:space="preserve">Z důvodu nežádoucích interakcí mezi </w:t>
      </w:r>
      <w:proofErr w:type="spellStart"/>
      <w:r w:rsidRPr="00135DE2">
        <w:t>monensin</w:t>
      </w:r>
      <w:r>
        <w:t>em</w:t>
      </w:r>
      <w:proofErr w:type="spellEnd"/>
      <w:r w:rsidRPr="00135DE2">
        <w:t xml:space="preserve">, </w:t>
      </w:r>
      <w:proofErr w:type="spellStart"/>
      <w:r w:rsidRPr="00135DE2">
        <w:t>narasin</w:t>
      </w:r>
      <w:r>
        <w:t>em</w:t>
      </w:r>
      <w:proofErr w:type="spellEnd"/>
      <w:r>
        <w:t>,</w:t>
      </w:r>
      <w:r w:rsidRPr="00135DE2">
        <w:t xml:space="preserve"> </w:t>
      </w:r>
      <w:proofErr w:type="spellStart"/>
      <w:r>
        <w:t>salinomycinem</w:t>
      </w:r>
      <w:proofErr w:type="spellEnd"/>
      <w:r w:rsidR="00D4663C">
        <w:t xml:space="preserve">, </w:t>
      </w:r>
      <w:proofErr w:type="spellStart"/>
      <w:r w:rsidR="00D4663C">
        <w:t>maduramycinem</w:t>
      </w:r>
      <w:proofErr w:type="spellEnd"/>
      <w:r>
        <w:t xml:space="preserve"> a </w:t>
      </w:r>
      <w:proofErr w:type="spellStart"/>
      <w:r>
        <w:t>tiamulinem</w:t>
      </w:r>
      <w:proofErr w:type="spellEnd"/>
      <w:r>
        <w:t>, by měl veterinární lékař a farmář zkontrolovat etiketu na krmivu, zda neobsahuje některou z výše uvedených interferujících látek.</w:t>
      </w:r>
    </w:p>
    <w:p w:rsidR="00C70D0C" w:rsidRDefault="00C70D0C">
      <w:pPr>
        <w:pStyle w:val="Zkladntextodsazen2"/>
        <w:ind w:left="709" w:hanging="1"/>
        <w:rPr>
          <w:b w:val="0"/>
          <w:bCs/>
          <w:sz w:val="24"/>
          <w:szCs w:val="24"/>
        </w:rPr>
      </w:pPr>
    </w:p>
    <w:p w:rsidR="00F747EF" w:rsidRPr="000562D1" w:rsidRDefault="00F747EF" w:rsidP="00F747EF">
      <w:pPr>
        <w:pStyle w:val="Zkladntextodsazen2"/>
        <w:ind w:left="709" w:hanging="1"/>
        <w:rPr>
          <w:b w:val="0"/>
          <w:sz w:val="24"/>
          <w:szCs w:val="24"/>
        </w:rPr>
      </w:pPr>
      <w:r w:rsidRPr="000562D1">
        <w:rPr>
          <w:b w:val="0"/>
        </w:rPr>
        <w:t xml:space="preserve">Nedojde-li v průběhu léčby přípravkem k projevům zlepšení klinického stavu, je nutno léčbu přerušit a přehodnotit diagnózu a terapii. </w:t>
      </w:r>
    </w:p>
    <w:p w:rsidR="000A7AA8" w:rsidRPr="00A21504" w:rsidRDefault="000A7AA8">
      <w:pPr>
        <w:pStyle w:val="Zkladntextodsazen2"/>
        <w:ind w:left="709" w:hanging="1"/>
        <w:rPr>
          <w:b w:val="0"/>
          <w:bCs/>
          <w:sz w:val="24"/>
          <w:szCs w:val="24"/>
        </w:rPr>
      </w:pPr>
    </w:p>
    <w:p w:rsidR="00C70D0C" w:rsidRDefault="00C70D0C" w:rsidP="00C70D0C">
      <w:pPr>
        <w:ind w:left="708"/>
      </w:pPr>
      <w:r>
        <w:t xml:space="preserve">Ve studii, kdy byla prasatům podávána denně intramuskulární injekce </w:t>
      </w:r>
      <w:proofErr w:type="spellStart"/>
      <w:r>
        <w:t>tiamulinu</w:t>
      </w:r>
      <w:proofErr w:type="spellEnd"/>
      <w:r>
        <w:t xml:space="preserve"> báze 10 po sobě jdoucích dní v dávce ekvivalentní k</w:t>
      </w:r>
      <w:r w:rsidR="00E9453F">
        <w:t> </w:t>
      </w:r>
      <w:r>
        <w:t>15</w:t>
      </w:r>
      <w:r w:rsidR="00E9453F">
        <w:t xml:space="preserve"> </w:t>
      </w:r>
      <w:r>
        <w:t>mg, 45</w:t>
      </w:r>
      <w:r w:rsidR="00E9453F">
        <w:t xml:space="preserve"> </w:t>
      </w:r>
      <w:r>
        <w:t>mg a 75</w:t>
      </w:r>
      <w:r w:rsidR="00E9453F">
        <w:t xml:space="preserve"> </w:t>
      </w:r>
      <w:r>
        <w:t xml:space="preserve">mg </w:t>
      </w:r>
      <w:proofErr w:type="spellStart"/>
      <w:r>
        <w:t>tiamulin</w:t>
      </w:r>
      <w:proofErr w:type="spellEnd"/>
      <w:r>
        <w:t xml:space="preserve"> </w:t>
      </w:r>
      <w:proofErr w:type="spellStart"/>
      <w:r>
        <w:t>hydrogenfumarátu</w:t>
      </w:r>
      <w:proofErr w:type="spellEnd"/>
      <w:r>
        <w:t>/kg ž.hm., nebyly pozorovány žádné příznaky intoxikace.</w:t>
      </w:r>
    </w:p>
    <w:p w:rsidR="00C70D0C" w:rsidRDefault="00C70D0C">
      <w:pPr>
        <w:pStyle w:val="Zkladntextodsazen2"/>
        <w:ind w:left="709" w:hanging="1"/>
        <w:rPr>
          <w:b w:val="0"/>
          <w:sz w:val="24"/>
        </w:rPr>
      </w:pPr>
    </w:p>
    <w:p w:rsidR="00C70D0C" w:rsidRDefault="00C70D0C" w:rsidP="00C70D0C"/>
    <w:p w:rsidR="00C70D0C" w:rsidRDefault="00C70D0C" w:rsidP="00CC19F4">
      <w:pPr>
        <w:ind w:left="705"/>
        <w:rPr>
          <w:b/>
        </w:rPr>
      </w:pPr>
      <w:r>
        <w:rPr>
          <w:b/>
        </w:rPr>
        <w:t>Zvláštní opatření určené osobám, které podávají veterinární léčivý přípravek zvířatům</w:t>
      </w:r>
    </w:p>
    <w:p w:rsidR="00C70D0C" w:rsidRDefault="00C70D0C" w:rsidP="00C70D0C">
      <w:pPr>
        <w:ind w:firstLine="705"/>
        <w:jc w:val="both"/>
        <w:rPr>
          <w:rFonts w:ascii="Verdana" w:hAnsi="Verdana"/>
          <w:sz w:val="18"/>
          <w:szCs w:val="18"/>
        </w:rPr>
      </w:pPr>
    </w:p>
    <w:p w:rsidR="00B57ACA" w:rsidRPr="00F96B2C" w:rsidRDefault="00B57ACA" w:rsidP="00B57ACA">
      <w:pPr>
        <w:ind w:left="720"/>
        <w:jc w:val="both"/>
      </w:pPr>
      <w:r w:rsidRPr="00F96B2C">
        <w:t xml:space="preserve">Lidé se známou přecitlivělostí na </w:t>
      </w:r>
      <w:proofErr w:type="spellStart"/>
      <w:r w:rsidRPr="00F96B2C">
        <w:rPr>
          <w:lang w:eastAsia="da-DK"/>
        </w:rPr>
        <w:t>tiamulin</w:t>
      </w:r>
      <w:proofErr w:type="spellEnd"/>
      <w:r w:rsidRPr="00F96B2C">
        <w:t xml:space="preserve"> </w:t>
      </w:r>
      <w:r w:rsidRPr="00F96B2C">
        <w:rPr>
          <w:iCs/>
        </w:rPr>
        <w:t xml:space="preserve">nebo některou z pomocných látek </w:t>
      </w:r>
      <w:r w:rsidRPr="00F96B2C">
        <w:t xml:space="preserve">by se měli vyhnout kontaktu s veterinárním léčivým přípravkem. </w:t>
      </w:r>
    </w:p>
    <w:p w:rsidR="00B57ACA" w:rsidRPr="00F96B2C" w:rsidRDefault="004A7AC5" w:rsidP="00B57ACA">
      <w:pPr>
        <w:ind w:left="720"/>
        <w:jc w:val="both"/>
      </w:pPr>
      <w:r w:rsidRPr="00F96B2C">
        <w:t xml:space="preserve">Zabraňte náhodnému sebepoškození injekčně aplikovaným přípravkem. </w:t>
      </w:r>
      <w:r w:rsidR="00B57ACA" w:rsidRPr="00F96B2C">
        <w:t>V případě náhodného sebepoškození injekčně aplikovaným přípravkem, vyhledejte ihned lékařskou pomoc a ukažte příbalovou informaci nebo etiketu praktickému lékaři.</w:t>
      </w:r>
    </w:p>
    <w:p w:rsidR="004A7AC5" w:rsidRPr="00F96B2C" w:rsidRDefault="004A7AC5" w:rsidP="004A7AC5">
      <w:pPr>
        <w:ind w:left="720"/>
        <w:jc w:val="both"/>
      </w:pPr>
      <w:r w:rsidRPr="00F96B2C">
        <w:t>Při nakládání s veterinárním léčivým přípravkem by se měly používat osobní ochranné prostředky skládající se z rukavic.</w:t>
      </w:r>
    </w:p>
    <w:p w:rsidR="00B57ACA" w:rsidRPr="00F96B2C" w:rsidRDefault="00B57ACA" w:rsidP="00B57ACA">
      <w:pPr>
        <w:ind w:left="720"/>
        <w:jc w:val="both"/>
      </w:pPr>
      <w:r w:rsidRPr="00F96B2C">
        <w:t>V případě zasažení pokožky umyjte okamžitě exponované místo pod tekoucí vodou, abyste minimalizovali vstřebání přípravku přes pokožku. V případě zasažení očí vymyjte exponované oko proudem pitné vody. Pokud podráždění přetrvává, vyhledejte lékařskou pomoc a ukažte příbalovou informaci nebo etiketu praktickému lékaři.</w:t>
      </w:r>
    </w:p>
    <w:p w:rsidR="00B57ACA" w:rsidRPr="00F96B2C" w:rsidRDefault="00B57ACA" w:rsidP="00B57ACA">
      <w:pPr>
        <w:ind w:left="720"/>
      </w:pPr>
      <w:r w:rsidRPr="00F96B2C">
        <w:t>Po manipulaci s přípravkem si umyjte ruce.</w:t>
      </w:r>
    </w:p>
    <w:p w:rsidR="00C70D0C" w:rsidRDefault="00C70D0C">
      <w:pPr>
        <w:pStyle w:val="Zkladntextodsazen2"/>
        <w:ind w:left="709" w:hanging="1"/>
        <w:rPr>
          <w:b w:val="0"/>
          <w:sz w:val="24"/>
        </w:rPr>
      </w:pPr>
    </w:p>
    <w:p w:rsidR="00717046" w:rsidRDefault="00717046">
      <w:pPr>
        <w:numPr>
          <w:ilvl w:val="0"/>
          <w:numId w:val="41"/>
        </w:numPr>
        <w:rPr>
          <w:b/>
        </w:rPr>
      </w:pPr>
      <w:r>
        <w:rPr>
          <w:b/>
        </w:rPr>
        <w:lastRenderedPageBreak/>
        <w:t>ZVLÁŠTNÍ OPATŘENÍ PRO ZNEŠKODŇOVÁNÍ NEPO</w:t>
      </w:r>
      <w:r w:rsidR="00360077">
        <w:rPr>
          <w:b/>
        </w:rPr>
        <w:t xml:space="preserve">UŽITÝCH PŘÍPRAVKŮ NEBO ODPADU, </w:t>
      </w:r>
      <w:r>
        <w:rPr>
          <w:b/>
        </w:rPr>
        <w:t>POKUD JE JICH TŘEBA</w:t>
      </w:r>
    </w:p>
    <w:p w:rsidR="00212F78" w:rsidRDefault="00212F78">
      <w:pPr>
        <w:ind w:left="708" w:right="-318"/>
      </w:pPr>
    </w:p>
    <w:p w:rsidR="00717046" w:rsidRDefault="00E96BC7">
      <w:pPr>
        <w:ind w:left="708" w:right="-318"/>
        <w:rPr>
          <w:b/>
        </w:rPr>
      </w:pPr>
      <w:r>
        <w:t>Všechen nepoužitý veterinární léčivý přípravek nebo odpad, který pochází z tohoto přípravku, musí být likvidován podle místních právních předpisů.</w:t>
      </w:r>
    </w:p>
    <w:p w:rsidR="00C70D0C" w:rsidRDefault="00C70D0C">
      <w:pPr>
        <w:rPr>
          <w:b/>
        </w:rPr>
      </w:pPr>
    </w:p>
    <w:p w:rsidR="003D5DE6" w:rsidRDefault="003D5DE6">
      <w:pPr>
        <w:rPr>
          <w:b/>
        </w:rPr>
      </w:pPr>
    </w:p>
    <w:p w:rsidR="00717046" w:rsidRDefault="00717046"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717046" w:rsidRDefault="00093FF4" w:rsidP="009D6FA0">
      <w:pPr>
        <w:ind w:right="-318" w:firstLine="708"/>
      </w:pPr>
      <w:bookmarkStart w:id="0" w:name="_GoBack"/>
      <w:r>
        <w:t>Leden 2021</w:t>
      </w:r>
      <w:bookmarkEnd w:id="0"/>
    </w:p>
    <w:p w:rsidR="009D6FA0" w:rsidRDefault="009D6FA0" w:rsidP="00126F69">
      <w:pPr>
        <w:ind w:right="-318"/>
      </w:pPr>
    </w:p>
    <w:p w:rsidR="00126F69" w:rsidRDefault="00126F69" w:rsidP="00126F69">
      <w:pPr>
        <w:ind w:right="-318"/>
      </w:pPr>
    </w:p>
    <w:p w:rsidR="00717046" w:rsidRDefault="00717046">
      <w:r>
        <w:rPr>
          <w:b/>
        </w:rPr>
        <w:t>15.</w:t>
      </w:r>
      <w:r>
        <w:rPr>
          <w:b/>
        </w:rPr>
        <w:tab/>
        <w:t>DALŠÍ INFORMACE</w:t>
      </w:r>
    </w:p>
    <w:p w:rsidR="00717046" w:rsidRDefault="00717046"/>
    <w:p w:rsidR="002A2A31" w:rsidRDefault="002A2A31" w:rsidP="006C210B">
      <w:pPr>
        <w:tabs>
          <w:tab w:val="left" w:pos="6030"/>
        </w:tabs>
        <w:ind w:firstLine="708"/>
      </w:pPr>
      <w:r>
        <w:t>Pouze pro zvířata.</w:t>
      </w:r>
      <w:r w:rsidR="006C210B">
        <w:tab/>
      </w:r>
    </w:p>
    <w:p w:rsidR="002A2A31" w:rsidRDefault="002A2A31" w:rsidP="002A2A31">
      <w:pPr>
        <w:ind w:firstLine="708"/>
      </w:pPr>
      <w:r>
        <w:t>Veterinární léčivý přípravek je vydáván pouze na předpis.</w:t>
      </w:r>
    </w:p>
    <w:p w:rsidR="00717046" w:rsidRDefault="00717046">
      <w:pPr>
        <w:rPr>
          <w:color w:val="008000"/>
        </w:rPr>
      </w:pPr>
    </w:p>
    <w:p w:rsidR="00717046" w:rsidRDefault="00717046" w:rsidP="002A2A31">
      <w:pPr>
        <w:ind w:left="708" w:right="-2"/>
      </w:pPr>
      <w:r>
        <w:t>Pokud chcete získat informace o tomto veterinárním léčivém přípravku, kontaktujte prosím držitele rozhodnutí o registraci.</w:t>
      </w:r>
    </w:p>
    <w:p w:rsidR="00717046" w:rsidRDefault="00717046">
      <w:pPr>
        <w:tabs>
          <w:tab w:val="left" w:pos="-720"/>
        </w:tabs>
        <w:suppressAutoHyphens/>
        <w:rPr>
          <w:b/>
        </w:rPr>
      </w:pPr>
    </w:p>
    <w:p w:rsidR="00E97553" w:rsidRDefault="002A2A31" w:rsidP="00E97553">
      <w:r>
        <w:rPr>
          <w:b/>
        </w:rPr>
        <w:tab/>
      </w:r>
    </w:p>
    <w:p w:rsidR="00717046" w:rsidRDefault="00717046" w:rsidP="002B7480"/>
    <w:sectPr w:rsidR="00717046">
      <w:footerReference w:type="default" r:id="rId8"/>
      <w:footerReference w:type="first" r:id="rId9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B9" w:rsidRDefault="007435B9">
      <w:r>
        <w:separator/>
      </w:r>
    </w:p>
  </w:endnote>
  <w:endnote w:type="continuationSeparator" w:id="0">
    <w:p w:rsidR="007435B9" w:rsidRDefault="0074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E8" w:rsidRDefault="00BE56E8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BE56E8" w:rsidRDefault="00BE56E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064F28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6E8" w:rsidRDefault="00BE56E8">
    <w:pPr>
      <w:pStyle w:val="Zpat"/>
      <w:tabs>
        <w:tab w:val="clear" w:pos="8930"/>
        <w:tab w:val="right" w:pos="8931"/>
      </w:tabs>
    </w:pPr>
  </w:p>
  <w:p w:rsidR="00BE56E8" w:rsidRDefault="00BE56E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064F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B9" w:rsidRDefault="007435B9">
      <w:r>
        <w:separator/>
      </w:r>
    </w:p>
  </w:footnote>
  <w:footnote w:type="continuationSeparator" w:id="0">
    <w:p w:rsidR="007435B9" w:rsidRDefault="00743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D4182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02A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080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B60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241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4E18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C28A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05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8CA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B135591"/>
    <w:multiLevelType w:val="singleLevel"/>
    <w:tmpl w:val="CC0ECA7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A2F06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407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CC3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A86D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23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01C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43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A6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8C02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189439F"/>
    <w:multiLevelType w:val="hybridMultilevel"/>
    <w:tmpl w:val="24C63C0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C013F"/>
    <w:multiLevelType w:val="hybridMultilevel"/>
    <w:tmpl w:val="D870C0DC"/>
    <w:lvl w:ilvl="0" w:tplc="AF9430E2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A320AFB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317E0FB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78E8E06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EE6BB2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B69AC2D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2384F8C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A5868E7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5A2BC4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541609"/>
    <w:multiLevelType w:val="hybridMultilevel"/>
    <w:tmpl w:val="1E5AABE8"/>
    <w:lvl w:ilvl="0" w:tplc="CC2433D4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94FAB8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7EC5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281D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16C37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94EF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8C0AD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B0C5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EAD1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2F08795B"/>
    <w:multiLevelType w:val="hybridMultilevel"/>
    <w:tmpl w:val="57083A78"/>
    <w:lvl w:ilvl="0" w:tplc="17A2FA56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268032B"/>
    <w:multiLevelType w:val="hybridMultilevel"/>
    <w:tmpl w:val="8B4E9208"/>
    <w:lvl w:ilvl="0" w:tplc="E8A80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B0695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864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07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E8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585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49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61F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AEF0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CE21DC"/>
    <w:multiLevelType w:val="hybridMultilevel"/>
    <w:tmpl w:val="791EF534"/>
    <w:lvl w:ilvl="0" w:tplc="B9D81FF4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6D629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644E6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A2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F0F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4884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2C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E2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F98B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D180D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B3A66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9520D5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94B35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062E4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A242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34CD3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81671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CAD72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514F1"/>
    <w:multiLevelType w:val="hybridMultilevel"/>
    <w:tmpl w:val="E30E38A0"/>
    <w:lvl w:ilvl="0" w:tplc="586A4546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67373A9"/>
    <w:multiLevelType w:val="hybridMultilevel"/>
    <w:tmpl w:val="E3BA04EE"/>
    <w:lvl w:ilvl="0" w:tplc="80D2849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7D049648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D638B7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08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88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544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C659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FAE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100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EA01C6"/>
    <w:multiLevelType w:val="hybridMultilevel"/>
    <w:tmpl w:val="E1505D10"/>
    <w:lvl w:ilvl="0" w:tplc="8C04F3A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EA040E"/>
    <w:multiLevelType w:val="hybridMultilevel"/>
    <w:tmpl w:val="1726832C"/>
    <w:lvl w:ilvl="0" w:tplc="15B40A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F26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CEC7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AB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65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AAD6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46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C4D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D2D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>
    <w:nsid w:val="56664B30"/>
    <w:multiLevelType w:val="hybridMultilevel"/>
    <w:tmpl w:val="C820F4AE"/>
    <w:lvl w:ilvl="0" w:tplc="AD5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9A53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F4C4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0E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AB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9CB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C8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6D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86EB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B56C73"/>
    <w:multiLevelType w:val="hybridMultilevel"/>
    <w:tmpl w:val="5BA42128"/>
    <w:lvl w:ilvl="0" w:tplc="33E4264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7DA9E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A0E02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A4D4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04AE5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578C6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534A8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B031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203E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>
    <w:nsid w:val="5B591D47"/>
    <w:multiLevelType w:val="hybridMultilevel"/>
    <w:tmpl w:val="E8ACA836"/>
    <w:lvl w:ilvl="0" w:tplc="0180F03A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69A07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04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4C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A2B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D43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A44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6A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BE86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36750B"/>
    <w:multiLevelType w:val="multilevel"/>
    <w:tmpl w:val="24761CA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225B2"/>
    <w:multiLevelType w:val="hybridMultilevel"/>
    <w:tmpl w:val="946A1BA6"/>
    <w:lvl w:ilvl="0" w:tplc="EBEEB046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BF20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514E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A0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85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3F48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CF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E05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06A7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901BD3"/>
    <w:multiLevelType w:val="hybridMultilevel"/>
    <w:tmpl w:val="4E5C8746"/>
    <w:lvl w:ilvl="0" w:tplc="918883E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B6C8BB92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5530A3F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862BED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F2A99A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F845D3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56811E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DE89F5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83E879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38649FD"/>
    <w:multiLevelType w:val="hybridMultilevel"/>
    <w:tmpl w:val="4A945CDA"/>
    <w:lvl w:ilvl="0" w:tplc="C7EE83D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92D0C548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66A023A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DD5EEB50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229C14C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F626A9E6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8E74598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DAA6A096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30D4A5C2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6518235F"/>
    <w:multiLevelType w:val="hybridMultilevel"/>
    <w:tmpl w:val="42E4AA10"/>
    <w:lvl w:ilvl="0" w:tplc="35E63AEE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5F44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E6F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FE4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A3D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C87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B087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05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4A8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1FB76EB"/>
    <w:multiLevelType w:val="hybridMultilevel"/>
    <w:tmpl w:val="CC66055E"/>
    <w:lvl w:ilvl="0" w:tplc="A440B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804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5236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E5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CC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2E38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60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2B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B6E0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abstractNum w:abstractNumId="43">
    <w:nsid w:val="758B318E"/>
    <w:multiLevelType w:val="singleLevel"/>
    <w:tmpl w:val="C2EE9830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0"/>
  </w:num>
  <w:num w:numId="5">
    <w:abstractNumId w:val="39"/>
  </w:num>
  <w:num w:numId="6">
    <w:abstractNumId w:val="13"/>
  </w:num>
  <w:num w:numId="7">
    <w:abstractNumId w:val="26"/>
  </w:num>
  <w:num w:numId="8">
    <w:abstractNumId w:val="25"/>
  </w:num>
  <w:num w:numId="9">
    <w:abstractNumId w:val="7"/>
  </w:num>
  <w:num w:numId="10">
    <w:abstractNumId w:val="37"/>
  </w:num>
  <w:num w:numId="11">
    <w:abstractNumId w:val="38"/>
  </w:num>
  <w:num w:numId="12">
    <w:abstractNumId w:val="19"/>
  </w:num>
  <w:num w:numId="13">
    <w:abstractNumId w:val="15"/>
  </w:num>
  <w:num w:numId="14">
    <w:abstractNumId w:val="2"/>
  </w:num>
  <w:num w:numId="15">
    <w:abstractNumId w:val="36"/>
  </w:num>
  <w:num w:numId="16">
    <w:abstractNumId w:val="22"/>
  </w:num>
  <w:num w:numId="17">
    <w:abstractNumId w:val="41"/>
  </w:num>
  <w:num w:numId="18">
    <w:abstractNumId w:val="8"/>
  </w:num>
  <w:num w:numId="19">
    <w:abstractNumId w:val="1"/>
  </w:num>
  <w:num w:numId="20">
    <w:abstractNumId w:val="20"/>
  </w:num>
  <w:num w:numId="21">
    <w:abstractNumId w:val="3"/>
  </w:num>
  <w:num w:numId="22">
    <w:abstractNumId w:val="5"/>
  </w:num>
  <w:num w:numId="23">
    <w:abstractNumId w:val="29"/>
  </w:num>
  <w:num w:numId="24">
    <w:abstractNumId w:val="12"/>
  </w:num>
  <w:num w:numId="25">
    <w:abstractNumId w:val="35"/>
  </w:num>
  <w:num w:numId="26">
    <w:abstractNumId w:val="28"/>
  </w:num>
  <w:num w:numId="27">
    <w:abstractNumId w:val="14"/>
  </w:num>
  <w:num w:numId="28">
    <w:abstractNumId w:val="10"/>
  </w:num>
  <w:num w:numId="29">
    <w:abstractNumId w:val="24"/>
  </w:num>
  <w:num w:numId="30">
    <w:abstractNumId w:val="27"/>
  </w:num>
  <w:num w:numId="31">
    <w:abstractNumId w:val="17"/>
  </w:num>
  <w:num w:numId="32">
    <w:abstractNumId w:val="9"/>
  </w:num>
  <w:num w:numId="33">
    <w:abstractNumId w:val="33"/>
  </w:num>
  <w:num w:numId="34">
    <w:abstractNumId w:val="34"/>
  </w:num>
  <w:num w:numId="35">
    <w:abstractNumId w:val="32"/>
  </w:num>
  <w:num w:numId="36">
    <w:abstractNumId w:val="18"/>
  </w:num>
  <w:num w:numId="37">
    <w:abstractNumId w:val="4"/>
  </w:num>
  <w:num w:numId="38">
    <w:abstractNumId w:val="42"/>
  </w:num>
  <w:num w:numId="39">
    <w:abstractNumId w:val="31"/>
  </w:num>
  <w:num w:numId="40">
    <w:abstractNumId w:val="43"/>
  </w:num>
  <w:num w:numId="41">
    <w:abstractNumId w:val="6"/>
  </w:num>
  <w:num w:numId="42">
    <w:abstractNumId w:val="21"/>
  </w:num>
  <w:num w:numId="43">
    <w:abstractNumId w:val="16"/>
  </w:num>
  <w:num w:numId="44">
    <w:abstractNumId w:val="23"/>
  </w:num>
  <w:num w:numId="45">
    <w:abstractNumId w:val="11"/>
  </w:num>
  <w:num w:numId="46">
    <w:abstractNumId w:val="3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AC"/>
    <w:rsid w:val="000321C1"/>
    <w:rsid w:val="00051513"/>
    <w:rsid w:val="00060541"/>
    <w:rsid w:val="00062BA1"/>
    <w:rsid w:val="00064F28"/>
    <w:rsid w:val="00083FF2"/>
    <w:rsid w:val="00093FF4"/>
    <w:rsid w:val="000A7AA8"/>
    <w:rsid w:val="00103B50"/>
    <w:rsid w:val="00103ED1"/>
    <w:rsid w:val="001250AF"/>
    <w:rsid w:val="00126F69"/>
    <w:rsid w:val="001A5972"/>
    <w:rsid w:val="001D4538"/>
    <w:rsid w:val="002118BA"/>
    <w:rsid w:val="00212F78"/>
    <w:rsid w:val="0022543A"/>
    <w:rsid w:val="0024771B"/>
    <w:rsid w:val="00271BE1"/>
    <w:rsid w:val="0027459C"/>
    <w:rsid w:val="002855E5"/>
    <w:rsid w:val="002A2A31"/>
    <w:rsid w:val="002B7480"/>
    <w:rsid w:val="002E48D5"/>
    <w:rsid w:val="00314CA9"/>
    <w:rsid w:val="00360077"/>
    <w:rsid w:val="00360C9E"/>
    <w:rsid w:val="003A0A26"/>
    <w:rsid w:val="003D5DE6"/>
    <w:rsid w:val="003E4A85"/>
    <w:rsid w:val="003F0E25"/>
    <w:rsid w:val="0041004C"/>
    <w:rsid w:val="00411A51"/>
    <w:rsid w:val="0042009B"/>
    <w:rsid w:val="00466A74"/>
    <w:rsid w:val="004A7AC5"/>
    <w:rsid w:val="004B0C33"/>
    <w:rsid w:val="00501B92"/>
    <w:rsid w:val="00512B2E"/>
    <w:rsid w:val="00525BF3"/>
    <w:rsid w:val="005C4EF2"/>
    <w:rsid w:val="005D39D0"/>
    <w:rsid w:val="00635F3E"/>
    <w:rsid w:val="006600FD"/>
    <w:rsid w:val="00670B1A"/>
    <w:rsid w:val="006B6793"/>
    <w:rsid w:val="006C210B"/>
    <w:rsid w:val="006F2E97"/>
    <w:rsid w:val="00704E37"/>
    <w:rsid w:val="00717046"/>
    <w:rsid w:val="007435B9"/>
    <w:rsid w:val="0075049B"/>
    <w:rsid w:val="007B7DEB"/>
    <w:rsid w:val="007D3479"/>
    <w:rsid w:val="007D7038"/>
    <w:rsid w:val="007E617E"/>
    <w:rsid w:val="007F5967"/>
    <w:rsid w:val="007F5EF2"/>
    <w:rsid w:val="00812D2E"/>
    <w:rsid w:val="00867316"/>
    <w:rsid w:val="008E6702"/>
    <w:rsid w:val="008E6753"/>
    <w:rsid w:val="008F217C"/>
    <w:rsid w:val="009A64AA"/>
    <w:rsid w:val="009C15C5"/>
    <w:rsid w:val="009D6FA0"/>
    <w:rsid w:val="009F498F"/>
    <w:rsid w:val="00A04834"/>
    <w:rsid w:val="00A21504"/>
    <w:rsid w:val="00A315D1"/>
    <w:rsid w:val="00A41ABB"/>
    <w:rsid w:val="00A83C3B"/>
    <w:rsid w:val="00AF0FD9"/>
    <w:rsid w:val="00B166BF"/>
    <w:rsid w:val="00B5243D"/>
    <w:rsid w:val="00B57ACA"/>
    <w:rsid w:val="00B71A4E"/>
    <w:rsid w:val="00B73C08"/>
    <w:rsid w:val="00B75471"/>
    <w:rsid w:val="00B914FD"/>
    <w:rsid w:val="00BE56E8"/>
    <w:rsid w:val="00C173CC"/>
    <w:rsid w:val="00C66F8B"/>
    <w:rsid w:val="00C70D0C"/>
    <w:rsid w:val="00C8085C"/>
    <w:rsid w:val="00C839E1"/>
    <w:rsid w:val="00C96B23"/>
    <w:rsid w:val="00CA095E"/>
    <w:rsid w:val="00CA2153"/>
    <w:rsid w:val="00CA35D8"/>
    <w:rsid w:val="00CA6FCA"/>
    <w:rsid w:val="00CC19F4"/>
    <w:rsid w:val="00CD560E"/>
    <w:rsid w:val="00CF11E6"/>
    <w:rsid w:val="00D24746"/>
    <w:rsid w:val="00D4663C"/>
    <w:rsid w:val="00D57BBE"/>
    <w:rsid w:val="00D6705C"/>
    <w:rsid w:val="00D7773F"/>
    <w:rsid w:val="00D81382"/>
    <w:rsid w:val="00D83CC0"/>
    <w:rsid w:val="00E023C4"/>
    <w:rsid w:val="00E115AF"/>
    <w:rsid w:val="00E72A20"/>
    <w:rsid w:val="00E90EAC"/>
    <w:rsid w:val="00E91360"/>
    <w:rsid w:val="00E9453F"/>
    <w:rsid w:val="00E96BC7"/>
    <w:rsid w:val="00E97553"/>
    <w:rsid w:val="00EA78F8"/>
    <w:rsid w:val="00EB168A"/>
    <w:rsid w:val="00ED3F2C"/>
    <w:rsid w:val="00EF7159"/>
    <w:rsid w:val="00F258B7"/>
    <w:rsid w:val="00F32CAB"/>
    <w:rsid w:val="00F33E3E"/>
    <w:rsid w:val="00F50980"/>
    <w:rsid w:val="00F608D9"/>
    <w:rsid w:val="00F747EF"/>
    <w:rsid w:val="00F96B2C"/>
    <w:rsid w:val="00FC707B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rsid w:val="00C70D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C70D0C"/>
    <w:rPr>
      <w:sz w:val="20"/>
      <w:szCs w:val="20"/>
    </w:rPr>
  </w:style>
  <w:style w:type="paragraph" w:styleId="Zhlav">
    <w:name w:val="header"/>
    <w:basedOn w:val="Normln"/>
    <w:link w:val="ZhlavChar"/>
    <w:unhideWhenUsed/>
    <w:rsid w:val="000515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515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paragraph" w:styleId="Nadpis3">
    <w:name w:val="heading 3"/>
    <w:basedOn w:val="Normln"/>
    <w:next w:val="Normln"/>
    <w:qFormat/>
    <w:rsid w:val="00C70D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longtext1">
    <w:name w:val="long_text1"/>
    <w:rsid w:val="00C70D0C"/>
    <w:rPr>
      <w:sz w:val="20"/>
      <w:szCs w:val="20"/>
    </w:rPr>
  </w:style>
  <w:style w:type="paragraph" w:styleId="Zhlav">
    <w:name w:val="header"/>
    <w:basedOn w:val="Normln"/>
    <w:link w:val="ZhlavChar"/>
    <w:unhideWhenUsed/>
    <w:rsid w:val="000515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515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2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USKVBL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formankova</dc:creator>
  <cp:lastModifiedBy>Stejkora Jakub</cp:lastModifiedBy>
  <cp:revision>3</cp:revision>
  <cp:lastPrinted>2020-06-18T09:59:00Z</cp:lastPrinted>
  <dcterms:created xsi:type="dcterms:W3CDTF">2021-01-18T16:39:00Z</dcterms:created>
  <dcterms:modified xsi:type="dcterms:W3CDTF">2021-01-18T16:42:00Z</dcterms:modified>
</cp:coreProperties>
</file>