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EBF3" w14:textId="4CAD87A6" w:rsidR="00775CC0" w:rsidRPr="00DA7F9E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PŘÍBALOVÁ INFORMACE</w:t>
      </w:r>
    </w:p>
    <w:p w14:paraId="1D0BB39A" w14:textId="77777777" w:rsidR="00775CC0" w:rsidRPr="00DA7F9E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Versiguard Rabies, injekční suspenze</w:t>
      </w:r>
    </w:p>
    <w:p w14:paraId="64F5EB1E" w14:textId="77777777" w:rsidR="00775CC0" w:rsidRPr="00DA7F9E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4949C560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14:paraId="2E25C7CC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7A6EA15E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  <w:r w:rsidRPr="00DA7F9E">
        <w:rPr>
          <w:rFonts w:ascii="Times New Roman" w:eastAsia="Times New Roman" w:hAnsi="Times New Roman" w:cs="Times New Roman"/>
          <w:iCs/>
          <w:szCs w:val="20"/>
          <w:u w:val="single"/>
        </w:rPr>
        <w:t>Držitel rozhodnutí o registraci</w:t>
      </w:r>
      <w:r w:rsidRPr="00DA7F9E">
        <w:rPr>
          <w:rFonts w:ascii="Times New Roman" w:eastAsia="Times New Roman" w:hAnsi="Times New Roman" w:cs="Times New Roman"/>
          <w:iCs/>
          <w:szCs w:val="20"/>
        </w:rPr>
        <w:t>:</w:t>
      </w:r>
    </w:p>
    <w:p w14:paraId="01317F33" w14:textId="77777777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Zoetis Česká republika, s.r.o., </w:t>
      </w:r>
      <w:r w:rsidR="009446D3" w:rsidRPr="00DA7F9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náměstí 14. října 642/17</w:t>
      </w:r>
      <w:r w:rsidRPr="00DA7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150 00 Praha 5, Česká republika </w:t>
      </w:r>
    </w:p>
    <w:p w14:paraId="62E9784E" w14:textId="77777777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</w:pPr>
    </w:p>
    <w:p w14:paraId="31B92BB1" w14:textId="77777777" w:rsidR="00775CC0" w:rsidRPr="00DA7F9E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Cs/>
          <w:szCs w:val="20"/>
          <w:u w:val="single"/>
        </w:rPr>
        <w:t>Výrobce odpovědný za uvolnění šarže</w:t>
      </w:r>
      <w:r w:rsidRPr="00DA7F9E">
        <w:rPr>
          <w:rFonts w:ascii="Times New Roman" w:eastAsia="Times New Roman" w:hAnsi="Times New Roman" w:cs="Times New Roman"/>
          <w:szCs w:val="20"/>
        </w:rPr>
        <w:t>:</w:t>
      </w:r>
    </w:p>
    <w:p w14:paraId="27CE0510" w14:textId="2DEB722A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18"/>
        </w:rPr>
        <w:t>Bioveta, a.s.,</w:t>
      </w:r>
      <w:r w:rsidR="009446D3" w:rsidRPr="00DA7F9E">
        <w:rPr>
          <w:rFonts w:ascii="Times New Roman" w:eastAsia="Times New Roman" w:hAnsi="Times New Roman" w:cs="Times New Roman"/>
          <w:szCs w:val="18"/>
        </w:rPr>
        <w:t xml:space="preserve"> </w:t>
      </w:r>
      <w:r w:rsidRPr="00DA7F9E">
        <w:rPr>
          <w:rFonts w:ascii="Times New Roman" w:eastAsia="Times New Roman" w:hAnsi="Times New Roman" w:cs="Times New Roman"/>
          <w:szCs w:val="18"/>
        </w:rPr>
        <w:t>Komenského 212</w:t>
      </w:r>
      <w:r w:rsidR="00E77FC4" w:rsidRPr="00DA7F9E">
        <w:rPr>
          <w:rFonts w:ascii="Times New Roman" w:eastAsia="Times New Roman" w:hAnsi="Times New Roman" w:cs="Times New Roman"/>
          <w:szCs w:val="18"/>
        </w:rPr>
        <w:t>/12</w:t>
      </w:r>
      <w:r w:rsidRPr="00DA7F9E">
        <w:rPr>
          <w:rFonts w:ascii="Times New Roman" w:eastAsia="Times New Roman" w:hAnsi="Times New Roman" w:cs="Times New Roman"/>
          <w:szCs w:val="18"/>
        </w:rPr>
        <w:t>, 683 23 Ivanovice na Hané</w:t>
      </w:r>
      <w:r w:rsidR="009446D3" w:rsidRPr="00DA7F9E">
        <w:rPr>
          <w:rFonts w:ascii="Times New Roman" w:eastAsia="Times New Roman" w:hAnsi="Times New Roman" w:cs="Times New Roman"/>
          <w:szCs w:val="18"/>
        </w:rPr>
        <w:t xml:space="preserve">, </w:t>
      </w:r>
      <w:r w:rsidRPr="00DA7F9E">
        <w:rPr>
          <w:rFonts w:ascii="Times New Roman" w:eastAsia="Times New Roman" w:hAnsi="Times New Roman" w:cs="Times New Roman"/>
          <w:szCs w:val="18"/>
        </w:rPr>
        <w:t>Česká republika</w:t>
      </w:r>
    </w:p>
    <w:p w14:paraId="25A4EF89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43862180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2.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14:paraId="0BC01753" w14:textId="77777777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634B8D3D" w14:textId="77777777" w:rsidR="00775CC0" w:rsidRPr="00DA7F9E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Versiguard Rabies, injekční suspenze</w:t>
      </w:r>
    </w:p>
    <w:p w14:paraId="64763EF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27597EF7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3.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14:paraId="2F689449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14:paraId="5A0D8418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Jedna dávka (1 ml) obsahuje:</w:t>
      </w:r>
    </w:p>
    <w:p w14:paraId="539162CF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14:paraId="0B889417" w14:textId="77777777" w:rsidR="00775CC0" w:rsidRPr="00DA7F9E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DA7F9E">
        <w:rPr>
          <w:rFonts w:ascii="Times New Roman" w:eastAsia="Times New Roman" w:hAnsi="Times New Roman" w:cs="Times New Roman"/>
          <w:b/>
        </w:rPr>
        <w:t>Léčivá látka:</w:t>
      </w:r>
    </w:p>
    <w:p w14:paraId="11A5F79F" w14:textId="1E2BE797" w:rsidR="00775CC0" w:rsidRPr="00DA7F9E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Virus rabiei inactivatum, kmen SAD Vnukovo-32</w:t>
      </w:r>
      <w:r w:rsidRPr="00DA7F9E">
        <w:rPr>
          <w:rFonts w:ascii="Times New Roman" w:eastAsia="Times New Roman" w:hAnsi="Times New Roman" w:cs="Times New Roman"/>
        </w:rPr>
        <w:tab/>
        <w:t>min 2,0 IU</w:t>
      </w:r>
      <w:r w:rsidR="00F312DE" w:rsidRPr="00DA7F9E">
        <w:rPr>
          <w:rFonts w:ascii="Times New Roman" w:hAnsi="Times New Roman"/>
        </w:rPr>
        <w:t xml:space="preserve"> *</w:t>
      </w:r>
    </w:p>
    <w:p w14:paraId="27194A42" w14:textId="3EA19BCF" w:rsidR="00775CC0" w:rsidRPr="00DA7F9E" w:rsidRDefault="00F312DE" w:rsidP="00724441">
      <w:pPr>
        <w:tabs>
          <w:tab w:val="left" w:pos="1701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</w:rPr>
      </w:pPr>
      <w:r w:rsidRPr="00DA7F9E">
        <w:rPr>
          <w:rFonts w:ascii="Times New Roman" w:hAnsi="Times New Roman"/>
        </w:rPr>
        <w:t>*IU – mezinárodní jednotky</w:t>
      </w:r>
    </w:p>
    <w:p w14:paraId="58E337DA" w14:textId="77777777" w:rsidR="00F312DE" w:rsidRPr="00DA7F9E" w:rsidRDefault="00F312DE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b/>
        </w:rPr>
      </w:pPr>
    </w:p>
    <w:p w14:paraId="104281FF" w14:textId="77777777" w:rsidR="00775CC0" w:rsidRPr="00DA7F9E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DA7F9E">
        <w:rPr>
          <w:rFonts w:ascii="Times New Roman" w:eastAsia="Times New Roman" w:hAnsi="Times New Roman" w:cs="Times New Roman"/>
          <w:b/>
        </w:rPr>
        <w:t>Adjuvans:</w:t>
      </w:r>
    </w:p>
    <w:p w14:paraId="6281DA11" w14:textId="3839B722" w:rsidR="00775CC0" w:rsidRPr="00DA7F9E" w:rsidRDefault="00F312DE" w:rsidP="00724441">
      <w:pPr>
        <w:tabs>
          <w:tab w:val="left" w:pos="5670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DA7F9E">
        <w:rPr>
          <w:rFonts w:ascii="Times New Roman" w:hAnsi="Times New Roman" w:cs="Times New Roman"/>
        </w:rPr>
        <w:t>Hydroxid hlinitý</w:t>
      </w:r>
      <w:r w:rsidR="00775CC0" w:rsidRPr="00DA7F9E">
        <w:rPr>
          <w:rFonts w:ascii="Times New Roman" w:eastAsia="Times New Roman" w:hAnsi="Times New Roman" w:cs="Times New Roman"/>
        </w:rPr>
        <w:tab/>
        <w:t>2,0 mg</w:t>
      </w:r>
    </w:p>
    <w:p w14:paraId="2A97B47D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14:paraId="18F3F1FC" w14:textId="77777777" w:rsidR="00775CC0" w:rsidRPr="00DA7F9E" w:rsidRDefault="00775CC0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  <w:b/>
        </w:rPr>
        <w:t>Excipiens:</w:t>
      </w:r>
    </w:p>
    <w:p w14:paraId="61970A77" w14:textId="1933664D" w:rsidR="00775CC0" w:rsidRPr="00DA7F9E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 xml:space="preserve">Thiomersal                                                </w:t>
      </w:r>
      <w:r w:rsidRPr="00DA7F9E">
        <w:rPr>
          <w:rFonts w:ascii="Times New Roman" w:eastAsia="Times New Roman" w:hAnsi="Times New Roman" w:cs="Times New Roman"/>
        </w:rPr>
        <w:tab/>
        <w:t>0,1 mg</w:t>
      </w:r>
    </w:p>
    <w:p w14:paraId="7A7960BA" w14:textId="77777777" w:rsidR="00775CC0" w:rsidRPr="00DA7F9E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14:paraId="1D80B62F" w14:textId="77777777" w:rsidR="00775CC0" w:rsidRPr="00DA7F9E" w:rsidRDefault="00775CC0" w:rsidP="00724441">
      <w:pPr>
        <w:tabs>
          <w:tab w:val="center" w:pos="4153"/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Slabě růžová tekutina, která může obsahovat jemný sediment.</w:t>
      </w:r>
    </w:p>
    <w:p w14:paraId="6DD9F13A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14:paraId="5D083B33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4.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14:paraId="1FD3FA8E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223FEA10" w14:textId="0E874CFE" w:rsidR="00361771" w:rsidRPr="00DA7F9E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Pro aktivní imunizaci psů, koček, skotu, prasat, ovcí, koz, koní a fretek (12 týdnů a starších) pro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 xml:space="preserve">prevenci infekce a mortality způsobené virem vztekliny. </w:t>
      </w:r>
    </w:p>
    <w:p w14:paraId="09031E70" w14:textId="77777777" w:rsidR="00361771" w:rsidRPr="00DA7F9E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57B3721F" w14:textId="77777777" w:rsidR="00361771" w:rsidRPr="00DA7F9E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Nástup imunity:</w:t>
      </w:r>
      <w:r w:rsidRPr="00DA7F9E">
        <w:rPr>
          <w:rFonts w:ascii="Times New Roman" w:eastAsia="Times New Roman" w:hAnsi="Times New Roman" w:cs="Times New Roman"/>
          <w:szCs w:val="20"/>
        </w:rPr>
        <w:t xml:space="preserve"> 14 - 21 dnů po primární vakcinaci. </w:t>
      </w:r>
    </w:p>
    <w:p w14:paraId="1A2DFB63" w14:textId="77777777" w:rsidR="00361771" w:rsidRPr="00DA7F9E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7111BC8F" w14:textId="77777777" w:rsidR="00361771" w:rsidRPr="00DA7F9E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Doba trvání imunity:</w:t>
      </w:r>
    </w:p>
    <w:p w14:paraId="507BB19C" w14:textId="77777777" w:rsidR="00361771" w:rsidRPr="00DA7F9E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Psi</w:t>
      </w:r>
      <w:r w:rsidRPr="00DA7F9E">
        <w:rPr>
          <w:rFonts w:ascii="Times New Roman" w:eastAsia="Times New Roman" w:hAnsi="Times New Roman" w:cs="Times New Roman"/>
          <w:szCs w:val="20"/>
        </w:rPr>
        <w:t>: nejméně 3 roky po primární vakcinaci.</w:t>
      </w:r>
    </w:p>
    <w:p w14:paraId="34598AA9" w14:textId="77777777" w:rsidR="00361771" w:rsidRPr="00DA7F9E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</w:p>
    <w:p w14:paraId="6A2938D4" w14:textId="069DC682" w:rsidR="00361771" w:rsidRPr="00DA7F9E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Kočky, skot, prasata, ovce, kozy, koně a</w:t>
      </w:r>
      <w:r w:rsidRPr="00DA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7F9E">
        <w:rPr>
          <w:rFonts w:ascii="Times New Roman" w:eastAsia="Times New Roman" w:hAnsi="Times New Roman" w:cs="Times New Roman"/>
          <w:b/>
          <w:szCs w:val="20"/>
        </w:rPr>
        <w:t>fretky:</w:t>
      </w:r>
      <w:r w:rsidRPr="00DA7F9E">
        <w:rPr>
          <w:rFonts w:ascii="Times New Roman" w:eastAsia="Times New Roman" w:hAnsi="Times New Roman" w:cs="Times New Roman"/>
          <w:szCs w:val="20"/>
        </w:rPr>
        <w:t xml:space="preserve"> nejméně 1 rok po primární vakcinaci a nejméně </w:t>
      </w:r>
      <w:r w:rsidR="00171BB5" w:rsidRPr="00DA7F9E">
        <w:rPr>
          <w:rFonts w:ascii="Times New Roman" w:eastAsia="Times New Roman" w:hAnsi="Times New Roman" w:cs="Times New Roman"/>
          <w:szCs w:val="20"/>
        </w:rPr>
        <w:t>2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roky po revakcinaci.</w:t>
      </w:r>
    </w:p>
    <w:p w14:paraId="4A760923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2D4961AD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 xml:space="preserve">5. 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14:paraId="7334FB24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5293975A" w14:textId="7CFF2BB5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Nepoužívat u zvířat, která vykazují znaky vztekliny nebo u kterých je podezření, že byla infikována virem vztekliny.</w:t>
      </w:r>
    </w:p>
    <w:p w14:paraId="643CADCC" w14:textId="63E84E5E" w:rsidR="00E77FC4" w:rsidRPr="00DA7F9E" w:rsidRDefault="00E77FC4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Nepoužívat v případech přecitlivělosti </w:t>
      </w:r>
      <w:r w:rsidR="00160DCA" w:rsidRPr="00DA7F9E">
        <w:rPr>
          <w:rFonts w:ascii="Times New Roman" w:eastAsia="Times New Roman" w:hAnsi="Times New Roman" w:cs="Times New Roman"/>
          <w:szCs w:val="20"/>
        </w:rPr>
        <w:t xml:space="preserve">na adjuvans </w:t>
      </w:r>
      <w:r w:rsidRPr="00DA7F9E">
        <w:rPr>
          <w:rFonts w:ascii="Times New Roman" w:eastAsia="Times New Roman" w:hAnsi="Times New Roman" w:cs="Times New Roman"/>
          <w:szCs w:val="20"/>
        </w:rPr>
        <w:t>nebo na některou z pomocných látek.</w:t>
      </w:r>
    </w:p>
    <w:p w14:paraId="03223A88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532C16EC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6.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14:paraId="5D78395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628BDBF2" w14:textId="44BFEEB9" w:rsidR="00E77FC4" w:rsidRPr="00DA7F9E" w:rsidRDefault="00F312DE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Hlk66374567"/>
      <w:r w:rsidRPr="00DA7F9E">
        <w:rPr>
          <w:rFonts w:ascii="Times New Roman" w:eastAsia="Times New Roman" w:hAnsi="Times New Roman" w:cs="Times New Roman"/>
          <w:szCs w:val="20"/>
        </w:rPr>
        <w:lastRenderedPageBreak/>
        <w:t xml:space="preserve">Po subkutánním podání se může u všech cílových druhů ve velmi vzácných případech vyskytnout v místě vpichu přechodný otok. </w:t>
      </w:r>
      <w:r w:rsidR="00E77FC4" w:rsidRPr="00DA7F9E">
        <w:rPr>
          <w:rFonts w:ascii="Times New Roman" w:eastAsia="Times New Roman" w:hAnsi="Times New Roman" w:cs="Times New Roman"/>
          <w:szCs w:val="20"/>
        </w:rPr>
        <w:t xml:space="preserve"> Otok může dosáhnout maximální průměr do 10 mm a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="00E77FC4" w:rsidRPr="00DA7F9E">
        <w:rPr>
          <w:rFonts w:ascii="Times New Roman" w:eastAsia="Times New Roman" w:hAnsi="Times New Roman" w:cs="Times New Roman"/>
          <w:szCs w:val="20"/>
        </w:rPr>
        <w:t>ve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="00E77FC4" w:rsidRPr="00DA7F9E">
        <w:rPr>
          <w:rFonts w:ascii="Times New Roman" w:eastAsia="Times New Roman" w:hAnsi="Times New Roman" w:cs="Times New Roman"/>
          <w:szCs w:val="20"/>
        </w:rPr>
        <w:t>vzácných  případech může být spojen s mírným neklidem. Tyto reakce obvykle vymizí během 10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="00E77FC4" w:rsidRPr="00DA7F9E">
        <w:rPr>
          <w:rFonts w:ascii="Times New Roman" w:eastAsia="Times New Roman" w:hAnsi="Times New Roman" w:cs="Times New Roman"/>
          <w:szCs w:val="20"/>
        </w:rPr>
        <w:t xml:space="preserve">dnů. </w:t>
      </w:r>
    </w:p>
    <w:p w14:paraId="2A81C6AE" w14:textId="77777777" w:rsidR="00E77FC4" w:rsidRPr="00DA7F9E" w:rsidRDefault="00E77FC4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FAFCD0A" w14:textId="2EBAA35D" w:rsidR="00E77FC4" w:rsidRPr="00DA7F9E" w:rsidRDefault="00F312DE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Po intramuskulárním podání se může velmi vzácně vyskytnout u všech jiných cílových druhů než psů v místě vpichu přechodná bolest (která může být ve vzácných případech spojena s </w:t>
      </w:r>
      <w:r w:rsidR="00DA7F9E" w:rsidRPr="00DA7F9E">
        <w:rPr>
          <w:rFonts w:ascii="Times New Roman" w:eastAsia="Times New Roman" w:hAnsi="Times New Roman" w:cs="Times New Roman"/>
          <w:szCs w:val="20"/>
        </w:rPr>
        <w:t>otokem). Otok</w:t>
      </w:r>
      <w:r w:rsidR="00E77FC4" w:rsidRPr="00DA7F9E">
        <w:rPr>
          <w:rFonts w:ascii="Times New Roman" w:eastAsia="Times New Roman" w:hAnsi="Times New Roman" w:cs="Times New Roman"/>
          <w:szCs w:val="20"/>
        </w:rPr>
        <w:t xml:space="preserve"> může dosáhnout průměru maximálně 2 cm. Tyto reakce obvykle vymizí během 7 dnů.</w:t>
      </w:r>
    </w:p>
    <w:p w14:paraId="2659CB95" w14:textId="77777777" w:rsidR="00E77FC4" w:rsidRPr="00DA7F9E" w:rsidRDefault="00E77FC4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DE3C986" w14:textId="779E91A5" w:rsidR="00E77FC4" w:rsidRPr="00DA7F9E" w:rsidRDefault="00E77FC4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Velmi vzácně se mohou vyskytnout hypersenzitivní reakce. Pokud se taková reakce objeví, je třeba ihned použít vhodnou léčbu.</w:t>
      </w:r>
    </w:p>
    <w:bookmarkEnd w:id="0"/>
    <w:p w14:paraId="50D46F68" w14:textId="2BA48B97" w:rsidR="00361771" w:rsidRPr="00DA7F9E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6C63A7C6" w14:textId="77777777" w:rsidR="00E77FC4" w:rsidRPr="00DA7F9E" w:rsidRDefault="00E77FC4" w:rsidP="00E77F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14:paraId="4628546F" w14:textId="7777777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- velmi časté (nežádoucí účinek(nky) se projevil(y) u více než 1 z 10 ošetřených zvířat)</w:t>
      </w:r>
    </w:p>
    <w:p w14:paraId="143C09C2" w14:textId="7777777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14:paraId="5E4F0C60" w14:textId="7777777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14:paraId="199AA1DC" w14:textId="7777777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14:paraId="5C402660" w14:textId="045A9A0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</w:rPr>
        <w:t>- velmi vzácné (u méně než 1 z 10000 ošetřených zvířa</w:t>
      </w:r>
      <w:r w:rsidR="00DA7F9E">
        <w:rPr>
          <w:rFonts w:ascii="Times New Roman" w:eastAsia="Times New Roman" w:hAnsi="Times New Roman" w:cs="Times New Roman"/>
        </w:rPr>
        <w:t>t, včetně ojedinělých hlášení).</w:t>
      </w:r>
    </w:p>
    <w:p w14:paraId="240D0638" w14:textId="77777777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22B467EA" w14:textId="77777777" w:rsidR="00E77FC4" w:rsidRPr="00DA7F9E" w:rsidRDefault="00E77FC4" w:rsidP="00E77F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571B324E" w14:textId="77777777" w:rsidR="009471A9" w:rsidRPr="00DA7F9E" w:rsidRDefault="009471A9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14:paraId="4965B02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7.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14:paraId="5D22BB00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186CE71D" w14:textId="77777777" w:rsidR="00775CC0" w:rsidRPr="00DA7F9E" w:rsidRDefault="00775CC0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Psi, kočky, skot, prasata, ovce, kozy, koně a</w:t>
      </w:r>
      <w:r w:rsidRPr="00DA7F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7F9E">
        <w:rPr>
          <w:rFonts w:ascii="Times New Roman" w:eastAsia="Times New Roman" w:hAnsi="Times New Roman" w:cs="Times New Roman"/>
          <w:szCs w:val="20"/>
        </w:rPr>
        <w:t>fretky.</w:t>
      </w:r>
    </w:p>
    <w:p w14:paraId="24EAFD88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660D148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8.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DÁVKOVÁNÍ PRO KAŽDÝ DRUH, CESTA(Y) A ZPŮSOB PODÁNÍ</w:t>
      </w:r>
    </w:p>
    <w:p w14:paraId="1ED8B1B8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7A26A84C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Psi: podat injekčně subkutánně.</w:t>
      </w:r>
    </w:p>
    <w:p w14:paraId="38135E40" w14:textId="77777777" w:rsidR="00BE0C30" w:rsidRPr="00DA7F9E" w:rsidRDefault="007116A6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Všechny ostatní cílové druhy: p</w:t>
      </w:r>
      <w:r w:rsidR="00BE0C30" w:rsidRPr="00DA7F9E">
        <w:rPr>
          <w:rFonts w:ascii="Times New Roman" w:eastAsia="Times New Roman" w:hAnsi="Times New Roman" w:cs="Times New Roman"/>
          <w:szCs w:val="20"/>
        </w:rPr>
        <w:t>odat injekčně subkutánně nebo intramuskulárně.</w:t>
      </w:r>
    </w:p>
    <w:p w14:paraId="5A1393CA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3C19A4B8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Dávkování:</w:t>
      </w:r>
    </w:p>
    <w:p w14:paraId="3ED0F5BE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Jedna dávka 1 ml je dostatečná bez ohledu na věk, hmotnost nebo plemeno zvířete.</w:t>
      </w:r>
    </w:p>
    <w:p w14:paraId="71705E20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</w:p>
    <w:p w14:paraId="7ED7E53C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Primární vakcinace:</w:t>
      </w:r>
    </w:p>
    <w:p w14:paraId="3B82397D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Zvířata všech cílových druhů se mohou vakcinovat od 12 týdnů věku.</w:t>
      </w:r>
    </w:p>
    <w:p w14:paraId="0DE452A5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Primární vakcinace je jednou vakcinační dávkou.</w:t>
      </w:r>
    </w:p>
    <w:p w14:paraId="0B433C71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2D726CE1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Revakcinace:</w:t>
      </w:r>
    </w:p>
    <w:p w14:paraId="19C7C590" w14:textId="77824404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 xml:space="preserve">Psi: </w:t>
      </w:r>
      <w:r w:rsidRPr="00DA7F9E">
        <w:rPr>
          <w:rFonts w:ascii="Times New Roman" w:eastAsia="Times New Roman" w:hAnsi="Times New Roman" w:cs="Times New Roman"/>
          <w:szCs w:val="20"/>
        </w:rPr>
        <w:t>Jedna dávka Versiguard Rabies každé 3 roky. Titr protilátek klesá v průběhu tříletého trvání imunity, psi jsou však při čelenžním testu chráněni. V případě, že cestujete do rizikových oblastí nebo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mimo EU, může veterinární lékař podat další dávku vakcíny proti vzteklině, aby si byl jistý, že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vakcinovaní psi dosáhnou titru protilátek ≥ 0</w:t>
      </w:r>
      <w:r w:rsidR="002E3D53" w:rsidRPr="00DA7F9E">
        <w:rPr>
          <w:rFonts w:ascii="Times New Roman" w:eastAsia="Times New Roman" w:hAnsi="Times New Roman" w:cs="Times New Roman"/>
          <w:szCs w:val="20"/>
        </w:rPr>
        <w:t>,</w:t>
      </w:r>
      <w:r w:rsidRPr="00DA7F9E">
        <w:rPr>
          <w:rFonts w:ascii="Times New Roman" w:eastAsia="Times New Roman" w:hAnsi="Times New Roman" w:cs="Times New Roman"/>
          <w:szCs w:val="20"/>
        </w:rPr>
        <w:t>5 IU/ml, což je obecně považováno za dostatečnou ochranu a psi tak splňují podmínky testu pro cestování (titr protilátek ≥ 0</w:t>
      </w:r>
      <w:r w:rsidR="002E3D53" w:rsidRPr="00DA7F9E">
        <w:rPr>
          <w:rFonts w:ascii="Times New Roman" w:eastAsia="Times New Roman" w:hAnsi="Times New Roman" w:cs="Times New Roman"/>
          <w:szCs w:val="20"/>
        </w:rPr>
        <w:t>,</w:t>
      </w:r>
      <w:r w:rsidRPr="00DA7F9E">
        <w:rPr>
          <w:rFonts w:ascii="Times New Roman" w:eastAsia="Times New Roman" w:hAnsi="Times New Roman" w:cs="Times New Roman"/>
          <w:szCs w:val="20"/>
        </w:rPr>
        <w:t>5 IU/ml).</w:t>
      </w:r>
    </w:p>
    <w:p w14:paraId="1FF2E647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4478F7C7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Kočky, skot, prasata, ovce, kozy, koně a</w:t>
      </w:r>
      <w:r w:rsidRPr="00DA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7F9E">
        <w:rPr>
          <w:rFonts w:ascii="Times New Roman" w:eastAsia="Times New Roman" w:hAnsi="Times New Roman" w:cs="Times New Roman"/>
          <w:b/>
          <w:szCs w:val="20"/>
        </w:rPr>
        <w:t>fretky:</w:t>
      </w:r>
    </w:p>
    <w:p w14:paraId="6FC659CB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Zvířata by měla být revakcinována jednou dávkou vakcíny 1 rok po primární vakcinaci.</w:t>
      </w:r>
    </w:p>
    <w:p w14:paraId="276FAC0C" w14:textId="2DDB3F4C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Po první revakcinaci (podané 1 rok po primární vakcinaci) by měla být zvířata revakcinována každé 2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roky jednou dávkou vakcíny.</w:t>
      </w:r>
    </w:p>
    <w:p w14:paraId="02280009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53960B2C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Použití jako rozpouštědlo pro vakcíny řady Versican Plus</w:t>
      </w:r>
    </w:p>
    <w:p w14:paraId="3E376FC7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Obsah jedné lékovky vakcíny Versican Plus rekonstituovat obsahem jedné lékovky Versiguard Rabies (místo rozpouštědla). Po promíchání by měl mít obsah lékovky růžovou/červenou nebo nažloutlou barvu s lehkou opalescencí. Smíšené vakcíny by měly být podány okamžitě subkutánní cestou.</w:t>
      </w:r>
    </w:p>
    <w:p w14:paraId="6FC7F923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65AD975E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Souběžné podání s vakcínami řady Vanguard pro psy</w:t>
      </w:r>
    </w:p>
    <w:p w14:paraId="4F94E177" w14:textId="5D12ECAA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Pro smíchání vakcín rekonstituujte vakcíny Vanguard podle pokynů v jejich SPC. Lahvičku s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rekonstituovanou vakcínou dobře protřepejte a poté smíchejte s 1 ml vakcíny Versiguard Rabies buď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v lahvičce Versiguard Rabies nebo v injekční stříkačce. Před použitím Versiguard Rabies dobře protřepejte. Před použitím smíchané vakcíny jemně protřepej</w:t>
      </w:r>
      <w:r w:rsidR="00DA7F9E">
        <w:rPr>
          <w:rFonts w:ascii="Times New Roman" w:eastAsia="Times New Roman" w:hAnsi="Times New Roman" w:cs="Times New Roman"/>
          <w:szCs w:val="20"/>
        </w:rPr>
        <w:t>te a poté podávejte subkutánně.</w:t>
      </w:r>
    </w:p>
    <w:p w14:paraId="1D9A76C9" w14:textId="77777777" w:rsidR="00BE0C30" w:rsidRPr="00DA7F9E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5BFA1528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9.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14:paraId="240A994B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45A78C17" w14:textId="77777777" w:rsidR="00775CC0" w:rsidRPr="00DA7F9E" w:rsidRDefault="00775CC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Před použitím protřepat. </w:t>
      </w:r>
    </w:p>
    <w:p w14:paraId="47B630E3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337E48D6" w14:textId="71829FC4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10.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OCHRANNÁ</w:t>
      </w:r>
      <w:r w:rsidR="00783FE2" w:rsidRPr="00DA7F9E">
        <w:rPr>
          <w:rFonts w:ascii="Times New Roman" w:eastAsia="Times New Roman" w:hAnsi="Times New Roman" w:cs="Times New Roman"/>
          <w:b/>
          <w:szCs w:val="20"/>
        </w:rPr>
        <w:t>(É)</w:t>
      </w:r>
      <w:r w:rsidRPr="00DA7F9E">
        <w:rPr>
          <w:rFonts w:ascii="Times New Roman" w:eastAsia="Times New Roman" w:hAnsi="Times New Roman" w:cs="Times New Roman"/>
          <w:b/>
          <w:szCs w:val="20"/>
        </w:rPr>
        <w:t xml:space="preserve"> LHŮTA</w:t>
      </w:r>
      <w:r w:rsidR="00783FE2" w:rsidRPr="00DA7F9E">
        <w:rPr>
          <w:rFonts w:ascii="Times New Roman" w:eastAsia="Times New Roman" w:hAnsi="Times New Roman" w:cs="Times New Roman"/>
          <w:b/>
          <w:szCs w:val="20"/>
        </w:rPr>
        <w:t>(Y)</w:t>
      </w:r>
    </w:p>
    <w:p w14:paraId="0EBD0174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</w:p>
    <w:p w14:paraId="03ED6C1A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Psi, kočky, fretky: Není určeno pro potravinová zvířata.</w:t>
      </w:r>
    </w:p>
    <w:p w14:paraId="4658D45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Skot, prasata, ovce, kozy, koně: Bez ochranných lhůt.</w:t>
      </w:r>
    </w:p>
    <w:p w14:paraId="58D6347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</w:p>
    <w:p w14:paraId="2CA6A70C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11.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14:paraId="10634297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4AFE5C6B" w14:textId="09A802DD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Uchovávat mimo</w:t>
      </w:r>
      <w:r w:rsidR="00783FE2" w:rsidRPr="00DA7F9E">
        <w:rPr>
          <w:rFonts w:ascii="Times New Roman" w:eastAsia="Times New Roman" w:hAnsi="Times New Roman" w:cs="Times New Roman"/>
          <w:szCs w:val="20"/>
        </w:rPr>
        <w:t xml:space="preserve"> dohled a</w:t>
      </w:r>
      <w:r w:rsidRPr="00DA7F9E">
        <w:rPr>
          <w:rFonts w:ascii="Times New Roman" w:eastAsia="Times New Roman" w:hAnsi="Times New Roman" w:cs="Times New Roman"/>
          <w:szCs w:val="20"/>
        </w:rPr>
        <w:t xml:space="preserve"> dosah dětí.</w:t>
      </w:r>
    </w:p>
    <w:p w14:paraId="1B2C4C3D" w14:textId="77777777" w:rsidR="00775CC0" w:rsidRPr="00DA7F9E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Uchovávejte v chladničce (2</w:t>
      </w:r>
      <w:r w:rsidR="009446D3" w:rsidRPr="00DA7F9E">
        <w:rPr>
          <w:rFonts w:ascii="Times New Roman" w:eastAsia="Times New Roman" w:hAnsi="Times New Roman" w:cs="Times New Roman"/>
          <w:szCs w:val="20"/>
        </w:rPr>
        <w:t xml:space="preserve"> </w:t>
      </w:r>
      <w:r w:rsidRPr="00DA7F9E">
        <w:rPr>
          <w:rFonts w:ascii="Times New Roman" w:eastAsia="Times New Roman" w:hAnsi="Times New Roman" w:cs="Times New Roman"/>
          <w:szCs w:val="20"/>
        </w:rPr>
        <w:sym w:font="Symbol" w:char="F0B0"/>
      </w:r>
      <w:r w:rsidRPr="00DA7F9E">
        <w:rPr>
          <w:rFonts w:ascii="Times New Roman" w:eastAsia="Times New Roman" w:hAnsi="Times New Roman" w:cs="Times New Roman"/>
          <w:szCs w:val="20"/>
        </w:rPr>
        <w:t>C – 8</w:t>
      </w:r>
      <w:r w:rsidR="009446D3" w:rsidRPr="00DA7F9E">
        <w:rPr>
          <w:rFonts w:ascii="Times New Roman" w:eastAsia="Times New Roman" w:hAnsi="Times New Roman" w:cs="Times New Roman"/>
          <w:szCs w:val="20"/>
        </w:rPr>
        <w:t xml:space="preserve"> </w:t>
      </w:r>
      <w:r w:rsidRPr="00DA7F9E">
        <w:rPr>
          <w:rFonts w:ascii="Times New Roman" w:eastAsia="Times New Roman" w:hAnsi="Times New Roman" w:cs="Times New Roman"/>
          <w:szCs w:val="20"/>
        </w:rPr>
        <w:sym w:font="Symbol" w:char="F0B0"/>
      </w:r>
      <w:r w:rsidRPr="00DA7F9E">
        <w:rPr>
          <w:rFonts w:ascii="Times New Roman" w:eastAsia="Times New Roman" w:hAnsi="Times New Roman" w:cs="Times New Roman"/>
          <w:szCs w:val="20"/>
        </w:rPr>
        <w:t>C).</w:t>
      </w:r>
    </w:p>
    <w:p w14:paraId="0D75920F" w14:textId="77777777" w:rsidR="00775CC0" w:rsidRPr="00DA7F9E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Chraňte před mrazem.</w:t>
      </w:r>
    </w:p>
    <w:p w14:paraId="72711161" w14:textId="77777777" w:rsidR="00C053D6" w:rsidRPr="00DA7F9E" w:rsidRDefault="00C053D6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Chraňte před světlem.</w:t>
      </w:r>
    </w:p>
    <w:p w14:paraId="76B49E76" w14:textId="77777777" w:rsidR="00775CC0" w:rsidRPr="00DA7F9E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0A30082F" w14:textId="484294B6" w:rsidR="00775CC0" w:rsidRPr="00DA7F9E" w:rsidRDefault="00775CC0" w:rsidP="0072444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Nepoužívejte</w:t>
      </w:r>
      <w:r w:rsidR="00C053D6" w:rsidRPr="00DA7F9E">
        <w:rPr>
          <w:rFonts w:ascii="Times New Roman" w:eastAsia="Times New Roman" w:hAnsi="Times New Roman" w:cs="Times New Roman"/>
          <w:szCs w:val="20"/>
        </w:rPr>
        <w:t xml:space="preserve"> tento veterinární léčivý přípravek</w:t>
      </w:r>
      <w:r w:rsidRPr="00DA7F9E">
        <w:rPr>
          <w:rFonts w:ascii="Times New Roman" w:eastAsia="Times New Roman" w:hAnsi="Times New Roman" w:cs="Times New Roman"/>
          <w:szCs w:val="20"/>
        </w:rPr>
        <w:t xml:space="preserve"> po uplynutí doby použitelnost uvedené na etiketě po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EXP.</w:t>
      </w:r>
    </w:p>
    <w:p w14:paraId="6FB6BB87" w14:textId="77777777" w:rsidR="00775CC0" w:rsidRPr="00DA7F9E" w:rsidRDefault="00775CC0" w:rsidP="0072444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Doba použitelnosti po prvním otevření vnitřního obalu:10 hodin. </w:t>
      </w:r>
    </w:p>
    <w:p w14:paraId="50451CAF" w14:textId="77777777" w:rsidR="00775CC0" w:rsidRPr="00DA7F9E" w:rsidRDefault="00775CC0" w:rsidP="00724441">
      <w:pPr>
        <w:spacing w:after="0" w:line="240" w:lineRule="auto"/>
        <w:ind w:right="-318"/>
        <w:contextualSpacing/>
        <w:rPr>
          <w:rFonts w:ascii="Times New Roman" w:eastAsia="Times New Roman" w:hAnsi="Times New Roman" w:cs="Times New Roman"/>
          <w:szCs w:val="20"/>
        </w:rPr>
      </w:pPr>
    </w:p>
    <w:p w14:paraId="066A3C1F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12.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14:paraId="34911CDF" w14:textId="77777777" w:rsidR="00775CC0" w:rsidRPr="00DA7F9E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</w:p>
    <w:p w14:paraId="32A4746A" w14:textId="663C21D8" w:rsidR="00E77FC4" w:rsidRPr="00DA7F9E" w:rsidRDefault="00E77FC4" w:rsidP="00724441">
      <w:pPr>
        <w:spacing w:after="0" w:line="240" w:lineRule="auto"/>
        <w:ind w:left="567" w:hanging="567"/>
        <w:contextualSpacing/>
        <w:outlineLvl w:val="0"/>
        <w:rPr>
          <w:rFonts w:ascii="Times New Roman" w:hAnsi="Times New Roman" w:cs="Times New Roman"/>
          <w:u w:val="single"/>
        </w:rPr>
      </w:pPr>
      <w:r w:rsidRPr="00DA7F9E">
        <w:rPr>
          <w:rFonts w:ascii="Times New Roman" w:eastAsia="Times New Roman" w:hAnsi="Times New Roman" w:cs="Times New Roman"/>
          <w:u w:val="single"/>
        </w:rPr>
        <w:t>Zvláštní upozornění pro každý cílový druh:</w:t>
      </w:r>
    </w:p>
    <w:p w14:paraId="0D62D453" w14:textId="77777777" w:rsidR="00E77FC4" w:rsidRPr="00DA7F9E" w:rsidRDefault="00E77FC4" w:rsidP="00E77FC4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Vakcinovat pouze zdravá zvířata.</w:t>
      </w:r>
    </w:p>
    <w:p w14:paraId="7118C94B" w14:textId="77777777" w:rsidR="00E77FC4" w:rsidRPr="00DA7F9E" w:rsidRDefault="00E77FC4" w:rsidP="00724441">
      <w:pPr>
        <w:spacing w:after="0" w:line="240" w:lineRule="auto"/>
        <w:ind w:left="567" w:hanging="567"/>
        <w:contextualSpacing/>
        <w:outlineLvl w:val="0"/>
        <w:rPr>
          <w:rFonts w:ascii="Times New Roman" w:hAnsi="Times New Roman" w:cs="Times New Roman"/>
          <w:u w:val="single"/>
        </w:rPr>
      </w:pPr>
    </w:p>
    <w:p w14:paraId="3E0D65E9" w14:textId="6A12DF98" w:rsidR="00775CC0" w:rsidRPr="00DA7F9E" w:rsidRDefault="00D45423" w:rsidP="00724441">
      <w:pPr>
        <w:spacing w:after="0" w:line="240" w:lineRule="auto"/>
        <w:ind w:left="567" w:hanging="567"/>
        <w:contextualSpacing/>
        <w:outlineLvl w:val="0"/>
        <w:rPr>
          <w:rFonts w:ascii="Times New Roman" w:hAnsi="Times New Roman" w:cs="Times New Roman"/>
          <w:u w:val="single"/>
        </w:rPr>
      </w:pPr>
      <w:r w:rsidRPr="00DA7F9E">
        <w:rPr>
          <w:rFonts w:ascii="Times New Roman" w:hAnsi="Times New Roman" w:cs="Times New Roman"/>
          <w:u w:val="single"/>
        </w:rPr>
        <w:t>Zvláštní opatření pro použití u zvířat:</w:t>
      </w:r>
    </w:p>
    <w:p w14:paraId="0B30B601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66C30241" w14:textId="77777777" w:rsidR="009471A9" w:rsidRPr="00DA7F9E" w:rsidRDefault="00D45423" w:rsidP="00724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A7F9E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DA7F9E">
        <w:rPr>
          <w:rFonts w:ascii="Times New Roman" w:hAnsi="Times New Roman" w:cs="Times New Roman"/>
        </w:rPr>
        <w:t>:</w:t>
      </w:r>
    </w:p>
    <w:p w14:paraId="623A52CD" w14:textId="77777777" w:rsidR="00775CC0" w:rsidRPr="00DA7F9E" w:rsidRDefault="00775CC0" w:rsidP="00724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V případě náhodného sebepoškození injekčně aplikovaným přípravkem </w:t>
      </w:r>
      <w:r w:rsidRPr="00DA7F9E">
        <w:rPr>
          <w:rFonts w:ascii="Times New Roman" w:eastAsia="Times New Roman" w:hAnsi="Times New Roman" w:cs="Times New Roman"/>
        </w:rPr>
        <w:t>vyhledejte ihned lékařskou pomoc a ukažte příbalovou informaci nebo etiketu praktickému lékaři</w:t>
      </w:r>
      <w:r w:rsidRPr="00DA7F9E">
        <w:rPr>
          <w:rFonts w:ascii="Times New Roman" w:eastAsia="Times New Roman" w:hAnsi="Times New Roman" w:cs="Times New Roman"/>
          <w:szCs w:val="20"/>
        </w:rPr>
        <w:t>.</w:t>
      </w:r>
    </w:p>
    <w:p w14:paraId="72875E7B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4E4096FC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Březost a laktace:</w:t>
      </w:r>
    </w:p>
    <w:p w14:paraId="1EED1698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Lze použít během březosti.</w:t>
      </w:r>
    </w:p>
    <w:p w14:paraId="08887EEB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DA7F9E">
        <w:rPr>
          <w:rFonts w:ascii="Times New Roman" w:eastAsia="Times New Roman" w:hAnsi="Times New Roman" w:cs="Times New Roman"/>
          <w:color w:val="000000"/>
          <w:szCs w:val="20"/>
        </w:rPr>
        <w:t>Vakcína nebyla rozsáhle testována u laktujících zvířat. Nicméně omezené údaje, které jsou k</w:t>
      </w:r>
      <w:r w:rsidR="009471A9" w:rsidRPr="00DA7F9E">
        <w:rPr>
          <w:rFonts w:ascii="Times New Roman" w:eastAsia="Times New Roman" w:hAnsi="Times New Roman" w:cs="Times New Roman"/>
          <w:color w:val="000000"/>
          <w:szCs w:val="20"/>
        </w:rPr>
        <w:t> </w:t>
      </w:r>
      <w:r w:rsidRPr="00DA7F9E">
        <w:rPr>
          <w:rFonts w:ascii="Times New Roman" w:eastAsia="Times New Roman" w:hAnsi="Times New Roman" w:cs="Times New Roman"/>
          <w:color w:val="000000"/>
          <w:szCs w:val="20"/>
        </w:rPr>
        <w:t>dispozici</w:t>
      </w:r>
      <w:r w:rsidR="009471A9" w:rsidRPr="00DA7F9E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DA7F9E">
        <w:rPr>
          <w:rFonts w:ascii="Times New Roman" w:eastAsia="Times New Roman" w:hAnsi="Times New Roman" w:cs="Times New Roman"/>
          <w:color w:val="000000"/>
          <w:szCs w:val="20"/>
        </w:rPr>
        <w:t xml:space="preserve"> naznačují, že podání vakcíny u </w:t>
      </w:r>
      <w:r w:rsidR="00492DCF" w:rsidRPr="00DA7F9E">
        <w:rPr>
          <w:rFonts w:ascii="Times New Roman" w:eastAsia="Times New Roman" w:hAnsi="Times New Roman" w:cs="Times New Roman"/>
          <w:color w:val="000000"/>
          <w:szCs w:val="20"/>
        </w:rPr>
        <w:t xml:space="preserve">laktujících </w:t>
      </w:r>
      <w:r w:rsidRPr="00DA7F9E">
        <w:rPr>
          <w:rFonts w:ascii="Times New Roman" w:eastAsia="Times New Roman" w:hAnsi="Times New Roman" w:cs="Times New Roman"/>
          <w:color w:val="000000"/>
          <w:szCs w:val="20"/>
        </w:rPr>
        <w:t>zvířat nebude spojeno se zvýšeným výskytem nežádoucích účinků.</w:t>
      </w:r>
    </w:p>
    <w:p w14:paraId="7779AB99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</w:p>
    <w:p w14:paraId="11B90F8F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u w:val="single"/>
        </w:rPr>
      </w:pPr>
      <w:r w:rsidRPr="00DA7F9E">
        <w:rPr>
          <w:rFonts w:ascii="Times New Roman" w:hAnsi="Times New Roman" w:cs="Times New Roman"/>
          <w:u w:val="single"/>
        </w:rPr>
        <w:t>Interakce s dalšími léčivými přípravky a další formy interakce:</w:t>
      </w:r>
    </w:p>
    <w:p w14:paraId="0396A7E9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Psi</w:t>
      </w:r>
    </w:p>
    <w:p w14:paraId="45B449A5" w14:textId="3B38222E" w:rsidR="00D45423" w:rsidRPr="00DA7F9E" w:rsidRDefault="00E77FC4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DA7F9E">
        <w:rPr>
          <w:rFonts w:ascii="Times New Roman" w:eastAsia="Times New Roman" w:hAnsi="Times New Roman" w:cs="Times New Roman"/>
          <w:szCs w:val="20"/>
        </w:rPr>
        <w:t>Dostupné údaje o bezpečnosti a účinnosti dokládají</w:t>
      </w:r>
      <w:r w:rsidR="00D45423" w:rsidRPr="00DA7F9E">
        <w:rPr>
          <w:rFonts w:ascii="Times New Roman" w:eastAsia="Times New Roman" w:hAnsi="Times New Roman" w:cs="Times New Roman"/>
          <w:szCs w:val="20"/>
        </w:rPr>
        <w:t>, že tato vakcína může být subkutánně podávána psům ve stejný den jako jakákoliv jiná vakcína řady Vanguard (</w:t>
      </w:r>
      <w:r w:rsidR="00D45423" w:rsidRPr="00DA7F9E">
        <w:rPr>
          <w:rFonts w:ascii="Times New Roman" w:eastAsia="Times New Roman" w:hAnsi="Times New Roman" w:cs="Times New Roman"/>
          <w:iCs/>
        </w:rPr>
        <w:t>Vanguard 7, Vanguard Plus 7, Vanguard Plus 5, Vanguard Plus 5L, Vanguard Pup, Vanguard Puppy, Vanguard Plus Puppy, Vanguard CPV, Vanguard CPV +L, Vanguard DA2Pi, Vanguard DA2Pi+L, Vanguard Lepto ci</w:t>
      </w:r>
      <w:r w:rsidR="00EA12FC" w:rsidRPr="00DA7F9E">
        <w:rPr>
          <w:rFonts w:ascii="Times New Roman" w:eastAsia="Times New Roman" w:hAnsi="Times New Roman" w:cs="Times New Roman"/>
          <w:iCs/>
        </w:rPr>
        <w:t>;</w:t>
      </w:r>
      <w:r w:rsidR="00D45423" w:rsidRPr="00DA7F9E">
        <w:rPr>
          <w:rFonts w:ascii="Times New Roman" w:eastAsia="Times New Roman" w:hAnsi="Times New Roman" w:cs="Times New Roman"/>
          <w:iCs/>
        </w:rPr>
        <w:t xml:space="preserve"> tam</w:t>
      </w:r>
      <w:r w:rsidR="00EA12FC" w:rsidRPr="00DA7F9E">
        <w:rPr>
          <w:rFonts w:ascii="Times New Roman" w:eastAsia="Times New Roman" w:hAnsi="Times New Roman" w:cs="Times New Roman"/>
          <w:iCs/>
        </w:rPr>
        <w:t>,</w:t>
      </w:r>
      <w:r w:rsidR="00D45423" w:rsidRPr="00DA7F9E">
        <w:rPr>
          <w:rFonts w:ascii="Times New Roman" w:eastAsia="Times New Roman" w:hAnsi="Times New Roman" w:cs="Times New Roman"/>
          <w:iCs/>
        </w:rPr>
        <w:t xml:space="preserve"> kde je schváleno), a to bu</w:t>
      </w:r>
      <w:r w:rsidR="008E0753" w:rsidRPr="00DA7F9E">
        <w:rPr>
          <w:rFonts w:ascii="Times New Roman" w:eastAsia="Times New Roman" w:hAnsi="Times New Roman" w:cs="Times New Roman"/>
          <w:iCs/>
        </w:rPr>
        <w:t>ď</w:t>
      </w:r>
      <w:r w:rsidR="00D45423" w:rsidRPr="00DA7F9E">
        <w:rPr>
          <w:rFonts w:ascii="Times New Roman" w:eastAsia="Times New Roman" w:hAnsi="Times New Roman" w:cs="Times New Roman"/>
          <w:iCs/>
        </w:rPr>
        <w:t xml:space="preserve"> smícháním v jedné stříkačce</w:t>
      </w:r>
      <w:r w:rsidR="009471A9" w:rsidRPr="00DA7F9E">
        <w:rPr>
          <w:rFonts w:ascii="Times New Roman" w:eastAsia="Times New Roman" w:hAnsi="Times New Roman" w:cs="Times New Roman"/>
          <w:iCs/>
        </w:rPr>
        <w:t>,</w:t>
      </w:r>
      <w:r w:rsidR="00D45423" w:rsidRPr="00DA7F9E">
        <w:rPr>
          <w:rFonts w:ascii="Times New Roman" w:eastAsia="Times New Roman" w:hAnsi="Times New Roman" w:cs="Times New Roman"/>
          <w:iCs/>
        </w:rPr>
        <w:t xml:space="preserve"> nebo podáním na různá injekční místa. Trvání imunity pro vakcíny řady Vanguard při použití s Versiguard Rabies nebylo stanoveno.</w:t>
      </w:r>
    </w:p>
    <w:p w14:paraId="307A1B08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</w:rPr>
      </w:pPr>
    </w:p>
    <w:p w14:paraId="576BBE72" w14:textId="3D141DBD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lastRenderedPageBreak/>
        <w:t>Po současném podání vakcíny Versiguard Rabies a jiných vakcín řady Vanguard pro psy se může u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 xml:space="preserve">psů vyskytnout přechodný otok v místě vpichu (do velikosti 6 cm) a přechodný otok lymfatických uzlin pod dolní čelistí nebo před lopatkou 4 hodiny po vakcinaci. Tyto reakce vymizí během 24 hodin. </w:t>
      </w:r>
    </w:p>
    <w:p w14:paraId="5B7612A0" w14:textId="77777777" w:rsidR="009446D3" w:rsidRPr="00DA7F9E" w:rsidRDefault="009446D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5BB55D97" w14:textId="3448C505" w:rsidR="00D05AFC" w:rsidRPr="00DA7F9E" w:rsidRDefault="00E77FC4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7F9E">
        <w:rPr>
          <w:rFonts w:ascii="Times New Roman" w:eastAsia="Times New Roman" w:hAnsi="Times New Roman" w:cs="Times New Roman"/>
          <w:szCs w:val="20"/>
        </w:rPr>
        <w:t>Dostupné údaje o bezpečnosti a účinnosti dokládají</w:t>
      </w:r>
      <w:r w:rsidR="00D45423" w:rsidRPr="00DA7F9E">
        <w:rPr>
          <w:rFonts w:ascii="Times New Roman" w:eastAsia="Times New Roman" w:hAnsi="Times New Roman" w:cs="Times New Roman"/>
          <w:szCs w:val="20"/>
        </w:rPr>
        <w:t>, že tato vakcína může být použita jako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="00D45423" w:rsidRPr="00DA7F9E">
        <w:rPr>
          <w:rFonts w:ascii="Times New Roman" w:eastAsia="Times New Roman" w:hAnsi="Times New Roman" w:cs="Times New Roman"/>
          <w:szCs w:val="20"/>
        </w:rPr>
        <w:t>rozpouštědlo pro živé vakcíny řady Versican Plus (Versican Plus DHPPi, DHP, DP, P a Pi) a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="00D45423" w:rsidRPr="00DA7F9E">
        <w:rPr>
          <w:rFonts w:ascii="Times New Roman" w:eastAsia="Times New Roman" w:hAnsi="Times New Roman" w:cs="Times New Roman"/>
          <w:szCs w:val="20"/>
        </w:rPr>
        <w:t>podávána subkutánně psům.</w:t>
      </w:r>
      <w:r w:rsidR="00D05AFC" w:rsidRPr="00DA7F9E">
        <w:rPr>
          <w:rFonts w:ascii="Times New Roman" w:eastAsia="Times New Roman" w:hAnsi="Times New Roman" w:cs="Times New Roman"/>
          <w:szCs w:val="20"/>
        </w:rPr>
        <w:t xml:space="preserve"> </w:t>
      </w:r>
      <w:r w:rsidR="00D05AFC" w:rsidRPr="00DA7F9E">
        <w:rPr>
          <w:rFonts w:ascii="Times New Roman" w:hAnsi="Times New Roman" w:cs="Times New Roman"/>
        </w:rPr>
        <w:t xml:space="preserve">Po podání </w:t>
      </w:r>
      <w:r w:rsidR="009446D3" w:rsidRPr="00DA7F9E">
        <w:rPr>
          <w:rFonts w:ascii="Times New Roman" w:hAnsi="Times New Roman" w:cs="Times New Roman"/>
        </w:rPr>
        <w:t>smích</w:t>
      </w:r>
      <w:r w:rsidR="00503335" w:rsidRPr="00DA7F9E">
        <w:rPr>
          <w:rFonts w:ascii="Times New Roman" w:hAnsi="Times New Roman" w:cs="Times New Roman"/>
        </w:rPr>
        <w:t xml:space="preserve">ané vakcíny </w:t>
      </w:r>
      <w:r w:rsidR="009446D3" w:rsidRPr="00DA7F9E">
        <w:rPr>
          <w:rFonts w:ascii="Times New Roman" w:hAnsi="Times New Roman" w:cs="Times New Roman"/>
        </w:rPr>
        <w:t xml:space="preserve">s vakcínami </w:t>
      </w:r>
      <w:r w:rsidR="00D05AFC" w:rsidRPr="00DA7F9E">
        <w:rPr>
          <w:rFonts w:ascii="Times New Roman" w:hAnsi="Times New Roman" w:cs="Times New Roman"/>
        </w:rPr>
        <w:t>Versican Plus se může u</w:t>
      </w:r>
      <w:r w:rsidR="00DA7F9E">
        <w:rPr>
          <w:rFonts w:ascii="Times New Roman" w:hAnsi="Times New Roman" w:cs="Times New Roman"/>
        </w:rPr>
        <w:t> </w:t>
      </w:r>
      <w:r w:rsidR="00D05AFC" w:rsidRPr="00DA7F9E">
        <w:rPr>
          <w:rFonts w:ascii="Times New Roman" w:hAnsi="Times New Roman" w:cs="Times New Roman"/>
        </w:rPr>
        <w:t xml:space="preserve">vakcinovaných psů </w:t>
      </w:r>
      <w:r w:rsidR="009446D3" w:rsidRPr="00DA7F9E">
        <w:rPr>
          <w:rFonts w:ascii="Times New Roman" w:hAnsi="Times New Roman" w:cs="Times New Roman"/>
        </w:rPr>
        <w:t xml:space="preserve">často </w:t>
      </w:r>
      <w:r w:rsidR="00D05AFC" w:rsidRPr="00DA7F9E">
        <w:rPr>
          <w:rFonts w:ascii="Times New Roman" w:hAnsi="Times New Roman" w:cs="Times New Roman"/>
        </w:rPr>
        <w:t>objevit otok (až 5 cm) v místě podání. Občas může být otok bolestivý, teplý nebo zarudlý. Každý takový otok spontánně odezní nebo se značně zmenší do 14 dní po</w:t>
      </w:r>
      <w:r w:rsidR="00DA7F9E">
        <w:rPr>
          <w:rFonts w:ascii="Times New Roman" w:hAnsi="Times New Roman" w:cs="Times New Roman"/>
        </w:rPr>
        <w:t> </w:t>
      </w:r>
      <w:r w:rsidR="00D05AFC" w:rsidRPr="00DA7F9E">
        <w:rPr>
          <w:rFonts w:ascii="Times New Roman" w:hAnsi="Times New Roman" w:cs="Times New Roman"/>
        </w:rPr>
        <w:t xml:space="preserve">vakcinaci. Ve vzácných případech se </w:t>
      </w:r>
      <w:r w:rsidR="009446D3" w:rsidRPr="00DA7F9E">
        <w:rPr>
          <w:rFonts w:ascii="Times New Roman" w:hAnsi="Times New Roman" w:cs="Times New Roman"/>
        </w:rPr>
        <w:t xml:space="preserve">mohou </w:t>
      </w:r>
      <w:r w:rsidR="00D05AFC" w:rsidRPr="00DA7F9E">
        <w:rPr>
          <w:rFonts w:ascii="Times New Roman" w:hAnsi="Times New Roman" w:cs="Times New Roman"/>
        </w:rPr>
        <w:t xml:space="preserve">objevit </w:t>
      </w:r>
      <w:r w:rsidR="009446D3" w:rsidRPr="00DA7F9E">
        <w:rPr>
          <w:rFonts w:ascii="Times New Roman" w:hAnsi="Times New Roman" w:cs="Times New Roman"/>
        </w:rPr>
        <w:t xml:space="preserve">gastrointestinální příznaky jako je </w:t>
      </w:r>
      <w:r w:rsidR="00D05AFC" w:rsidRPr="00DA7F9E">
        <w:rPr>
          <w:rFonts w:ascii="Times New Roman" w:hAnsi="Times New Roman" w:cs="Times New Roman"/>
        </w:rPr>
        <w:t>diarea a</w:t>
      </w:r>
      <w:r w:rsidR="00DA7F9E">
        <w:rPr>
          <w:rFonts w:ascii="Times New Roman" w:hAnsi="Times New Roman" w:cs="Times New Roman"/>
        </w:rPr>
        <w:t> </w:t>
      </w:r>
      <w:r w:rsidR="00D05AFC" w:rsidRPr="00DA7F9E">
        <w:rPr>
          <w:rFonts w:ascii="Times New Roman" w:hAnsi="Times New Roman" w:cs="Times New Roman"/>
        </w:rPr>
        <w:t>zvracení nebo</w:t>
      </w:r>
      <w:r w:rsidR="009446D3" w:rsidRPr="00DA7F9E">
        <w:rPr>
          <w:rFonts w:ascii="Times New Roman" w:hAnsi="Times New Roman" w:cs="Times New Roman"/>
        </w:rPr>
        <w:t xml:space="preserve"> anorexie a</w:t>
      </w:r>
      <w:r w:rsidR="00D05AFC" w:rsidRPr="00DA7F9E">
        <w:rPr>
          <w:rFonts w:ascii="Times New Roman" w:hAnsi="Times New Roman" w:cs="Times New Roman"/>
        </w:rPr>
        <w:t xml:space="preserve"> snížená aktivita.</w:t>
      </w:r>
    </w:p>
    <w:p w14:paraId="57D43F0C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04839D5C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Ostatní cílové druhy</w:t>
      </w:r>
    </w:p>
    <w:p w14:paraId="48387869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970318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20280825" w14:textId="77777777" w:rsidR="00D45423" w:rsidRPr="00DA7F9E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hAnsi="Times New Roman" w:cs="Times New Roman"/>
          <w:u w:val="single"/>
        </w:rPr>
        <w:t>Předávkování (symptomy, první pomoc, antidota)</w:t>
      </w:r>
      <w:r w:rsidRPr="00DA7F9E">
        <w:rPr>
          <w:rFonts w:ascii="Times New Roman" w:hAnsi="Times New Roman" w:cs="Times New Roman"/>
        </w:rPr>
        <w:t>:</w:t>
      </w:r>
    </w:p>
    <w:p w14:paraId="3ACD2498" w14:textId="2C29C249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Lokální reakce po subkutánním podání nadměrné dávky byly větší (do </w:t>
      </w:r>
      <w:smartTag w:uri="urn:schemas-microsoft-com:office:smarttags" w:element="metricconverter">
        <w:smartTagPr>
          <w:attr w:name="ProductID" w:val="12 mm"/>
        </w:smartTagPr>
        <w:r w:rsidRPr="00DA7F9E">
          <w:rPr>
            <w:rFonts w:ascii="Times New Roman" w:eastAsia="Times New Roman" w:hAnsi="Times New Roman" w:cs="Times New Roman"/>
            <w:szCs w:val="20"/>
          </w:rPr>
          <w:t>12 mm</w:t>
        </w:r>
      </w:smartTag>
      <w:r w:rsidRPr="00DA7F9E">
        <w:rPr>
          <w:rFonts w:ascii="Times New Roman" w:eastAsia="Times New Roman" w:hAnsi="Times New Roman" w:cs="Times New Roman"/>
          <w:szCs w:val="20"/>
        </w:rPr>
        <w:t xml:space="preserve"> v průměru) jako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po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r w:rsidRPr="00DA7F9E">
        <w:rPr>
          <w:rFonts w:ascii="Times New Roman" w:eastAsia="Times New Roman" w:hAnsi="Times New Roman" w:cs="Times New Roman"/>
          <w:szCs w:val="20"/>
        </w:rPr>
        <w:t>standardní dávce.</w:t>
      </w:r>
    </w:p>
    <w:p w14:paraId="6B01BB0D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3C71C7C7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DA7F9E">
        <w:rPr>
          <w:rFonts w:ascii="Times New Roman" w:eastAsia="Times New Roman" w:hAnsi="Times New Roman" w:cs="Times New Roman"/>
          <w:szCs w:val="20"/>
          <w:u w:val="single"/>
        </w:rPr>
        <w:t>Inkompatibility:</w:t>
      </w:r>
    </w:p>
    <w:p w14:paraId="7409E00D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Nemísit s jiným veterinárním léčivým přípravkem kromě vakcín řady Vanguard obsahujících CDV, CAV, CPV, CPiV a Leptospiru nebo vakcínami řady Versican Plus obsahujícími CDV, CAV, CPV a/nebo CPiV.</w:t>
      </w:r>
    </w:p>
    <w:p w14:paraId="39E54CDB" w14:textId="77777777" w:rsidR="00D45423" w:rsidRPr="00DA7F9E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14:paraId="2CC24A65" w14:textId="2D41C86C" w:rsidR="00775CC0" w:rsidRPr="00DA7F9E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Národní legislativa na kontrolu vztekliny může vyžadovat odlišný vakcinační program</w:t>
      </w:r>
      <w:r w:rsidR="00F312DE" w:rsidRPr="00DA7F9E">
        <w:rPr>
          <w:rFonts w:ascii="Times New Roman" w:eastAsia="Times New Roman" w:hAnsi="Times New Roman" w:cs="Times New Roman"/>
          <w:szCs w:val="20"/>
        </w:rPr>
        <w:t>,</w:t>
      </w:r>
      <w:r w:rsidRPr="00DA7F9E">
        <w:rPr>
          <w:rFonts w:ascii="Times New Roman" w:eastAsia="Times New Roman" w:hAnsi="Times New Roman" w:cs="Times New Roman"/>
          <w:szCs w:val="20"/>
        </w:rPr>
        <w:t xml:space="preserve"> než je </w:t>
      </w:r>
      <w:r w:rsidR="00DA7F9E" w:rsidRPr="00DA7F9E">
        <w:rPr>
          <w:rFonts w:ascii="Times New Roman" w:eastAsia="Times New Roman" w:hAnsi="Times New Roman" w:cs="Times New Roman"/>
          <w:szCs w:val="20"/>
        </w:rPr>
        <w:t>doporučen (tj.</w:t>
      </w:r>
      <w:r w:rsidRPr="00DA7F9E">
        <w:rPr>
          <w:rFonts w:ascii="Times New Roman" w:eastAsia="Times New Roman" w:hAnsi="Times New Roman" w:cs="Times New Roman"/>
          <w:szCs w:val="20"/>
        </w:rPr>
        <w:t xml:space="preserve"> častější vakcinace) nebo může omezovat vakcinaci proti vzteklině pro určité cílové druhy.</w:t>
      </w:r>
    </w:p>
    <w:p w14:paraId="34ACE08E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672F7596" w14:textId="13B3496D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13.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14:paraId="22BED8B5" w14:textId="77777777" w:rsidR="00775CC0" w:rsidRPr="00DA7F9E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0E8C49BC" w14:textId="51DC0D2C" w:rsidR="0060022E" w:rsidRPr="00DA7F9E" w:rsidRDefault="0060022E" w:rsidP="00DA7F9E">
      <w:pPr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Léčivé přípravky se nesmí likvidovat prostřednictvím odpadní vody či domovního odpadu. O</w:t>
      </w:r>
      <w:r w:rsidR="00DA7F9E">
        <w:rPr>
          <w:rFonts w:ascii="Times New Roman" w:eastAsia="Times New Roman" w:hAnsi="Times New Roman" w:cs="Times New Roman"/>
          <w:szCs w:val="20"/>
        </w:rPr>
        <w:t> </w:t>
      </w:r>
      <w:bookmarkStart w:id="1" w:name="_GoBack"/>
      <w:bookmarkEnd w:id="1"/>
      <w:r w:rsidRPr="00DA7F9E">
        <w:rPr>
          <w:rFonts w:ascii="Times New Roman" w:eastAsia="Times New Roman" w:hAnsi="Times New Roman" w:cs="Times New Roman"/>
          <w:szCs w:val="20"/>
        </w:rPr>
        <w:t>možnostech likvidace nepotřebných léčivých přípravků se poraďte s vaším veterinárním lékařem. Tato opatření napomáhají chránit životní prostředí.</w:t>
      </w:r>
    </w:p>
    <w:p w14:paraId="36F56AB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000AE764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14.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14:paraId="5F2F36FA" w14:textId="77777777" w:rsidR="00EF3BEF" w:rsidRPr="00DA7F9E" w:rsidRDefault="00EF3BEF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5199C222" w14:textId="0AFA3707" w:rsidR="00775CC0" w:rsidRPr="00DA7F9E" w:rsidRDefault="00F312DE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Březen 2021</w:t>
      </w:r>
    </w:p>
    <w:p w14:paraId="1F140C79" w14:textId="77777777" w:rsidR="00EF3BEF" w:rsidRPr="00DA7F9E" w:rsidRDefault="00EF3BEF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14:paraId="12B9766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b/>
          <w:szCs w:val="20"/>
        </w:rPr>
        <w:t>15.</w:t>
      </w:r>
      <w:r w:rsidRPr="00DA7F9E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14:paraId="6FFF53E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3141ED7A" w14:textId="3C1DB77F" w:rsidR="0036754C" w:rsidRPr="00DA7F9E" w:rsidRDefault="0036754C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7F9E">
        <w:rPr>
          <w:rFonts w:ascii="Times New Roman" w:hAnsi="Times New Roman" w:cs="Times New Roman"/>
        </w:rPr>
        <w:t xml:space="preserve">Vakcína je dodávaná ve skleněných </w:t>
      </w:r>
      <w:r w:rsidR="00F312DE" w:rsidRPr="00DA7F9E">
        <w:rPr>
          <w:rFonts w:ascii="Times New Roman" w:hAnsi="Times New Roman" w:cs="Times New Roman"/>
        </w:rPr>
        <w:t xml:space="preserve">injekčních lahvičkách </w:t>
      </w:r>
      <w:r w:rsidRPr="00DA7F9E">
        <w:rPr>
          <w:rFonts w:ascii="Times New Roman" w:hAnsi="Times New Roman" w:cs="Times New Roman"/>
        </w:rPr>
        <w:t xml:space="preserve">typu I </w:t>
      </w:r>
      <w:r w:rsidR="00DE1E32" w:rsidRPr="00DA7F9E">
        <w:rPr>
          <w:rFonts w:ascii="Times New Roman" w:hAnsi="Times New Roman" w:cs="Times New Roman"/>
        </w:rPr>
        <w:t xml:space="preserve">(1 ml, 10 ml) </w:t>
      </w:r>
      <w:r w:rsidRPr="00DA7F9E">
        <w:rPr>
          <w:rFonts w:ascii="Times New Roman" w:hAnsi="Times New Roman" w:cs="Times New Roman"/>
        </w:rPr>
        <w:t>vyhovujících Ph.Eur., uzavřených bromobutylovou gumovou zátkou a hliníkovým uzávěrem.</w:t>
      </w:r>
    </w:p>
    <w:p w14:paraId="49403C35" w14:textId="77777777" w:rsidR="0036754C" w:rsidRPr="00DA7F9E" w:rsidRDefault="0036754C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6A3355" w14:textId="5B156691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Kartonová krabice s 1 </w:t>
      </w:r>
      <w:r w:rsidR="00F312DE" w:rsidRPr="00DA7F9E">
        <w:rPr>
          <w:rFonts w:ascii="Times New Roman" w:eastAsia="Times New Roman" w:hAnsi="Times New Roman" w:cs="Times New Roman"/>
          <w:szCs w:val="20"/>
        </w:rPr>
        <w:t>lahvičkou</w:t>
      </w:r>
      <w:r w:rsidRPr="00DA7F9E">
        <w:rPr>
          <w:rFonts w:ascii="Times New Roman" w:eastAsia="Times New Roman" w:hAnsi="Times New Roman" w:cs="Times New Roman"/>
          <w:szCs w:val="20"/>
        </w:rPr>
        <w:t xml:space="preserve"> obsahující 1 ml.</w:t>
      </w:r>
    </w:p>
    <w:p w14:paraId="333FF914" w14:textId="02FA112C" w:rsidR="00E77FC4" w:rsidRPr="00DA7F9E" w:rsidRDefault="00E77FC4" w:rsidP="00E77FC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Plastová krabice s 10 </w:t>
      </w:r>
      <w:r w:rsidR="00F312DE" w:rsidRPr="00DA7F9E">
        <w:rPr>
          <w:rFonts w:ascii="Times New Roman" w:eastAsia="Times New Roman" w:hAnsi="Times New Roman" w:cs="Times New Roman"/>
          <w:szCs w:val="20"/>
        </w:rPr>
        <w:t>lahvičkami</w:t>
      </w:r>
      <w:r w:rsidRPr="00DA7F9E">
        <w:rPr>
          <w:rFonts w:ascii="Times New Roman" w:eastAsia="Times New Roman" w:hAnsi="Times New Roman" w:cs="Times New Roman"/>
          <w:szCs w:val="20"/>
        </w:rPr>
        <w:t xml:space="preserve"> obsahujícími 1 ml nebo 10 ml.</w:t>
      </w:r>
    </w:p>
    <w:p w14:paraId="6D66367A" w14:textId="77777777" w:rsidR="00E77FC4" w:rsidRPr="00DA7F9E" w:rsidRDefault="00E77FC4" w:rsidP="0072444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</w:p>
    <w:p w14:paraId="3D610F89" w14:textId="3F885D0B" w:rsidR="00775CC0" w:rsidRPr="00DA7F9E" w:rsidRDefault="0036754C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hAnsi="Times New Roman" w:cs="Times New Roman"/>
        </w:rPr>
        <w:t>Na trhu nemusí být všechny velikosti balení.</w:t>
      </w:r>
    </w:p>
    <w:p w14:paraId="4F9DCE3D" w14:textId="77777777" w:rsidR="00775CC0" w:rsidRPr="00DA7F9E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73FDE155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Pouze pro zvířata.</w:t>
      </w:r>
    </w:p>
    <w:p w14:paraId="6DBA7EA6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14:paraId="2699A16A" w14:textId="77777777" w:rsidR="00775CC0" w:rsidRPr="00DA7F9E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6ED223C4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</w:t>
      </w:r>
    </w:p>
    <w:p w14:paraId="0EB3024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lastRenderedPageBreak/>
        <w:t>příslušného místního zástupce držitele rozhodnutí o registraci:</w:t>
      </w:r>
    </w:p>
    <w:p w14:paraId="046A2865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779C67AE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Zoetis Česká republika, s.r.o.</w:t>
      </w:r>
    </w:p>
    <w:p w14:paraId="464278DE" w14:textId="77777777" w:rsidR="00775CC0" w:rsidRPr="00DA7F9E" w:rsidRDefault="009446D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Náměstí 14. října 642/17</w:t>
      </w:r>
      <w:r w:rsidR="00775CC0" w:rsidRPr="00DA7F9E">
        <w:rPr>
          <w:rFonts w:ascii="Times New Roman" w:eastAsia="Times New Roman" w:hAnsi="Times New Roman" w:cs="Times New Roman"/>
          <w:szCs w:val="20"/>
        </w:rPr>
        <w:t>, 150 00 Praha 5</w:t>
      </w:r>
    </w:p>
    <w:p w14:paraId="7F23C3D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 xml:space="preserve">Česká republika </w:t>
      </w:r>
    </w:p>
    <w:p w14:paraId="1A1C5411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14:paraId="4BD1BE8E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Tel:        +420 257 101 111</w:t>
      </w:r>
    </w:p>
    <w:p w14:paraId="48883822" w14:textId="77777777" w:rsidR="00775CC0" w:rsidRPr="00DA7F9E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DA7F9E">
        <w:rPr>
          <w:rFonts w:ascii="Times New Roman" w:eastAsia="Times New Roman" w:hAnsi="Times New Roman" w:cs="Times New Roman"/>
          <w:szCs w:val="20"/>
        </w:rPr>
        <w:t>E-mail:   </w:t>
      </w:r>
      <w:hyperlink r:id="rId6" w:tooltip="blocked::mailto:infovet.cz@zoetis.com" w:history="1">
        <w:r w:rsidRPr="00DA7F9E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infovet.cz@zoetis.com</w:t>
        </w:r>
      </w:hyperlink>
    </w:p>
    <w:p w14:paraId="2CDE556E" w14:textId="77777777" w:rsidR="000D2344" w:rsidRPr="00DA7F9E" w:rsidRDefault="000D2344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D2344" w:rsidRPr="00DA7F9E" w:rsidSect="00DA7F9E">
      <w:footerReference w:type="default" r:id="rId7"/>
      <w:footerReference w:type="first" r:id="rId8"/>
      <w:endnotePr>
        <w:numFmt w:val="decimal"/>
      </w:endnotePr>
      <w:pgSz w:w="11918" w:h="16840" w:code="9"/>
      <w:pgMar w:top="1417" w:right="1417" w:bottom="1417" w:left="1417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FBB1" w14:textId="77777777" w:rsidR="000D5FA4" w:rsidRDefault="000D5FA4">
      <w:pPr>
        <w:spacing w:after="0" w:line="240" w:lineRule="auto"/>
      </w:pPr>
      <w:r>
        <w:separator/>
      </w:r>
    </w:p>
  </w:endnote>
  <w:endnote w:type="continuationSeparator" w:id="0">
    <w:p w14:paraId="61D0F7EB" w14:textId="77777777" w:rsidR="000D5FA4" w:rsidRDefault="000D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DFCE" w14:textId="77777777" w:rsidR="00921C8C" w:rsidRDefault="000D5FA4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14:paraId="53B6B30F" w14:textId="77777777" w:rsidR="00921C8C" w:rsidRDefault="00775CC0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A7F9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0F47" w14:textId="77777777" w:rsidR="00921C8C" w:rsidRDefault="000D5FA4">
    <w:pPr>
      <w:pStyle w:val="Zpat"/>
      <w:tabs>
        <w:tab w:val="right" w:pos="8931"/>
      </w:tabs>
    </w:pPr>
  </w:p>
  <w:p w14:paraId="0BAD06AA" w14:textId="77777777" w:rsidR="00921C8C" w:rsidRDefault="00775CC0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A7F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6C68" w14:textId="77777777" w:rsidR="000D5FA4" w:rsidRDefault="000D5FA4">
      <w:pPr>
        <w:spacing w:after="0" w:line="240" w:lineRule="auto"/>
      </w:pPr>
      <w:r>
        <w:separator/>
      </w:r>
    </w:p>
  </w:footnote>
  <w:footnote w:type="continuationSeparator" w:id="0">
    <w:p w14:paraId="69C46D7C" w14:textId="77777777" w:rsidR="000D5FA4" w:rsidRDefault="000D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D"/>
    <w:rsid w:val="000733C1"/>
    <w:rsid w:val="000D2344"/>
    <w:rsid w:val="000D5FA4"/>
    <w:rsid w:val="00160DCA"/>
    <w:rsid w:val="00171BB5"/>
    <w:rsid w:val="00197EB6"/>
    <w:rsid w:val="00292049"/>
    <w:rsid w:val="002E324E"/>
    <w:rsid w:val="002E3D53"/>
    <w:rsid w:val="00361771"/>
    <w:rsid w:val="0036754C"/>
    <w:rsid w:val="003740E0"/>
    <w:rsid w:val="003841A0"/>
    <w:rsid w:val="00393848"/>
    <w:rsid w:val="00465B87"/>
    <w:rsid w:val="00492DCF"/>
    <w:rsid w:val="00503335"/>
    <w:rsid w:val="005A0646"/>
    <w:rsid w:val="0060022E"/>
    <w:rsid w:val="006A1BC6"/>
    <w:rsid w:val="006B2323"/>
    <w:rsid w:val="006D6759"/>
    <w:rsid w:val="007116A6"/>
    <w:rsid w:val="00724441"/>
    <w:rsid w:val="00775CC0"/>
    <w:rsid w:val="00783FE2"/>
    <w:rsid w:val="007B3DED"/>
    <w:rsid w:val="007D7D68"/>
    <w:rsid w:val="008065DA"/>
    <w:rsid w:val="0087147A"/>
    <w:rsid w:val="008E0753"/>
    <w:rsid w:val="009446D3"/>
    <w:rsid w:val="009471A9"/>
    <w:rsid w:val="00A4058A"/>
    <w:rsid w:val="00BA4347"/>
    <w:rsid w:val="00BC27A5"/>
    <w:rsid w:val="00BE0C30"/>
    <w:rsid w:val="00C053D6"/>
    <w:rsid w:val="00C46A8F"/>
    <w:rsid w:val="00C46E41"/>
    <w:rsid w:val="00D05AFC"/>
    <w:rsid w:val="00D45423"/>
    <w:rsid w:val="00D76E15"/>
    <w:rsid w:val="00DA7F9E"/>
    <w:rsid w:val="00DE1E32"/>
    <w:rsid w:val="00E31CE0"/>
    <w:rsid w:val="00E77FC4"/>
    <w:rsid w:val="00EA12FC"/>
    <w:rsid w:val="00EF3BEF"/>
    <w:rsid w:val="00F312D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D4770"/>
  <w15:docId w15:val="{AE1C1186-126F-41F8-906B-E190F32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7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5CC0"/>
  </w:style>
  <w:style w:type="paragraph" w:styleId="Textbubliny">
    <w:name w:val="Balloon Text"/>
    <w:basedOn w:val="Normln"/>
    <w:link w:val="TextbublinyChar"/>
    <w:uiPriority w:val="99"/>
    <w:semiHidden/>
    <w:unhideWhenUsed/>
    <w:rsid w:val="007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vet.cz@zoeti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Nepejchalová Leona</cp:lastModifiedBy>
  <cp:revision>4</cp:revision>
  <dcterms:created xsi:type="dcterms:W3CDTF">2021-03-30T09:42:00Z</dcterms:created>
  <dcterms:modified xsi:type="dcterms:W3CDTF">2021-04-01T16:37:00Z</dcterms:modified>
</cp:coreProperties>
</file>