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2806" w14:textId="77777777" w:rsidR="00F93A07" w:rsidRDefault="00F93A07" w:rsidP="00F93A07">
      <w:pPr>
        <w:tabs>
          <w:tab w:val="left" w:pos="1134"/>
        </w:tabs>
        <w:rPr>
          <w:bCs/>
          <w:sz w:val="24"/>
          <w:szCs w:val="24"/>
        </w:rPr>
      </w:pPr>
      <w:r>
        <w:rPr>
          <w:sz w:val="24"/>
          <w:szCs w:val="24"/>
        </w:rPr>
        <w:t>SOUHRN ÚDAJŮ O PŘÍPRAVKU</w:t>
      </w:r>
    </w:p>
    <w:p w14:paraId="1CF37846" w14:textId="77777777" w:rsidR="00F93A07" w:rsidRDefault="00F93A07" w:rsidP="00F93A07">
      <w:pPr>
        <w:rPr>
          <w:sz w:val="22"/>
        </w:rPr>
      </w:pPr>
    </w:p>
    <w:p w14:paraId="4359E647" w14:textId="77777777" w:rsidR="00F93A07" w:rsidRDefault="00F93A07" w:rsidP="00F93A07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</w:rPr>
      </w:pPr>
      <w:r>
        <w:rPr>
          <w:b/>
          <w:sz w:val="22"/>
        </w:rPr>
        <w:t>NÁZEV VETERINÁRNÍHO LÉČIVÉHO PŘÍPRAVKU</w:t>
      </w:r>
    </w:p>
    <w:p w14:paraId="6AE40B41" w14:textId="77777777" w:rsidR="00F93A07" w:rsidRDefault="00F93A07" w:rsidP="00F93A07">
      <w:pPr>
        <w:ind w:firstLine="567"/>
        <w:rPr>
          <w:b/>
          <w:snapToGrid w:val="0"/>
          <w:sz w:val="22"/>
          <w:szCs w:val="22"/>
          <w:lang w:eastAsia="en-US"/>
        </w:rPr>
      </w:pPr>
    </w:p>
    <w:p w14:paraId="4990B82B" w14:textId="24E0252A" w:rsidR="00F93A07" w:rsidRPr="00C20DFD" w:rsidRDefault="00F93A07" w:rsidP="00F93A07">
      <w:pPr>
        <w:ind w:left="567"/>
        <w:rPr>
          <w:snapToGrid w:val="0"/>
          <w:sz w:val="22"/>
          <w:szCs w:val="22"/>
          <w:lang w:eastAsia="en-US"/>
        </w:rPr>
      </w:pPr>
      <w:proofErr w:type="spellStart"/>
      <w:r w:rsidRPr="00920B3E">
        <w:rPr>
          <w:snapToGrid w:val="0"/>
          <w:sz w:val="22"/>
          <w:szCs w:val="22"/>
          <w:lang w:eastAsia="en-US"/>
        </w:rPr>
        <w:t>Porcilis</w:t>
      </w:r>
      <w:proofErr w:type="spellEnd"/>
      <w:r w:rsidRPr="00920B3E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920B3E">
        <w:rPr>
          <w:snapToGrid w:val="0"/>
          <w:sz w:val="22"/>
          <w:szCs w:val="22"/>
          <w:lang w:eastAsia="en-US"/>
        </w:rPr>
        <w:t>Ery+Parvo</w:t>
      </w:r>
      <w:proofErr w:type="spellEnd"/>
      <w:r w:rsidRPr="00920B3E">
        <w:rPr>
          <w:snapToGrid w:val="0"/>
          <w:sz w:val="22"/>
          <w:szCs w:val="22"/>
          <w:lang w:eastAsia="en-US"/>
        </w:rPr>
        <w:t xml:space="preserve"> </w:t>
      </w:r>
      <w:r w:rsidRPr="00C20DFD">
        <w:rPr>
          <w:snapToGrid w:val="0"/>
          <w:sz w:val="22"/>
          <w:szCs w:val="22"/>
          <w:lang w:eastAsia="en-US"/>
        </w:rPr>
        <w:t>injekční suspenze pro prasata</w:t>
      </w:r>
    </w:p>
    <w:p w14:paraId="390F2371" w14:textId="77777777" w:rsidR="003E40D4" w:rsidRDefault="003E40D4" w:rsidP="00F93A07">
      <w:pPr>
        <w:ind w:firstLine="567"/>
        <w:rPr>
          <w:sz w:val="22"/>
        </w:rPr>
      </w:pPr>
    </w:p>
    <w:p w14:paraId="4FF637B1" w14:textId="4D47081D" w:rsidR="00F93A07" w:rsidRDefault="00F93A07" w:rsidP="00F93A07">
      <w:pPr>
        <w:ind w:firstLine="567"/>
        <w:rPr>
          <w:sz w:val="22"/>
        </w:rPr>
      </w:pPr>
      <w:r>
        <w:rPr>
          <w:sz w:val="22"/>
        </w:rPr>
        <w:t xml:space="preserve"> </w:t>
      </w:r>
    </w:p>
    <w:p w14:paraId="33C3549F" w14:textId="77777777" w:rsidR="00F93A07" w:rsidRDefault="00F93A07" w:rsidP="00F93A07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</w:rPr>
      </w:pPr>
      <w:r>
        <w:rPr>
          <w:b/>
          <w:sz w:val="22"/>
        </w:rPr>
        <w:t>KVALITATIVNÍ A KVANTITATIVNÍ SLOŽENÍ</w:t>
      </w:r>
    </w:p>
    <w:p w14:paraId="67923100" w14:textId="77777777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iCs/>
          <w:sz w:val="22"/>
          <w:szCs w:val="22"/>
        </w:rPr>
      </w:pPr>
    </w:p>
    <w:p w14:paraId="6E6EB3A6" w14:textId="6624D18B" w:rsidR="00F93A07" w:rsidRDefault="00C20DFD" w:rsidP="00F93A07">
      <w:pPr>
        <w:tabs>
          <w:tab w:val="left" w:leader="dot" w:pos="6804"/>
          <w:tab w:val="left" w:pos="7938"/>
        </w:tabs>
        <w:ind w:firstLine="567"/>
        <w:rPr>
          <w:iCs/>
          <w:sz w:val="22"/>
          <w:szCs w:val="22"/>
        </w:rPr>
      </w:pPr>
      <w:r>
        <w:rPr>
          <w:iCs/>
          <w:sz w:val="22"/>
          <w:szCs w:val="22"/>
        </w:rPr>
        <w:t>Každá d</w:t>
      </w:r>
      <w:r w:rsidR="00F93A07">
        <w:rPr>
          <w:iCs/>
          <w:sz w:val="22"/>
          <w:szCs w:val="22"/>
        </w:rPr>
        <w:t>ávka (2 ml) obsahuje:</w:t>
      </w:r>
    </w:p>
    <w:p w14:paraId="27EEE1AA" w14:textId="77777777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iCs/>
          <w:sz w:val="22"/>
          <w:szCs w:val="22"/>
        </w:rPr>
      </w:pPr>
    </w:p>
    <w:p w14:paraId="12540210" w14:textId="44299E05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Léčivé látky</w:t>
      </w:r>
      <w:r w:rsidR="00C20DFD">
        <w:rPr>
          <w:b/>
          <w:iCs/>
          <w:sz w:val="22"/>
          <w:szCs w:val="22"/>
        </w:rPr>
        <w:t>:</w:t>
      </w:r>
    </w:p>
    <w:p w14:paraId="3BDFE858" w14:textId="14C70733" w:rsidR="00F93A07" w:rsidRDefault="00F93A07" w:rsidP="00F93A07">
      <w:pPr>
        <w:tabs>
          <w:tab w:val="left" w:leader="dot" w:pos="6804"/>
          <w:tab w:val="left" w:pos="7938"/>
        </w:tabs>
        <w:ind w:left="567"/>
        <w:rPr>
          <w:iCs/>
          <w:sz w:val="22"/>
          <w:szCs w:val="22"/>
        </w:rPr>
      </w:pPr>
      <w:proofErr w:type="spellStart"/>
      <w:r w:rsidRPr="00920B3E">
        <w:rPr>
          <w:i/>
          <w:iCs/>
          <w:sz w:val="22"/>
          <w:szCs w:val="22"/>
        </w:rPr>
        <w:t>Erysipelothrix</w:t>
      </w:r>
      <w:proofErr w:type="spellEnd"/>
      <w:r w:rsidRPr="00920B3E">
        <w:rPr>
          <w:i/>
          <w:iCs/>
          <w:sz w:val="22"/>
          <w:szCs w:val="22"/>
        </w:rPr>
        <w:t xml:space="preserve"> </w:t>
      </w:r>
      <w:proofErr w:type="spellStart"/>
      <w:r w:rsidRPr="00920B3E">
        <w:rPr>
          <w:i/>
          <w:iCs/>
          <w:sz w:val="22"/>
          <w:szCs w:val="22"/>
        </w:rPr>
        <w:t>rhusiopathiae</w:t>
      </w:r>
      <w:proofErr w:type="spellEnd"/>
      <w:r w:rsidR="003F50C9">
        <w:rPr>
          <w:i/>
          <w:iCs/>
          <w:sz w:val="22"/>
          <w:szCs w:val="22"/>
        </w:rPr>
        <w:t>,</w:t>
      </w:r>
      <w:r w:rsidR="003F50C9">
        <w:rPr>
          <w:iCs/>
          <w:sz w:val="22"/>
          <w:szCs w:val="22"/>
        </w:rPr>
        <w:t xml:space="preserve"> inaktivovaná,</w:t>
      </w:r>
      <w:r w:rsidR="003F50C9" w:rsidRPr="003F50C9">
        <w:t xml:space="preserve"> </w:t>
      </w:r>
      <w:r w:rsidR="008C1C27">
        <w:rPr>
          <w:iCs/>
          <w:sz w:val="22"/>
          <w:szCs w:val="22"/>
        </w:rPr>
        <w:t xml:space="preserve">sérotyp 2 </w:t>
      </w:r>
      <w:r>
        <w:rPr>
          <w:iCs/>
          <w:sz w:val="22"/>
          <w:szCs w:val="22"/>
        </w:rPr>
        <w:t>(</w:t>
      </w:r>
      <w:r w:rsidR="003F50C9" w:rsidRPr="003F50C9">
        <w:rPr>
          <w:iCs/>
          <w:sz w:val="22"/>
          <w:szCs w:val="22"/>
        </w:rPr>
        <w:t>kmen</w:t>
      </w:r>
      <w:r>
        <w:rPr>
          <w:iCs/>
          <w:sz w:val="22"/>
          <w:szCs w:val="22"/>
        </w:rPr>
        <w:t xml:space="preserve"> M2) </w:t>
      </w:r>
      <w:r>
        <w:rPr>
          <w:iCs/>
          <w:sz w:val="22"/>
          <w:szCs w:val="22"/>
        </w:rPr>
        <w:tab/>
        <w:t>min. 50 IU</w:t>
      </w:r>
      <w:r>
        <w:rPr>
          <w:iCs/>
          <w:sz w:val="22"/>
          <w:szCs w:val="22"/>
          <w:vertAlign w:val="superscript"/>
        </w:rPr>
        <w:t>*</w:t>
      </w:r>
    </w:p>
    <w:p w14:paraId="17E14B38" w14:textId="3A63859B" w:rsidR="00F93A07" w:rsidRDefault="00F93A07" w:rsidP="00F93A07">
      <w:pPr>
        <w:tabs>
          <w:tab w:val="left" w:leader="dot" w:pos="6804"/>
          <w:tab w:val="left" w:pos="7938"/>
        </w:tabs>
        <w:ind w:left="567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Parvovirus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suis</w:t>
      </w:r>
      <w:proofErr w:type="spellEnd"/>
      <w:r w:rsidR="004826F4">
        <w:rPr>
          <w:iCs/>
          <w:sz w:val="22"/>
          <w:szCs w:val="22"/>
        </w:rPr>
        <w:t xml:space="preserve">, </w:t>
      </w:r>
      <w:proofErr w:type="spellStart"/>
      <w:r w:rsidR="004826F4" w:rsidRPr="004826F4">
        <w:rPr>
          <w:iCs/>
          <w:sz w:val="22"/>
          <w:szCs w:val="22"/>
        </w:rPr>
        <w:t>inactivatum</w:t>
      </w:r>
      <w:proofErr w:type="spellEnd"/>
      <w:r>
        <w:rPr>
          <w:iCs/>
          <w:sz w:val="22"/>
          <w:szCs w:val="22"/>
        </w:rPr>
        <w:t xml:space="preserve"> (</w:t>
      </w:r>
      <w:r w:rsidR="004826F4">
        <w:rPr>
          <w:iCs/>
          <w:sz w:val="22"/>
          <w:szCs w:val="22"/>
        </w:rPr>
        <w:t>kmen</w:t>
      </w:r>
      <w:r>
        <w:rPr>
          <w:iCs/>
          <w:sz w:val="22"/>
          <w:szCs w:val="22"/>
        </w:rPr>
        <w:t xml:space="preserve"> 014) </w:t>
      </w:r>
      <w:r>
        <w:rPr>
          <w:iCs/>
          <w:sz w:val="22"/>
          <w:szCs w:val="22"/>
        </w:rPr>
        <w:tab/>
      </w:r>
      <w:r>
        <w:rPr>
          <w:sz w:val="22"/>
          <w:szCs w:val="22"/>
        </w:rPr>
        <w:t>≥ 552 EU</w:t>
      </w:r>
      <w:r>
        <w:rPr>
          <w:sz w:val="22"/>
          <w:szCs w:val="22"/>
          <w:vertAlign w:val="superscript"/>
        </w:rPr>
        <w:t>**</w:t>
      </w:r>
    </w:p>
    <w:p w14:paraId="390F4F41" w14:textId="77777777" w:rsidR="00F93A07" w:rsidRDefault="00F93A07" w:rsidP="00F93A07">
      <w:pPr>
        <w:tabs>
          <w:tab w:val="left" w:leader="dot" w:pos="6804"/>
          <w:tab w:val="left" w:pos="7938"/>
        </w:tabs>
        <w:ind w:left="600"/>
        <w:rPr>
          <w:sz w:val="22"/>
          <w:szCs w:val="22"/>
        </w:rPr>
      </w:pPr>
    </w:p>
    <w:p w14:paraId="1B603506" w14:textId="3A631B97" w:rsidR="00F93A07" w:rsidRDefault="00F93A07" w:rsidP="00F93A07">
      <w:pPr>
        <w:tabs>
          <w:tab w:val="left" w:leader="dot" w:pos="6804"/>
          <w:tab w:val="left" w:pos="7938"/>
        </w:tabs>
        <w:ind w:left="600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dle testu účinnosti </w:t>
      </w:r>
    </w:p>
    <w:p w14:paraId="54DEFACC" w14:textId="77777777" w:rsidR="00F93A07" w:rsidRDefault="00F93A07" w:rsidP="00F93A07">
      <w:pPr>
        <w:tabs>
          <w:tab w:val="left" w:pos="567"/>
          <w:tab w:val="left" w:pos="851"/>
          <w:tab w:val="left" w:pos="4253"/>
          <w:tab w:val="decimal" w:pos="5670"/>
          <w:tab w:val="left" w:pos="6096"/>
        </w:tabs>
        <w:rPr>
          <w:sz w:val="22"/>
          <w:szCs w:val="22"/>
        </w:rPr>
      </w:pPr>
      <w:r>
        <w:rPr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** </w:t>
      </w:r>
      <w:r>
        <w:rPr>
          <w:sz w:val="22"/>
          <w:szCs w:val="22"/>
        </w:rPr>
        <w:t xml:space="preserve">stanoveno v konečném přípravku ELISA testem detekujícím množství antigenu </w:t>
      </w:r>
    </w:p>
    <w:p w14:paraId="0948593A" w14:textId="77777777" w:rsidR="00F93A07" w:rsidRDefault="00F93A07" w:rsidP="00F93A07">
      <w:pPr>
        <w:tabs>
          <w:tab w:val="left" w:leader="dot" w:pos="6804"/>
          <w:tab w:val="left" w:pos="7938"/>
        </w:tabs>
        <w:rPr>
          <w:sz w:val="22"/>
          <w:szCs w:val="22"/>
        </w:rPr>
      </w:pPr>
    </w:p>
    <w:p w14:paraId="3793B5E0" w14:textId="77777777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Adjuvans:</w:t>
      </w:r>
    </w:p>
    <w:p w14:paraId="38B527DE" w14:textId="5D99FE90" w:rsidR="00F93A07" w:rsidRDefault="00F93A07" w:rsidP="00F93A07">
      <w:pPr>
        <w:ind w:firstLine="567"/>
        <w:rPr>
          <w:spacing w:val="-2"/>
          <w:sz w:val="22"/>
        </w:rPr>
      </w:pPr>
      <w:r>
        <w:rPr>
          <w:spacing w:val="-2"/>
          <w:sz w:val="22"/>
        </w:rPr>
        <w:t>dl-</w:t>
      </w:r>
      <w:r>
        <w:rPr>
          <w:spacing w:val="-2"/>
          <w:sz w:val="22"/>
          <w:lang w:val="en-US"/>
        </w:rPr>
        <w:sym w:font="Symbol" w:char="F061"/>
      </w:r>
      <w:r>
        <w:rPr>
          <w:spacing w:val="-2"/>
          <w:sz w:val="22"/>
        </w:rPr>
        <w:t>-tokoferol acetát</w:t>
      </w:r>
      <w:r w:rsidR="004826F4">
        <w:rPr>
          <w:spacing w:val="-2"/>
          <w:sz w:val="22"/>
        </w:rPr>
        <w:tab/>
      </w:r>
      <w:r w:rsidR="004826F4">
        <w:rPr>
          <w:spacing w:val="-2"/>
          <w:sz w:val="22"/>
        </w:rPr>
        <w:tab/>
      </w:r>
      <w:r w:rsidR="004826F4">
        <w:rPr>
          <w:spacing w:val="-2"/>
          <w:sz w:val="22"/>
        </w:rPr>
        <w:tab/>
      </w:r>
      <w:r w:rsidR="004826F4">
        <w:rPr>
          <w:spacing w:val="-2"/>
          <w:sz w:val="22"/>
        </w:rPr>
        <w:tab/>
      </w:r>
      <w:r w:rsidR="004826F4">
        <w:rPr>
          <w:spacing w:val="-2"/>
          <w:sz w:val="22"/>
        </w:rPr>
        <w:tab/>
      </w:r>
      <w:r w:rsidR="004826F4">
        <w:rPr>
          <w:spacing w:val="-2"/>
          <w:sz w:val="22"/>
        </w:rPr>
        <w:tab/>
        <w:t xml:space="preserve">      </w:t>
      </w:r>
      <w:r w:rsidR="004826F4" w:rsidRPr="004826F4">
        <w:rPr>
          <w:spacing w:val="-2"/>
          <w:sz w:val="22"/>
        </w:rPr>
        <w:t>150 mg</w:t>
      </w:r>
    </w:p>
    <w:p w14:paraId="18C75328" w14:textId="6E2F702A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b/>
          <w:sz w:val="22"/>
          <w:szCs w:val="22"/>
        </w:rPr>
      </w:pPr>
    </w:p>
    <w:p w14:paraId="2CEEF4B8" w14:textId="77C7C23C" w:rsidR="00503832" w:rsidRDefault="004826F4" w:rsidP="00F93A07">
      <w:pPr>
        <w:tabs>
          <w:tab w:val="left" w:leader="dot" w:pos="6804"/>
          <w:tab w:val="left" w:pos="7938"/>
        </w:tabs>
        <w:ind w:firstLine="567"/>
        <w:rPr>
          <w:b/>
          <w:sz w:val="22"/>
          <w:szCs w:val="22"/>
        </w:rPr>
      </w:pPr>
      <w:proofErr w:type="spellStart"/>
      <w:r w:rsidRPr="004826F4">
        <w:rPr>
          <w:b/>
          <w:sz w:val="22"/>
          <w:szCs w:val="22"/>
        </w:rPr>
        <w:t>Excipiens</w:t>
      </w:r>
      <w:proofErr w:type="spellEnd"/>
      <w:r>
        <w:rPr>
          <w:b/>
          <w:sz w:val="22"/>
          <w:szCs w:val="22"/>
        </w:rPr>
        <w:t>:</w:t>
      </w:r>
    </w:p>
    <w:p w14:paraId="34CE36D8" w14:textId="77777777" w:rsidR="00503832" w:rsidRDefault="00503832" w:rsidP="00F93A07">
      <w:pPr>
        <w:tabs>
          <w:tab w:val="left" w:leader="dot" w:pos="6804"/>
          <w:tab w:val="left" w:pos="7938"/>
        </w:tabs>
        <w:ind w:firstLine="567"/>
        <w:rPr>
          <w:b/>
          <w:sz w:val="22"/>
          <w:szCs w:val="22"/>
        </w:rPr>
      </w:pPr>
    </w:p>
    <w:p w14:paraId="31CDE166" w14:textId="77777777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Úplný seznam pomocných látek viz bod 6.1.</w:t>
      </w:r>
    </w:p>
    <w:p w14:paraId="424CE4EA" w14:textId="14CF76E7" w:rsidR="00F93A07" w:rsidRDefault="00F93A07" w:rsidP="00F93A07">
      <w:pPr>
        <w:tabs>
          <w:tab w:val="left" w:leader="dot" w:pos="6804"/>
          <w:tab w:val="left" w:pos="7938"/>
        </w:tabs>
        <w:ind w:firstLine="567"/>
        <w:rPr>
          <w:sz w:val="22"/>
          <w:szCs w:val="22"/>
        </w:rPr>
      </w:pPr>
      <w:bookmarkStart w:id="0" w:name="_GoBack"/>
      <w:bookmarkEnd w:id="0"/>
    </w:p>
    <w:p w14:paraId="76112F04" w14:textId="77777777" w:rsidR="003E40D4" w:rsidRDefault="003E40D4" w:rsidP="00F93A07">
      <w:pPr>
        <w:tabs>
          <w:tab w:val="left" w:leader="dot" w:pos="6804"/>
          <w:tab w:val="left" w:pos="7938"/>
        </w:tabs>
        <w:ind w:firstLine="567"/>
        <w:rPr>
          <w:sz w:val="22"/>
          <w:szCs w:val="22"/>
        </w:rPr>
      </w:pPr>
    </w:p>
    <w:p w14:paraId="1AF6BD33" w14:textId="77777777" w:rsidR="00F93A07" w:rsidRDefault="00F93A07" w:rsidP="00F93A07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</w:rPr>
      </w:pPr>
      <w:r>
        <w:rPr>
          <w:b/>
          <w:sz w:val="22"/>
        </w:rPr>
        <w:t>LÉKOVÁ FORMA</w:t>
      </w:r>
    </w:p>
    <w:p w14:paraId="06C51F5A" w14:textId="17D174AF" w:rsidR="00F93A07" w:rsidRDefault="00F93A07" w:rsidP="00F93A07">
      <w:pPr>
        <w:pStyle w:val="Retrait1cm"/>
      </w:pPr>
      <w:r>
        <w:t>Injekční suspenze</w:t>
      </w:r>
      <w:r w:rsidR="00503832">
        <w:t>.</w:t>
      </w:r>
    </w:p>
    <w:p w14:paraId="017B93B9" w14:textId="3AE5AAAD" w:rsidR="00B33891" w:rsidRDefault="00503832" w:rsidP="00F93A07">
      <w:pPr>
        <w:pStyle w:val="Retrait1cm"/>
      </w:pPr>
      <w:r>
        <w:t>Vodnatá bílá nebo téměř bílá tekutina.</w:t>
      </w:r>
    </w:p>
    <w:p w14:paraId="535080A8" w14:textId="59761C23" w:rsidR="00F93A07" w:rsidRDefault="00F93A07" w:rsidP="00F93A07">
      <w:pPr>
        <w:rPr>
          <w:bCs/>
          <w:sz w:val="22"/>
        </w:rPr>
      </w:pPr>
    </w:p>
    <w:p w14:paraId="23225E42" w14:textId="77777777" w:rsidR="00503832" w:rsidRDefault="00503832" w:rsidP="00F93A07">
      <w:pPr>
        <w:rPr>
          <w:bCs/>
          <w:sz w:val="22"/>
        </w:rPr>
      </w:pPr>
    </w:p>
    <w:p w14:paraId="52649960" w14:textId="77777777" w:rsidR="00F93A07" w:rsidRDefault="00F93A07" w:rsidP="00F93A07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</w:rPr>
      </w:pPr>
      <w:r>
        <w:rPr>
          <w:b/>
          <w:sz w:val="22"/>
        </w:rPr>
        <w:t>KLINICKÉ ÚDAJE</w:t>
      </w:r>
    </w:p>
    <w:p w14:paraId="785CEABD" w14:textId="77777777" w:rsidR="00F93A07" w:rsidRDefault="00F93A07" w:rsidP="00F93A07">
      <w:pPr>
        <w:rPr>
          <w:sz w:val="22"/>
        </w:rPr>
      </w:pPr>
    </w:p>
    <w:p w14:paraId="1FA63FF6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>4.1</w:t>
      </w:r>
      <w:r>
        <w:rPr>
          <w:b/>
          <w:sz w:val="22"/>
        </w:rPr>
        <w:tab/>
        <w:t>Cílové druhy zvířat</w:t>
      </w:r>
    </w:p>
    <w:p w14:paraId="674B42CB" w14:textId="77777777" w:rsidR="003E40D4" w:rsidRDefault="003E40D4" w:rsidP="00F93A07">
      <w:pPr>
        <w:ind w:firstLine="567"/>
        <w:rPr>
          <w:sz w:val="22"/>
        </w:rPr>
      </w:pPr>
    </w:p>
    <w:p w14:paraId="47F0780A" w14:textId="0C45A803" w:rsidR="00F93A07" w:rsidRDefault="00F93A07" w:rsidP="00F93A07">
      <w:pPr>
        <w:ind w:firstLine="567"/>
        <w:rPr>
          <w:sz w:val="22"/>
        </w:rPr>
      </w:pPr>
      <w:r>
        <w:rPr>
          <w:sz w:val="22"/>
        </w:rPr>
        <w:t>Prasata (prasnice a prasničky)</w:t>
      </w:r>
    </w:p>
    <w:p w14:paraId="6F39EFE5" w14:textId="77777777" w:rsidR="00F93A07" w:rsidRDefault="00F93A07" w:rsidP="00F93A07">
      <w:pPr>
        <w:rPr>
          <w:sz w:val="22"/>
        </w:rPr>
      </w:pPr>
      <w:r>
        <w:rPr>
          <w:sz w:val="22"/>
        </w:rPr>
        <w:t xml:space="preserve"> </w:t>
      </w:r>
    </w:p>
    <w:p w14:paraId="1CB52359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4.2 </w:t>
      </w:r>
      <w:r>
        <w:rPr>
          <w:b/>
          <w:sz w:val="22"/>
        </w:rPr>
        <w:tab/>
        <w:t>Indikace s upřesněním pro cílový druh zvířat</w:t>
      </w:r>
    </w:p>
    <w:p w14:paraId="52AFD833" w14:textId="77777777" w:rsidR="003E40D4" w:rsidRDefault="003E40D4" w:rsidP="00F93A07">
      <w:pPr>
        <w:ind w:left="567"/>
        <w:rPr>
          <w:sz w:val="22"/>
          <w:szCs w:val="22"/>
        </w:rPr>
      </w:pPr>
    </w:p>
    <w:p w14:paraId="6C19CA3F" w14:textId="4D4E5F6E" w:rsidR="00F93A07" w:rsidRDefault="00F93A07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Aktivní imunizace prasnic a prasniček proti července a k ochraně embryí a fétů před úmrtím způsobeném infekcí </w:t>
      </w:r>
      <w:proofErr w:type="spellStart"/>
      <w:r>
        <w:rPr>
          <w:sz w:val="22"/>
          <w:szCs w:val="22"/>
        </w:rPr>
        <w:t>parvovirem</w:t>
      </w:r>
      <w:proofErr w:type="spellEnd"/>
      <w:r>
        <w:rPr>
          <w:sz w:val="22"/>
          <w:szCs w:val="22"/>
        </w:rPr>
        <w:t xml:space="preserve"> prasat.</w:t>
      </w:r>
    </w:p>
    <w:p w14:paraId="3470C694" w14:textId="45737587" w:rsidR="00F93A07" w:rsidRDefault="00F93A07" w:rsidP="00F93A07">
      <w:pPr>
        <w:ind w:left="567"/>
        <w:rPr>
          <w:sz w:val="22"/>
          <w:szCs w:val="22"/>
        </w:rPr>
      </w:pPr>
      <w:r w:rsidRPr="00920B3E">
        <w:rPr>
          <w:i/>
          <w:sz w:val="22"/>
          <w:szCs w:val="22"/>
        </w:rPr>
        <w:t xml:space="preserve">E. </w:t>
      </w:r>
      <w:proofErr w:type="spellStart"/>
      <w:r w:rsidRPr="00920B3E">
        <w:rPr>
          <w:i/>
          <w:sz w:val="22"/>
          <w:szCs w:val="22"/>
        </w:rPr>
        <w:t>rhusiopathiae</w:t>
      </w:r>
      <w:proofErr w:type="spellEnd"/>
      <w:r>
        <w:rPr>
          <w:sz w:val="22"/>
          <w:szCs w:val="22"/>
        </w:rPr>
        <w:t>: Nástup imunity: 3 týdny</w:t>
      </w:r>
    </w:p>
    <w:p w14:paraId="657EE09F" w14:textId="79708E16" w:rsidR="00F93A07" w:rsidRDefault="00F93A07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Trvání imunity: 6 měsíců</w:t>
      </w:r>
    </w:p>
    <w:p w14:paraId="4F7C3131" w14:textId="77777777" w:rsidR="00F93A07" w:rsidRDefault="00F93A07" w:rsidP="00F93A07">
      <w:pPr>
        <w:ind w:left="567"/>
        <w:rPr>
          <w:sz w:val="22"/>
          <w:szCs w:val="22"/>
        </w:rPr>
      </w:pPr>
    </w:p>
    <w:p w14:paraId="6A78012F" w14:textId="6E07DE39" w:rsidR="00F93A07" w:rsidRDefault="00B33891" w:rsidP="00F93A07">
      <w:pPr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Parvovirus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suis</w:t>
      </w:r>
      <w:proofErr w:type="spellEnd"/>
      <w:r w:rsidR="00F93A07">
        <w:rPr>
          <w:sz w:val="22"/>
          <w:szCs w:val="22"/>
        </w:rPr>
        <w:t xml:space="preserve">: Jedna dávka nejpozději 2 týdny před prvním připuštěním dostatečně chrání po následující dvě březosti před poškozením způsobeným </w:t>
      </w:r>
      <w:proofErr w:type="spellStart"/>
      <w:r w:rsidR="00F93A07">
        <w:rPr>
          <w:sz w:val="22"/>
          <w:szCs w:val="22"/>
        </w:rPr>
        <w:t>parvovirem</w:t>
      </w:r>
      <w:proofErr w:type="spellEnd"/>
      <w:r w:rsidR="00F93A07">
        <w:rPr>
          <w:sz w:val="22"/>
          <w:szCs w:val="22"/>
        </w:rPr>
        <w:t xml:space="preserve"> prasat.  </w:t>
      </w:r>
    </w:p>
    <w:p w14:paraId="18D266DB" w14:textId="77777777" w:rsidR="00F93A07" w:rsidRDefault="00F93A07" w:rsidP="00F93A07">
      <w:pPr>
        <w:ind w:left="567"/>
        <w:rPr>
          <w:sz w:val="22"/>
          <w:szCs w:val="22"/>
        </w:rPr>
      </w:pPr>
    </w:p>
    <w:p w14:paraId="5AC09FEC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4.3 </w:t>
      </w:r>
      <w:r>
        <w:rPr>
          <w:b/>
          <w:sz w:val="22"/>
        </w:rPr>
        <w:tab/>
        <w:t>Kontraindikace</w:t>
      </w:r>
    </w:p>
    <w:p w14:paraId="64B4CFB4" w14:textId="77777777" w:rsidR="003E40D4" w:rsidRDefault="003E40D4" w:rsidP="00F93A07">
      <w:pPr>
        <w:ind w:firstLine="567"/>
        <w:rPr>
          <w:sz w:val="22"/>
        </w:rPr>
      </w:pPr>
    </w:p>
    <w:p w14:paraId="2AC3FBB3" w14:textId="3F06032E" w:rsidR="00F93A07" w:rsidRDefault="00F93A07" w:rsidP="00F93A07">
      <w:pPr>
        <w:ind w:firstLine="567"/>
        <w:rPr>
          <w:sz w:val="22"/>
        </w:rPr>
      </w:pPr>
      <w:r>
        <w:rPr>
          <w:sz w:val="22"/>
        </w:rPr>
        <w:t>Nejsou.</w:t>
      </w:r>
    </w:p>
    <w:p w14:paraId="3B9BC923" w14:textId="77777777" w:rsidR="00F93A07" w:rsidRDefault="00F93A07" w:rsidP="00F93A07">
      <w:pPr>
        <w:rPr>
          <w:sz w:val="22"/>
        </w:rPr>
      </w:pPr>
    </w:p>
    <w:p w14:paraId="628005A6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lastRenderedPageBreak/>
        <w:t xml:space="preserve">4.4 </w:t>
      </w:r>
      <w:r>
        <w:rPr>
          <w:b/>
          <w:sz w:val="22"/>
        </w:rPr>
        <w:tab/>
        <w:t>Zvláštní upozornění pro každý cílový druh</w:t>
      </w:r>
    </w:p>
    <w:p w14:paraId="65380E1B" w14:textId="77777777" w:rsidR="003E40D4" w:rsidRDefault="003E40D4" w:rsidP="00F93A07">
      <w:pPr>
        <w:ind w:firstLine="567"/>
        <w:rPr>
          <w:spacing w:val="-3"/>
          <w:sz w:val="22"/>
          <w:lang w:eastAsia="en-US"/>
        </w:rPr>
      </w:pPr>
    </w:p>
    <w:p w14:paraId="4CC2FE33" w14:textId="3EE510D7" w:rsidR="004826F4" w:rsidRDefault="008C1C27" w:rsidP="00920B3E">
      <w:pPr>
        <w:tabs>
          <w:tab w:val="left" w:pos="567"/>
        </w:tabs>
        <w:rPr>
          <w:sz w:val="22"/>
        </w:rPr>
      </w:pPr>
      <w:r>
        <w:rPr>
          <w:spacing w:val="-3"/>
          <w:sz w:val="22"/>
          <w:lang w:eastAsia="en-US"/>
        </w:rPr>
        <w:tab/>
      </w:r>
      <w:r w:rsidR="00B33891">
        <w:rPr>
          <w:spacing w:val="-3"/>
          <w:sz w:val="22"/>
          <w:lang w:eastAsia="en-US"/>
        </w:rPr>
        <w:t>Vakcinovat pouze zdravá zvířata</w:t>
      </w:r>
      <w:r w:rsidR="00B33891" w:rsidDel="00B33891">
        <w:rPr>
          <w:sz w:val="22"/>
        </w:rPr>
        <w:t xml:space="preserve"> </w:t>
      </w:r>
    </w:p>
    <w:p w14:paraId="2B71A43F" w14:textId="77777777" w:rsidR="00F93A07" w:rsidRDefault="00F93A07" w:rsidP="00F93A07">
      <w:pPr>
        <w:rPr>
          <w:b/>
          <w:sz w:val="22"/>
        </w:rPr>
      </w:pPr>
    </w:p>
    <w:p w14:paraId="41B6CEB1" w14:textId="77777777" w:rsidR="00F93A07" w:rsidRDefault="00F93A07" w:rsidP="00F93A07">
      <w:pPr>
        <w:tabs>
          <w:tab w:val="left" w:pos="567"/>
          <w:tab w:val="left" w:pos="1056"/>
        </w:tabs>
        <w:suppressAutoHyphens/>
        <w:ind w:left="1056" w:hanging="1056"/>
        <w:rPr>
          <w:b/>
          <w:spacing w:val="-3"/>
          <w:sz w:val="22"/>
          <w:lang w:eastAsia="en-US"/>
        </w:rPr>
      </w:pPr>
      <w:r>
        <w:rPr>
          <w:b/>
          <w:spacing w:val="-3"/>
          <w:sz w:val="22"/>
          <w:lang w:eastAsia="en-US"/>
        </w:rPr>
        <w:t>4.5</w:t>
      </w:r>
      <w:r>
        <w:rPr>
          <w:b/>
          <w:spacing w:val="-3"/>
          <w:sz w:val="22"/>
          <w:lang w:eastAsia="en-US"/>
        </w:rPr>
        <w:tab/>
        <w:t>Zvláštní opatření pro použití</w:t>
      </w:r>
    </w:p>
    <w:p w14:paraId="1D2432EC" w14:textId="77777777" w:rsidR="00F93A07" w:rsidRDefault="00F93A07" w:rsidP="00F93A07">
      <w:pPr>
        <w:tabs>
          <w:tab w:val="left" w:pos="480"/>
          <w:tab w:val="left" w:pos="1056"/>
        </w:tabs>
        <w:suppressAutoHyphens/>
        <w:ind w:left="1056" w:hanging="1056"/>
        <w:rPr>
          <w:b/>
          <w:spacing w:val="-3"/>
          <w:sz w:val="22"/>
          <w:lang w:eastAsia="en-US"/>
        </w:rPr>
      </w:pPr>
    </w:p>
    <w:p w14:paraId="10C23A50" w14:textId="77777777" w:rsidR="00F93A07" w:rsidRDefault="00F93A07" w:rsidP="00F93A07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sz w:val="22"/>
          <w:u w:val="single"/>
          <w:lang w:eastAsia="en-US"/>
        </w:rPr>
      </w:pPr>
      <w:r>
        <w:rPr>
          <w:spacing w:val="-3"/>
          <w:sz w:val="22"/>
          <w:u w:val="single"/>
          <w:lang w:eastAsia="en-US"/>
        </w:rPr>
        <w:t>Zvláštní opatření pro použití u zvířat</w:t>
      </w:r>
    </w:p>
    <w:p w14:paraId="0643D9D8" w14:textId="45988B68" w:rsidR="00F93A07" w:rsidRDefault="00D25870" w:rsidP="00F93A07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sz w:val="22"/>
          <w:lang w:eastAsia="en-US"/>
        </w:rPr>
      </w:pPr>
      <w:r>
        <w:rPr>
          <w:spacing w:val="-3"/>
          <w:sz w:val="22"/>
          <w:lang w:eastAsia="en-US"/>
        </w:rPr>
        <w:t>Neuplatňuje se.</w:t>
      </w:r>
    </w:p>
    <w:p w14:paraId="7408F195" w14:textId="77777777" w:rsidR="00F93A07" w:rsidRDefault="00F93A07" w:rsidP="00F93A07">
      <w:pPr>
        <w:tabs>
          <w:tab w:val="left" w:pos="480"/>
          <w:tab w:val="left" w:pos="567"/>
        </w:tabs>
        <w:suppressAutoHyphens/>
        <w:ind w:left="1056" w:hanging="489"/>
        <w:rPr>
          <w:rStyle w:val="level2"/>
          <w:sz w:val="22"/>
        </w:rPr>
      </w:pPr>
    </w:p>
    <w:p w14:paraId="1628D139" w14:textId="77777777" w:rsidR="00F93A07" w:rsidRDefault="00F93A07" w:rsidP="00F93A07">
      <w:pPr>
        <w:tabs>
          <w:tab w:val="left" w:pos="567"/>
        </w:tabs>
        <w:suppressAutoHyphens/>
        <w:ind w:left="1056" w:hanging="489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Zvláštní opatření určené osobám, které podávají veterinární léčivý přípravek zvířatům</w:t>
      </w:r>
    </w:p>
    <w:p w14:paraId="7AE40987" w14:textId="77777777" w:rsidR="00920B3E" w:rsidRPr="00920B3E" w:rsidRDefault="00920B3E" w:rsidP="00920B3E">
      <w:pPr>
        <w:tabs>
          <w:tab w:val="left" w:pos="567"/>
        </w:tabs>
        <w:suppressAutoHyphens/>
        <w:ind w:left="1056" w:hanging="489"/>
        <w:outlineLvl w:val="0"/>
        <w:rPr>
          <w:rStyle w:val="level2"/>
          <w:spacing w:val="-3"/>
          <w:sz w:val="22"/>
          <w:szCs w:val="22"/>
          <w:u w:val="none"/>
        </w:rPr>
      </w:pPr>
      <w:r w:rsidRPr="00920B3E">
        <w:rPr>
          <w:rStyle w:val="level2"/>
          <w:spacing w:val="-3"/>
          <w:sz w:val="22"/>
          <w:szCs w:val="22"/>
          <w:u w:val="none"/>
        </w:rPr>
        <w:t>V případě náhodného sebepoškození injekčně aplikovaným přípravkem, vyhledejte ihned lékařskou</w:t>
      </w:r>
    </w:p>
    <w:p w14:paraId="1CECF751" w14:textId="194E6C8B" w:rsidR="00920B3E" w:rsidRPr="00920B3E" w:rsidRDefault="00920B3E" w:rsidP="00920B3E">
      <w:pPr>
        <w:tabs>
          <w:tab w:val="left" w:pos="567"/>
        </w:tabs>
        <w:suppressAutoHyphens/>
        <w:ind w:left="1056" w:hanging="489"/>
        <w:outlineLvl w:val="0"/>
        <w:rPr>
          <w:rStyle w:val="level2"/>
          <w:spacing w:val="-3"/>
          <w:sz w:val="22"/>
          <w:szCs w:val="22"/>
          <w:u w:val="none"/>
        </w:rPr>
      </w:pPr>
      <w:r w:rsidRPr="00920B3E">
        <w:rPr>
          <w:rStyle w:val="level2"/>
          <w:spacing w:val="-3"/>
          <w:sz w:val="22"/>
          <w:szCs w:val="22"/>
          <w:u w:val="none"/>
        </w:rPr>
        <w:t>pomoc a ukažte příbalovou informaci nebo etiketu praktickému lékaři.</w:t>
      </w:r>
    </w:p>
    <w:p w14:paraId="14914B1F" w14:textId="77777777" w:rsidR="00F93A07" w:rsidRDefault="00F93A07" w:rsidP="00F93A07">
      <w:pPr>
        <w:tabs>
          <w:tab w:val="left" w:pos="567"/>
        </w:tabs>
        <w:ind w:left="1056" w:hanging="489"/>
        <w:rPr>
          <w:b/>
          <w:sz w:val="22"/>
        </w:rPr>
      </w:pPr>
    </w:p>
    <w:p w14:paraId="24FBAEAB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4.6 </w:t>
      </w:r>
      <w:r>
        <w:rPr>
          <w:b/>
          <w:sz w:val="22"/>
        </w:rPr>
        <w:tab/>
        <w:t>Nežádoucí účinky (frekvence a závažnost)</w:t>
      </w:r>
    </w:p>
    <w:p w14:paraId="4500C308" w14:textId="77777777" w:rsidR="003E40D4" w:rsidRDefault="003E40D4" w:rsidP="00F93A07">
      <w:pPr>
        <w:ind w:left="567"/>
        <w:rPr>
          <w:sz w:val="22"/>
          <w:szCs w:val="22"/>
        </w:rPr>
      </w:pPr>
    </w:p>
    <w:p w14:paraId="78A9A2E0" w14:textId="0C766B54" w:rsidR="0061511C" w:rsidRDefault="0061511C" w:rsidP="00F93A07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 xml:space="preserve">Velmi často se může objevit </w:t>
      </w:r>
      <w:r w:rsidR="00D422D1">
        <w:rPr>
          <w:sz w:val="22"/>
          <w:szCs w:val="22"/>
        </w:rPr>
        <w:t xml:space="preserve">mírné </w:t>
      </w:r>
      <w:r w:rsidRPr="0061511C">
        <w:rPr>
          <w:sz w:val="22"/>
          <w:szCs w:val="22"/>
        </w:rPr>
        <w:t xml:space="preserve">přechodné zvýšení tělesné teploty </w:t>
      </w:r>
      <w:r w:rsidR="00570D8F">
        <w:rPr>
          <w:sz w:val="22"/>
          <w:szCs w:val="22"/>
        </w:rPr>
        <w:t>(</w:t>
      </w:r>
      <w:r w:rsidR="00570D8F" w:rsidRPr="00570D8F">
        <w:rPr>
          <w:sz w:val="22"/>
          <w:szCs w:val="22"/>
        </w:rPr>
        <w:t>0.</w:t>
      </w:r>
      <w:proofErr w:type="gramStart"/>
      <w:r w:rsidR="00570D8F" w:rsidRPr="00570D8F">
        <w:rPr>
          <w:sz w:val="22"/>
          <w:szCs w:val="22"/>
        </w:rPr>
        <w:t>5°C</w:t>
      </w:r>
      <w:proofErr w:type="gramEnd"/>
      <w:r w:rsidR="00570D8F" w:rsidRPr="00570D8F">
        <w:rPr>
          <w:sz w:val="22"/>
          <w:szCs w:val="22"/>
        </w:rPr>
        <w:t>)</w:t>
      </w:r>
      <w:r w:rsidR="00570D8F">
        <w:rPr>
          <w:sz w:val="22"/>
          <w:szCs w:val="22"/>
        </w:rPr>
        <w:t xml:space="preserve"> po dobu </w:t>
      </w:r>
      <w:r w:rsidR="00570D8F" w:rsidRPr="00570D8F">
        <w:rPr>
          <w:sz w:val="22"/>
          <w:szCs w:val="22"/>
        </w:rPr>
        <w:t>24</w:t>
      </w:r>
      <w:r w:rsidR="00570D8F">
        <w:rPr>
          <w:sz w:val="22"/>
          <w:szCs w:val="22"/>
        </w:rPr>
        <w:t xml:space="preserve"> hodin </w:t>
      </w:r>
      <w:r w:rsidR="0044404D">
        <w:rPr>
          <w:sz w:val="22"/>
          <w:szCs w:val="22"/>
        </w:rPr>
        <w:t xml:space="preserve">a </w:t>
      </w:r>
      <w:r w:rsidRPr="0061511C">
        <w:rPr>
          <w:sz w:val="22"/>
          <w:szCs w:val="22"/>
        </w:rPr>
        <w:t>mírný přechodný otok</w:t>
      </w:r>
      <w:r w:rsidR="00D422D1">
        <w:rPr>
          <w:sz w:val="22"/>
          <w:szCs w:val="22"/>
        </w:rPr>
        <w:t xml:space="preserve"> v místě vpichu</w:t>
      </w:r>
      <w:r w:rsidR="00570D8F">
        <w:rPr>
          <w:sz w:val="22"/>
          <w:szCs w:val="22"/>
        </w:rPr>
        <w:t xml:space="preserve"> </w:t>
      </w:r>
      <w:r w:rsidR="00570D8F" w:rsidRPr="00570D8F">
        <w:rPr>
          <w:sz w:val="22"/>
          <w:szCs w:val="22"/>
        </w:rPr>
        <w:t>(Ø 1-10</w:t>
      </w:r>
      <w:r w:rsidR="00834D08">
        <w:rPr>
          <w:sz w:val="22"/>
          <w:szCs w:val="22"/>
        </w:rPr>
        <w:t xml:space="preserve"> </w:t>
      </w:r>
      <w:r w:rsidR="00570D8F" w:rsidRPr="00570D8F">
        <w:rPr>
          <w:sz w:val="22"/>
          <w:szCs w:val="22"/>
        </w:rPr>
        <w:t xml:space="preserve">mm) </w:t>
      </w:r>
      <w:r w:rsidR="00570D8F">
        <w:rPr>
          <w:sz w:val="22"/>
          <w:szCs w:val="22"/>
        </w:rPr>
        <w:t>do 8 dnů</w:t>
      </w:r>
      <w:r w:rsidRPr="0061511C">
        <w:rPr>
          <w:sz w:val="22"/>
          <w:szCs w:val="22"/>
        </w:rPr>
        <w:t xml:space="preserve">. </w:t>
      </w:r>
      <w:r w:rsidR="00D422D1">
        <w:rPr>
          <w:sz w:val="22"/>
          <w:szCs w:val="22"/>
        </w:rPr>
        <w:t>Často se m</w:t>
      </w:r>
      <w:r w:rsidRPr="0061511C">
        <w:rPr>
          <w:sz w:val="22"/>
          <w:szCs w:val="22"/>
        </w:rPr>
        <w:t>ůže vyskytnout přechodná neochota k pohybu.</w:t>
      </w:r>
    </w:p>
    <w:p w14:paraId="38A25F53" w14:textId="77777777" w:rsidR="0061511C" w:rsidRDefault="0061511C" w:rsidP="00F93A07">
      <w:pPr>
        <w:ind w:left="567"/>
        <w:rPr>
          <w:sz w:val="22"/>
          <w:szCs w:val="22"/>
        </w:rPr>
      </w:pPr>
    </w:p>
    <w:p w14:paraId="626D3504" w14:textId="65FA065B" w:rsidR="00570D8F" w:rsidRDefault="00570D8F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>Velmi vzácně se může vyskytnout hypersenzitivní reakce.</w:t>
      </w:r>
    </w:p>
    <w:p w14:paraId="1297D604" w14:textId="77777777" w:rsidR="00570D8F" w:rsidRDefault="00570D8F" w:rsidP="00F93A07">
      <w:pPr>
        <w:ind w:left="567"/>
        <w:rPr>
          <w:sz w:val="22"/>
          <w:szCs w:val="22"/>
        </w:rPr>
      </w:pPr>
    </w:p>
    <w:p w14:paraId="6B8FB579" w14:textId="77777777" w:rsidR="0061511C" w:rsidRPr="0061511C" w:rsidRDefault="0061511C" w:rsidP="0061511C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>Četnost nežádoucích účinků je charakterizována podle následujících pravidel:</w:t>
      </w:r>
    </w:p>
    <w:p w14:paraId="0331DA9F" w14:textId="77777777" w:rsidR="0061511C" w:rsidRPr="0061511C" w:rsidRDefault="0061511C" w:rsidP="0061511C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>- velmi časté (nežádoucí účinek(</w:t>
      </w:r>
      <w:proofErr w:type="spellStart"/>
      <w:r w:rsidRPr="0061511C">
        <w:rPr>
          <w:sz w:val="22"/>
          <w:szCs w:val="22"/>
        </w:rPr>
        <w:t>nky</w:t>
      </w:r>
      <w:proofErr w:type="spellEnd"/>
      <w:r w:rsidRPr="0061511C">
        <w:rPr>
          <w:sz w:val="22"/>
          <w:szCs w:val="22"/>
        </w:rPr>
        <w:t>) se projevily u více než 1 z 10 ošetřených zvířat)</w:t>
      </w:r>
    </w:p>
    <w:p w14:paraId="2A9CBC63" w14:textId="77777777" w:rsidR="0061511C" w:rsidRPr="0061511C" w:rsidRDefault="0061511C" w:rsidP="0061511C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>- časté (u více než 1, ale méně než 10 ze 100 ošetřených zvířat)</w:t>
      </w:r>
    </w:p>
    <w:p w14:paraId="59F3E567" w14:textId="77777777" w:rsidR="0061511C" w:rsidRPr="0061511C" w:rsidRDefault="0061511C" w:rsidP="0061511C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>- neobvyklé (u více než 1, ale méně než 10 z 1000 ošetřených zvířat)</w:t>
      </w:r>
    </w:p>
    <w:p w14:paraId="7CB47D2D" w14:textId="77777777" w:rsidR="0061511C" w:rsidRPr="0061511C" w:rsidRDefault="0061511C" w:rsidP="0061511C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>- vzácné (u více než 1, ale méně než 10 z 10000 ošetřených zvířat)</w:t>
      </w:r>
    </w:p>
    <w:p w14:paraId="3333229B" w14:textId="77777777" w:rsidR="0061511C" w:rsidRPr="0061511C" w:rsidRDefault="0061511C" w:rsidP="0061511C">
      <w:pPr>
        <w:ind w:left="567"/>
        <w:rPr>
          <w:sz w:val="22"/>
          <w:szCs w:val="22"/>
        </w:rPr>
      </w:pPr>
      <w:r w:rsidRPr="0061511C">
        <w:rPr>
          <w:sz w:val="22"/>
          <w:szCs w:val="22"/>
        </w:rPr>
        <w:t>- velmi vzácné (u méně než 1 z 10000 ošetřených zvířat, včetně ojedinělých hlášení).</w:t>
      </w:r>
    </w:p>
    <w:p w14:paraId="482FC3A0" w14:textId="77777777" w:rsidR="0061511C" w:rsidRDefault="0061511C" w:rsidP="00F93A07">
      <w:pPr>
        <w:ind w:left="567"/>
        <w:rPr>
          <w:sz w:val="22"/>
          <w:szCs w:val="22"/>
        </w:rPr>
      </w:pPr>
    </w:p>
    <w:p w14:paraId="5592CBCF" w14:textId="77777777" w:rsidR="00F93A07" w:rsidRDefault="00F93A07" w:rsidP="00F93A07">
      <w:pPr>
        <w:rPr>
          <w:sz w:val="22"/>
        </w:rPr>
      </w:pPr>
    </w:p>
    <w:p w14:paraId="7BA1B856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>4.7</w:t>
      </w:r>
      <w:r>
        <w:rPr>
          <w:b/>
          <w:sz w:val="22"/>
        </w:rPr>
        <w:tab/>
        <w:t>Použití v průběhu březosti, laktace nebo snášky</w:t>
      </w:r>
    </w:p>
    <w:p w14:paraId="3CECE6F8" w14:textId="77777777" w:rsidR="003E40D4" w:rsidRDefault="003E40D4" w:rsidP="00F93A07">
      <w:pPr>
        <w:pStyle w:val="spc2Char"/>
        <w:ind w:left="0" w:firstLine="567"/>
        <w:rPr>
          <w:lang w:val="cs-CZ"/>
        </w:rPr>
      </w:pPr>
    </w:p>
    <w:p w14:paraId="0629A9EA" w14:textId="4946D1D6" w:rsidR="00F93A07" w:rsidRDefault="00F93A07" w:rsidP="00F93A07">
      <w:pPr>
        <w:pStyle w:val="spc2Char"/>
        <w:ind w:left="0" w:firstLine="567"/>
        <w:rPr>
          <w:lang w:val="cs-CZ"/>
        </w:rPr>
      </w:pPr>
      <w:r>
        <w:rPr>
          <w:lang w:val="cs-CZ"/>
        </w:rPr>
        <w:t>Nepoužívat během březosti. Revakcinace se provádí v průběhu laktace.</w:t>
      </w:r>
    </w:p>
    <w:p w14:paraId="0768346D" w14:textId="77777777" w:rsidR="00F93A07" w:rsidRDefault="00F93A07" w:rsidP="00F93A07">
      <w:pPr>
        <w:rPr>
          <w:sz w:val="22"/>
        </w:rPr>
      </w:pPr>
    </w:p>
    <w:p w14:paraId="43AFF8D6" w14:textId="77777777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4.8 </w:t>
      </w:r>
      <w:r>
        <w:rPr>
          <w:b/>
          <w:sz w:val="22"/>
        </w:rPr>
        <w:tab/>
        <w:t>Interakce s dalšími léčivými přípravky a další formy interakce</w:t>
      </w:r>
    </w:p>
    <w:p w14:paraId="3CAB05DF" w14:textId="77777777" w:rsidR="003E40D4" w:rsidRDefault="003E40D4" w:rsidP="00F93A07">
      <w:pPr>
        <w:ind w:left="567"/>
        <w:rPr>
          <w:sz w:val="22"/>
          <w:szCs w:val="22"/>
        </w:rPr>
      </w:pPr>
    </w:p>
    <w:p w14:paraId="50EA0F45" w14:textId="676584F8" w:rsidR="00F93A07" w:rsidRDefault="00F93A07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E58A8A0" w14:textId="77777777" w:rsidR="00F93A07" w:rsidRDefault="00F93A07" w:rsidP="00F93A07">
      <w:pPr>
        <w:rPr>
          <w:b/>
          <w:sz w:val="22"/>
        </w:rPr>
      </w:pPr>
    </w:p>
    <w:p w14:paraId="6A49E4CE" w14:textId="77777777" w:rsidR="00F93A07" w:rsidRDefault="00F93A07" w:rsidP="00F93A07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4.9</w:t>
      </w:r>
      <w:r>
        <w:rPr>
          <w:b/>
          <w:sz w:val="22"/>
          <w:szCs w:val="22"/>
        </w:rPr>
        <w:tab/>
        <w:t>Podávané množství a způsob podání</w:t>
      </w:r>
    </w:p>
    <w:p w14:paraId="76969A30" w14:textId="77777777" w:rsidR="003E40D4" w:rsidRDefault="003E40D4" w:rsidP="00D25870">
      <w:pPr>
        <w:ind w:left="567"/>
        <w:rPr>
          <w:sz w:val="22"/>
          <w:lang w:eastAsia="en-US"/>
        </w:rPr>
      </w:pPr>
    </w:p>
    <w:p w14:paraId="3932D5FA" w14:textId="3600203A" w:rsidR="00D25870" w:rsidRDefault="00D25870" w:rsidP="00D25870">
      <w:pPr>
        <w:ind w:left="567"/>
        <w:rPr>
          <w:sz w:val="22"/>
          <w:lang w:eastAsia="en-US"/>
        </w:rPr>
      </w:pPr>
      <w:r>
        <w:rPr>
          <w:sz w:val="22"/>
          <w:lang w:eastAsia="en-US"/>
        </w:rPr>
        <w:t>Aplikuj</w:t>
      </w:r>
      <w:r w:rsidR="003E40D4">
        <w:rPr>
          <w:sz w:val="22"/>
          <w:lang w:eastAsia="en-US"/>
        </w:rPr>
        <w:t>t</w:t>
      </w:r>
      <w:r>
        <w:rPr>
          <w:sz w:val="22"/>
          <w:lang w:eastAsia="en-US"/>
        </w:rPr>
        <w:t xml:space="preserve">e </w:t>
      </w:r>
      <w:r w:rsidR="00ED6D92">
        <w:rPr>
          <w:sz w:val="22"/>
          <w:lang w:eastAsia="en-US"/>
        </w:rPr>
        <w:t xml:space="preserve">jednu dávku </w:t>
      </w:r>
      <w:r>
        <w:rPr>
          <w:sz w:val="22"/>
          <w:lang w:eastAsia="en-US"/>
        </w:rPr>
        <w:t>2 ml hluboko intramuskulárně v krajině za uchem.</w:t>
      </w:r>
    </w:p>
    <w:p w14:paraId="50632776" w14:textId="77777777" w:rsidR="00D25870" w:rsidRDefault="00D25870" w:rsidP="00D25870">
      <w:pPr>
        <w:ind w:left="567"/>
        <w:rPr>
          <w:sz w:val="22"/>
          <w:lang w:eastAsia="en-US"/>
        </w:rPr>
      </w:pPr>
    </w:p>
    <w:p w14:paraId="2FDB9525" w14:textId="36FFD8AE" w:rsidR="00F93A07" w:rsidRDefault="00F93A07" w:rsidP="00F93A07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sz w:val="22"/>
          <w:lang w:eastAsia="en-US"/>
        </w:rPr>
      </w:pPr>
      <w:r>
        <w:rPr>
          <w:spacing w:val="-3"/>
          <w:sz w:val="22"/>
          <w:lang w:eastAsia="en-US"/>
        </w:rPr>
        <w:t>Před použitím nechat vakcínu pomalu ohřát na pokojovou teplotu (15-25</w:t>
      </w:r>
      <w:r w:rsidR="00AA2206">
        <w:rPr>
          <w:spacing w:val="-3"/>
          <w:sz w:val="22"/>
          <w:lang w:eastAsia="en-US"/>
        </w:rPr>
        <w:t xml:space="preserve"> </w:t>
      </w:r>
      <w:r>
        <w:rPr>
          <w:spacing w:val="-3"/>
          <w:sz w:val="22"/>
          <w:lang w:eastAsia="en-US"/>
        </w:rPr>
        <w:t xml:space="preserve">°C). </w:t>
      </w:r>
    </w:p>
    <w:p w14:paraId="15F56BE9" w14:textId="3DE11914" w:rsidR="00F93A07" w:rsidRDefault="00F93A07" w:rsidP="00F93A07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sz w:val="22"/>
          <w:lang w:eastAsia="en-US"/>
        </w:rPr>
      </w:pPr>
      <w:r>
        <w:rPr>
          <w:spacing w:val="-3"/>
          <w:sz w:val="22"/>
          <w:lang w:eastAsia="en-US"/>
        </w:rPr>
        <w:t xml:space="preserve">Před a během použití řádně </w:t>
      </w:r>
      <w:r w:rsidR="00ED6D92">
        <w:rPr>
          <w:spacing w:val="-3"/>
          <w:sz w:val="22"/>
          <w:lang w:eastAsia="en-US"/>
        </w:rPr>
        <w:t>protřepat</w:t>
      </w:r>
      <w:r>
        <w:rPr>
          <w:spacing w:val="-3"/>
          <w:sz w:val="22"/>
          <w:lang w:eastAsia="en-US"/>
        </w:rPr>
        <w:t>.</w:t>
      </w:r>
    </w:p>
    <w:p w14:paraId="12FCF9D7" w14:textId="2409604F" w:rsidR="00FE285F" w:rsidRDefault="00FE285F" w:rsidP="00F93A07">
      <w:pPr>
        <w:tabs>
          <w:tab w:val="left" w:pos="480"/>
          <w:tab w:val="left" w:pos="567"/>
        </w:tabs>
        <w:suppressAutoHyphens/>
        <w:ind w:left="1056" w:hanging="489"/>
        <w:rPr>
          <w:spacing w:val="-3"/>
          <w:sz w:val="22"/>
          <w:lang w:eastAsia="en-US"/>
        </w:rPr>
      </w:pPr>
      <w:r w:rsidRPr="00FE285F">
        <w:rPr>
          <w:spacing w:val="-3"/>
          <w:sz w:val="22"/>
          <w:lang w:eastAsia="en-US"/>
        </w:rPr>
        <w:t>Používejte sterilní injekční jehly a stříkačky.</w:t>
      </w:r>
    </w:p>
    <w:p w14:paraId="708075D0" w14:textId="77777777" w:rsidR="00ED6D92" w:rsidRPr="00ED6D92" w:rsidRDefault="00ED6D92" w:rsidP="00ED6D92">
      <w:pPr>
        <w:tabs>
          <w:tab w:val="left" w:pos="480"/>
          <w:tab w:val="left" w:pos="567"/>
        </w:tabs>
        <w:suppressAutoHyphens/>
        <w:ind w:left="1056" w:hanging="489"/>
        <w:rPr>
          <w:sz w:val="22"/>
          <w:lang w:eastAsia="en-US"/>
        </w:rPr>
      </w:pPr>
      <w:r w:rsidRPr="00ED6D92">
        <w:rPr>
          <w:sz w:val="22"/>
          <w:lang w:eastAsia="en-US"/>
        </w:rPr>
        <w:t xml:space="preserve">Zabraňte kontaminaci vícenásobným propíchnutím zátky. </w:t>
      </w:r>
    </w:p>
    <w:p w14:paraId="194AD3A3" w14:textId="77777777" w:rsidR="00F93A07" w:rsidRDefault="00F93A07" w:rsidP="00F93A07">
      <w:pPr>
        <w:ind w:left="567"/>
        <w:rPr>
          <w:sz w:val="22"/>
          <w:lang w:eastAsia="en-US"/>
        </w:rPr>
      </w:pPr>
    </w:p>
    <w:p w14:paraId="66A5DC98" w14:textId="77777777" w:rsidR="00F93A07" w:rsidRDefault="00F93A07" w:rsidP="00F93A07">
      <w:pPr>
        <w:ind w:left="567"/>
        <w:rPr>
          <w:sz w:val="22"/>
          <w:lang w:eastAsia="en-US"/>
        </w:rPr>
      </w:pPr>
      <w:r>
        <w:rPr>
          <w:sz w:val="22"/>
          <w:u w:val="single"/>
          <w:lang w:eastAsia="en-US"/>
        </w:rPr>
        <w:t>Základní vakcinace</w:t>
      </w:r>
      <w:r>
        <w:rPr>
          <w:sz w:val="22"/>
          <w:lang w:eastAsia="en-US"/>
        </w:rPr>
        <w:t>:</w:t>
      </w:r>
    </w:p>
    <w:p w14:paraId="040C9EE5" w14:textId="2084BEF5" w:rsidR="00F93A07" w:rsidRDefault="00F93A07" w:rsidP="00F93A07">
      <w:pPr>
        <w:ind w:left="567"/>
        <w:rPr>
          <w:sz w:val="22"/>
          <w:lang w:eastAsia="en-US"/>
        </w:rPr>
      </w:pPr>
      <w:r>
        <w:rPr>
          <w:sz w:val="22"/>
          <w:lang w:eastAsia="en-US"/>
        </w:rPr>
        <w:lastRenderedPageBreak/>
        <w:t xml:space="preserve">Chráněnosti proti července a </w:t>
      </w:r>
      <w:proofErr w:type="spellStart"/>
      <w:r>
        <w:rPr>
          <w:sz w:val="22"/>
          <w:lang w:eastAsia="en-US"/>
        </w:rPr>
        <w:t>parvoviróze</w:t>
      </w:r>
      <w:proofErr w:type="spellEnd"/>
      <w:r>
        <w:rPr>
          <w:sz w:val="22"/>
          <w:lang w:eastAsia="en-US"/>
        </w:rPr>
        <w:t xml:space="preserve"> prasat se musí dosáhnout u prasniček před prvním připouštěním.  Jedna dávka nejpozději 2 týdny před připuštěním dostatečně chrání po následující dvě březosti před poškozením způsobeným </w:t>
      </w:r>
      <w:proofErr w:type="spellStart"/>
      <w:r>
        <w:rPr>
          <w:sz w:val="22"/>
          <w:lang w:eastAsia="en-US"/>
        </w:rPr>
        <w:t>parvovirem</w:t>
      </w:r>
      <w:proofErr w:type="spellEnd"/>
      <w:r>
        <w:rPr>
          <w:sz w:val="22"/>
          <w:lang w:eastAsia="en-US"/>
        </w:rPr>
        <w:t xml:space="preserve"> prasat.  K navození ochrany proti července je nezbytná dvojí vakcinace jako základ. Toho lze dosáhnout jednou aplikací vakcíny proti července </w:t>
      </w:r>
      <w:proofErr w:type="spellStart"/>
      <w:r>
        <w:rPr>
          <w:sz w:val="22"/>
          <w:lang w:eastAsia="en-US"/>
        </w:rPr>
        <w:t>Porcilis</w:t>
      </w:r>
      <w:proofErr w:type="spellEnd"/>
      <w:r>
        <w:rPr>
          <w:sz w:val="22"/>
          <w:lang w:eastAsia="en-US"/>
        </w:rPr>
        <w:t xml:space="preserve"> Ery buď 4 týdny před nebo 4 týdny po aplikaci kombinované vakcíny </w:t>
      </w:r>
      <w:proofErr w:type="spellStart"/>
      <w:r>
        <w:rPr>
          <w:sz w:val="22"/>
          <w:lang w:eastAsia="en-US"/>
        </w:rPr>
        <w:t>Porcilis</w:t>
      </w:r>
      <w:proofErr w:type="spellEnd"/>
      <w:r>
        <w:rPr>
          <w:sz w:val="22"/>
          <w:lang w:eastAsia="en-US"/>
        </w:rPr>
        <w:t xml:space="preserve"> </w:t>
      </w:r>
      <w:proofErr w:type="spellStart"/>
      <w:r>
        <w:rPr>
          <w:sz w:val="22"/>
          <w:lang w:eastAsia="en-US"/>
        </w:rPr>
        <w:t>Ery+Parvo</w:t>
      </w:r>
      <w:proofErr w:type="spellEnd"/>
      <w:r>
        <w:rPr>
          <w:sz w:val="22"/>
          <w:lang w:eastAsia="en-US"/>
        </w:rPr>
        <w:t xml:space="preserve">. </w:t>
      </w:r>
    </w:p>
    <w:p w14:paraId="73386B57" w14:textId="77777777" w:rsidR="00F93A07" w:rsidRDefault="00F93A07" w:rsidP="00F93A07">
      <w:pPr>
        <w:ind w:left="567"/>
        <w:rPr>
          <w:sz w:val="22"/>
          <w:lang w:eastAsia="en-US"/>
        </w:rPr>
      </w:pPr>
    </w:p>
    <w:p w14:paraId="567AD2A1" w14:textId="77777777" w:rsidR="00F93A07" w:rsidRDefault="00F93A07" w:rsidP="00F93A07">
      <w:pPr>
        <w:ind w:left="567"/>
        <w:rPr>
          <w:sz w:val="22"/>
          <w:u w:val="single"/>
          <w:lang w:eastAsia="en-US"/>
        </w:rPr>
      </w:pPr>
      <w:r>
        <w:rPr>
          <w:sz w:val="22"/>
          <w:u w:val="single"/>
          <w:lang w:eastAsia="en-US"/>
        </w:rPr>
        <w:t>Revakcinace:</w:t>
      </w:r>
    </w:p>
    <w:p w14:paraId="40EF453A" w14:textId="77777777" w:rsidR="00F93A07" w:rsidRDefault="00F93A07" w:rsidP="00F93A07">
      <w:pPr>
        <w:ind w:left="567"/>
        <w:rPr>
          <w:sz w:val="22"/>
          <w:lang w:eastAsia="en-US"/>
        </w:rPr>
      </w:pPr>
      <w:proofErr w:type="spellStart"/>
      <w:r>
        <w:rPr>
          <w:sz w:val="22"/>
          <w:lang w:eastAsia="en-US"/>
        </w:rPr>
        <w:t>Revakcinuje</w:t>
      </w:r>
      <w:proofErr w:type="spellEnd"/>
      <w:r>
        <w:rPr>
          <w:sz w:val="22"/>
          <w:lang w:eastAsia="en-US"/>
        </w:rPr>
        <w:t xml:space="preserve"> se jedenkrát ročně, v průběhu laktace, 2-4 týdny před připuštěním, doplněno o aplikaci vakcíny proti července </w:t>
      </w:r>
      <w:proofErr w:type="spellStart"/>
      <w:r>
        <w:rPr>
          <w:sz w:val="22"/>
          <w:lang w:eastAsia="en-US"/>
        </w:rPr>
        <w:t>Porcilis</w:t>
      </w:r>
      <w:proofErr w:type="spellEnd"/>
      <w:r>
        <w:rPr>
          <w:sz w:val="22"/>
          <w:lang w:eastAsia="en-US"/>
        </w:rPr>
        <w:t xml:space="preserve"> Ery za 6 měsíců po každé aplikaci vakcíny </w:t>
      </w:r>
      <w:proofErr w:type="spellStart"/>
      <w:r>
        <w:rPr>
          <w:sz w:val="22"/>
          <w:lang w:eastAsia="en-US"/>
        </w:rPr>
        <w:t>Porcilis</w:t>
      </w:r>
      <w:proofErr w:type="spellEnd"/>
      <w:r>
        <w:rPr>
          <w:sz w:val="22"/>
          <w:lang w:eastAsia="en-US"/>
        </w:rPr>
        <w:t xml:space="preserve"> </w:t>
      </w:r>
      <w:proofErr w:type="spellStart"/>
      <w:r>
        <w:rPr>
          <w:sz w:val="22"/>
          <w:lang w:eastAsia="en-US"/>
        </w:rPr>
        <w:t>Ery+Parvo</w:t>
      </w:r>
      <w:proofErr w:type="spellEnd"/>
      <w:r>
        <w:rPr>
          <w:sz w:val="22"/>
          <w:lang w:eastAsia="en-US"/>
        </w:rPr>
        <w:t xml:space="preserve">.    </w:t>
      </w:r>
    </w:p>
    <w:p w14:paraId="363F9AA3" w14:textId="77777777" w:rsidR="00F93A07" w:rsidRDefault="00F93A07" w:rsidP="00F93A07">
      <w:pPr>
        <w:pStyle w:val="Zkladntext"/>
        <w:ind w:firstLine="0"/>
        <w:rPr>
          <w:szCs w:val="22"/>
        </w:rPr>
      </w:pPr>
    </w:p>
    <w:p w14:paraId="411C2D84" w14:textId="77777777" w:rsidR="00F93A07" w:rsidRDefault="00F93A07" w:rsidP="00F93A07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4.10</w:t>
      </w:r>
      <w:r>
        <w:rPr>
          <w:b/>
          <w:sz w:val="22"/>
          <w:szCs w:val="22"/>
        </w:rPr>
        <w:tab/>
        <w:t xml:space="preserve">Předávkování (symptomy, první pomoc, </w:t>
      </w:r>
      <w:proofErr w:type="spellStart"/>
      <w:r>
        <w:rPr>
          <w:b/>
          <w:sz w:val="22"/>
          <w:szCs w:val="22"/>
        </w:rPr>
        <w:t>antidota</w:t>
      </w:r>
      <w:proofErr w:type="spellEnd"/>
      <w:r>
        <w:rPr>
          <w:b/>
          <w:sz w:val="22"/>
          <w:szCs w:val="22"/>
        </w:rPr>
        <w:t>), pokud je to nutné</w:t>
      </w:r>
    </w:p>
    <w:p w14:paraId="0EC2DF19" w14:textId="77777777" w:rsidR="003E40D4" w:rsidRDefault="003E40D4" w:rsidP="00F93A07">
      <w:pPr>
        <w:ind w:left="567"/>
        <w:rPr>
          <w:sz w:val="22"/>
        </w:rPr>
      </w:pPr>
    </w:p>
    <w:p w14:paraId="191A9DBB" w14:textId="33ADD0D7" w:rsidR="00204CE0" w:rsidRDefault="00204CE0" w:rsidP="00F93A07">
      <w:pPr>
        <w:ind w:left="567"/>
        <w:rPr>
          <w:sz w:val="22"/>
        </w:rPr>
      </w:pPr>
      <w:r w:rsidRPr="00204CE0">
        <w:rPr>
          <w:sz w:val="22"/>
        </w:rPr>
        <w:t xml:space="preserve">Po podání dvojnásobné dávky vakcíny nebyly pozorovány jiné nežádoucí účinky než ty, které byly popsány </w:t>
      </w:r>
      <w:r w:rsidR="008C1C27">
        <w:rPr>
          <w:sz w:val="22"/>
        </w:rPr>
        <w:t>po podání jedné dávky</w:t>
      </w:r>
      <w:r w:rsidRPr="00204CE0">
        <w:rPr>
          <w:sz w:val="22"/>
        </w:rPr>
        <w:t>.</w:t>
      </w:r>
    </w:p>
    <w:p w14:paraId="4C32FBB4" w14:textId="77777777" w:rsidR="00F93A07" w:rsidRDefault="00F93A07" w:rsidP="00F93A07">
      <w:pPr>
        <w:rPr>
          <w:sz w:val="22"/>
        </w:rPr>
      </w:pPr>
    </w:p>
    <w:p w14:paraId="5AEF09B9" w14:textId="7D51E11C" w:rsidR="00F93A07" w:rsidRDefault="00F93A07" w:rsidP="00F93A07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4.11 </w:t>
      </w:r>
      <w:r>
        <w:rPr>
          <w:b/>
          <w:sz w:val="22"/>
        </w:rPr>
        <w:tab/>
        <w:t>Ochrann</w:t>
      </w:r>
      <w:r w:rsidR="00D25870">
        <w:rPr>
          <w:b/>
          <w:sz w:val="22"/>
        </w:rPr>
        <w:t>á(</w:t>
      </w:r>
      <w:r>
        <w:rPr>
          <w:b/>
          <w:sz w:val="22"/>
        </w:rPr>
        <w:t>é</w:t>
      </w:r>
      <w:r w:rsidR="00D25870">
        <w:rPr>
          <w:b/>
          <w:sz w:val="22"/>
        </w:rPr>
        <w:t>)</w:t>
      </w:r>
      <w:r>
        <w:rPr>
          <w:b/>
          <w:sz w:val="22"/>
        </w:rPr>
        <w:t xml:space="preserve"> lhůt</w:t>
      </w:r>
      <w:r w:rsidR="00D25870">
        <w:rPr>
          <w:b/>
          <w:sz w:val="22"/>
        </w:rPr>
        <w:t>a(</w:t>
      </w:r>
      <w:r>
        <w:rPr>
          <w:b/>
          <w:sz w:val="22"/>
        </w:rPr>
        <w:t>y</w:t>
      </w:r>
      <w:r w:rsidR="00D25870">
        <w:rPr>
          <w:b/>
          <w:sz w:val="22"/>
        </w:rPr>
        <w:t>)</w:t>
      </w:r>
      <w:r w:rsidR="00D25870">
        <w:rPr>
          <w:b/>
          <w:sz w:val="22"/>
        </w:rPr>
        <w:br/>
      </w:r>
    </w:p>
    <w:p w14:paraId="1F54D62D" w14:textId="77777777" w:rsidR="00F93A07" w:rsidRDefault="00F93A07" w:rsidP="00F93A07">
      <w:pPr>
        <w:ind w:firstLine="567"/>
        <w:rPr>
          <w:sz w:val="22"/>
        </w:rPr>
      </w:pPr>
      <w:r>
        <w:rPr>
          <w:sz w:val="22"/>
        </w:rPr>
        <w:t>Bez ochranných lhůt.</w:t>
      </w:r>
    </w:p>
    <w:p w14:paraId="14A93944" w14:textId="64F5891D" w:rsidR="00F93A07" w:rsidRDefault="00F93A07" w:rsidP="00F93A07">
      <w:pPr>
        <w:rPr>
          <w:sz w:val="22"/>
        </w:rPr>
      </w:pPr>
    </w:p>
    <w:p w14:paraId="3A99FEDE" w14:textId="77777777" w:rsidR="003E40D4" w:rsidRDefault="003E40D4" w:rsidP="00F93A07">
      <w:pPr>
        <w:rPr>
          <w:sz w:val="22"/>
        </w:rPr>
      </w:pPr>
    </w:p>
    <w:p w14:paraId="3B06B308" w14:textId="77777777" w:rsidR="00F93A07" w:rsidRDefault="00F93A07" w:rsidP="00F93A07">
      <w:pPr>
        <w:tabs>
          <w:tab w:val="left" w:pos="284"/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>
        <w:rPr>
          <w:b/>
          <w:sz w:val="22"/>
        </w:rPr>
        <w:tab/>
        <w:t>IMUNOLOGICKÉ VLASTNOSTI</w:t>
      </w:r>
    </w:p>
    <w:p w14:paraId="0B0EFEC5" w14:textId="77777777" w:rsidR="00F93A07" w:rsidRDefault="00F93A07" w:rsidP="00F93A07">
      <w:pPr>
        <w:tabs>
          <w:tab w:val="left" w:pos="284"/>
          <w:tab w:val="left" w:pos="567"/>
        </w:tabs>
        <w:rPr>
          <w:b/>
          <w:sz w:val="22"/>
        </w:rPr>
      </w:pPr>
    </w:p>
    <w:p w14:paraId="59507C45" w14:textId="77777777" w:rsidR="00F93A07" w:rsidRDefault="00F93A07" w:rsidP="00F93A07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Farmakoterapeutická skupina: Inaktivované virové a inaktivované bakteriální vakcíny, </w:t>
      </w:r>
    </w:p>
    <w:p w14:paraId="7FBC3F73" w14:textId="77777777" w:rsidR="00F93A07" w:rsidRDefault="00F93A07" w:rsidP="00F93A07">
      <w:pPr>
        <w:ind w:firstLine="567"/>
        <w:rPr>
          <w:sz w:val="22"/>
          <w:szCs w:val="22"/>
        </w:rPr>
      </w:pPr>
      <w:proofErr w:type="spellStart"/>
      <w:r>
        <w:rPr>
          <w:sz w:val="22"/>
          <w:szCs w:val="22"/>
        </w:rPr>
        <w:t>ATCvet</w:t>
      </w:r>
      <w:proofErr w:type="spellEnd"/>
      <w:r>
        <w:rPr>
          <w:sz w:val="22"/>
          <w:szCs w:val="22"/>
        </w:rPr>
        <w:t xml:space="preserve"> kód: QI09AL01</w:t>
      </w:r>
    </w:p>
    <w:p w14:paraId="73DB1D8E" w14:textId="77777777" w:rsidR="00F93A07" w:rsidRDefault="00F93A07" w:rsidP="00F93A07">
      <w:pPr>
        <w:ind w:firstLine="567"/>
      </w:pPr>
    </w:p>
    <w:p w14:paraId="3809B750" w14:textId="77777777" w:rsidR="00F93A07" w:rsidRDefault="00F93A07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Inaktivovaná, tekutá vakcína k aktivní imunizaci prasat proti července a </w:t>
      </w:r>
      <w:proofErr w:type="spellStart"/>
      <w:r>
        <w:rPr>
          <w:sz w:val="22"/>
          <w:szCs w:val="22"/>
        </w:rPr>
        <w:t>parvoviróze</w:t>
      </w:r>
      <w:proofErr w:type="spellEnd"/>
      <w:r>
        <w:rPr>
          <w:sz w:val="22"/>
          <w:szCs w:val="22"/>
        </w:rPr>
        <w:t xml:space="preserve"> prasat. Obsahuje buněčný </w:t>
      </w:r>
      <w:proofErr w:type="spellStart"/>
      <w:r>
        <w:rPr>
          <w:sz w:val="22"/>
          <w:szCs w:val="22"/>
        </w:rPr>
        <w:t>lyzát</w:t>
      </w:r>
      <w:proofErr w:type="spellEnd"/>
      <w:r>
        <w:rPr>
          <w:sz w:val="22"/>
          <w:szCs w:val="22"/>
        </w:rPr>
        <w:t xml:space="preserve"> zárodků </w:t>
      </w:r>
      <w:proofErr w:type="spellStart"/>
      <w:r w:rsidRPr="00920B3E">
        <w:rPr>
          <w:i/>
          <w:sz w:val="22"/>
          <w:szCs w:val="22"/>
        </w:rPr>
        <w:t>Erysipelothrix</w:t>
      </w:r>
      <w:proofErr w:type="spellEnd"/>
      <w:r w:rsidRPr="00920B3E">
        <w:rPr>
          <w:i/>
          <w:sz w:val="22"/>
          <w:szCs w:val="22"/>
        </w:rPr>
        <w:t xml:space="preserve"> </w:t>
      </w:r>
      <w:proofErr w:type="spellStart"/>
      <w:r w:rsidRPr="00920B3E">
        <w:rPr>
          <w:i/>
          <w:sz w:val="22"/>
          <w:szCs w:val="22"/>
        </w:rPr>
        <w:t>rhusiopathiae</w:t>
      </w:r>
      <w:proofErr w:type="spellEnd"/>
      <w:r>
        <w:rPr>
          <w:sz w:val="22"/>
          <w:szCs w:val="22"/>
        </w:rPr>
        <w:t>, kmene M2 (</w:t>
      </w:r>
      <w:proofErr w:type="spellStart"/>
      <w:r>
        <w:rPr>
          <w:sz w:val="22"/>
          <w:szCs w:val="22"/>
        </w:rPr>
        <w:t>serotyp</w:t>
      </w:r>
      <w:proofErr w:type="spellEnd"/>
      <w:r>
        <w:rPr>
          <w:sz w:val="22"/>
          <w:szCs w:val="22"/>
        </w:rPr>
        <w:t xml:space="preserve"> 2) a kmen 014 </w:t>
      </w:r>
      <w:proofErr w:type="spellStart"/>
      <w:r>
        <w:rPr>
          <w:sz w:val="22"/>
          <w:szCs w:val="22"/>
        </w:rPr>
        <w:t>parvoviru</w:t>
      </w:r>
      <w:proofErr w:type="spellEnd"/>
      <w:r>
        <w:rPr>
          <w:sz w:val="22"/>
          <w:szCs w:val="22"/>
        </w:rPr>
        <w:t xml:space="preserve"> prasat pomnožený na buněčných kulturách. Oba antigeny jsou včleněny do vodného adjuvans na bázi tokoferolu pro zvýšení prodloužené stimulace imunity. Tyto antigeny navozují tvorbu specifických protilátek bez toho, aby se v organizmu vakcinovaného jedince pomnožily. Po aplikaci do těla vakcinovaného jedince se aktivuje celá řada obranných mechanismů organismu zabraňujících následnému rozvinutí onemocnění po nakažení terénní infekcí. </w:t>
      </w:r>
    </w:p>
    <w:p w14:paraId="67CA5319" w14:textId="77777777" w:rsidR="00F93A07" w:rsidRDefault="00F93A07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Chráněnost proti července a </w:t>
      </w:r>
      <w:proofErr w:type="spellStart"/>
      <w:r>
        <w:rPr>
          <w:sz w:val="22"/>
          <w:szCs w:val="22"/>
        </w:rPr>
        <w:t>parvoviróze</w:t>
      </w:r>
      <w:proofErr w:type="spellEnd"/>
      <w:r>
        <w:rPr>
          <w:sz w:val="22"/>
          <w:szCs w:val="22"/>
        </w:rPr>
        <w:t xml:space="preserve"> prasat musí být dosažena u prasniček před prvním připouštěním.  Jedna dávka nejpozději 2 týdny před prvním připuštěním dostatečně chrání po následující dvě březosti před poškozením způsobeným </w:t>
      </w:r>
      <w:proofErr w:type="spellStart"/>
      <w:r>
        <w:rPr>
          <w:sz w:val="22"/>
          <w:szCs w:val="22"/>
        </w:rPr>
        <w:t>parvovirem</w:t>
      </w:r>
      <w:proofErr w:type="spellEnd"/>
      <w:r>
        <w:rPr>
          <w:sz w:val="22"/>
          <w:szCs w:val="22"/>
        </w:rPr>
        <w:t xml:space="preserve"> prasat.  K navození ochrany proti července je nezbytná dvojí vakcinace jako základ, imunita proti července trvá nejméně 6 měsíců.</w:t>
      </w:r>
    </w:p>
    <w:p w14:paraId="57E2DA85" w14:textId="40D3629D" w:rsidR="00F93A07" w:rsidRDefault="00F93A07" w:rsidP="00F93A07">
      <w:pPr>
        <w:rPr>
          <w:b/>
          <w:sz w:val="22"/>
        </w:rPr>
      </w:pPr>
    </w:p>
    <w:p w14:paraId="087B0452" w14:textId="77777777" w:rsidR="003E40D4" w:rsidRDefault="003E40D4" w:rsidP="00F93A07">
      <w:pPr>
        <w:rPr>
          <w:b/>
          <w:sz w:val="22"/>
        </w:rPr>
      </w:pPr>
    </w:p>
    <w:p w14:paraId="34E6047F" w14:textId="77777777" w:rsidR="00F93A07" w:rsidRDefault="00F93A07" w:rsidP="00F93A07">
      <w:pPr>
        <w:numPr>
          <w:ilvl w:val="0"/>
          <w:numId w:val="2"/>
        </w:numPr>
        <w:tabs>
          <w:tab w:val="num" w:pos="567"/>
        </w:tabs>
        <w:ind w:hanging="720"/>
        <w:rPr>
          <w:b/>
          <w:sz w:val="22"/>
        </w:rPr>
      </w:pPr>
      <w:r>
        <w:rPr>
          <w:b/>
          <w:sz w:val="22"/>
        </w:rPr>
        <w:t>FARMACEUTICKÉ ÚDAJE</w:t>
      </w:r>
    </w:p>
    <w:p w14:paraId="7747505A" w14:textId="77777777" w:rsidR="00F93A07" w:rsidRDefault="00F93A07" w:rsidP="00F93A07">
      <w:pPr>
        <w:rPr>
          <w:b/>
          <w:sz w:val="22"/>
        </w:rPr>
      </w:pPr>
    </w:p>
    <w:p w14:paraId="05E29332" w14:textId="77777777" w:rsidR="00F93A07" w:rsidRDefault="00F93A07" w:rsidP="00F93A07">
      <w:pPr>
        <w:numPr>
          <w:ilvl w:val="1"/>
          <w:numId w:val="3"/>
        </w:numPr>
        <w:tabs>
          <w:tab w:val="num" w:pos="567"/>
        </w:tabs>
        <w:ind w:hanging="720"/>
        <w:rPr>
          <w:b/>
          <w:sz w:val="22"/>
        </w:rPr>
      </w:pPr>
      <w:r>
        <w:rPr>
          <w:b/>
          <w:sz w:val="22"/>
          <w:szCs w:val="22"/>
        </w:rPr>
        <w:t>Seznam pomocných látek</w:t>
      </w:r>
      <w:r>
        <w:rPr>
          <w:spacing w:val="-2"/>
          <w:sz w:val="22"/>
        </w:rPr>
        <w:t xml:space="preserve"> </w:t>
      </w:r>
    </w:p>
    <w:p w14:paraId="1D6304FA" w14:textId="77777777" w:rsidR="003E40D4" w:rsidRDefault="003E40D4" w:rsidP="00F93A07">
      <w:pPr>
        <w:ind w:firstLine="567"/>
        <w:rPr>
          <w:spacing w:val="-2"/>
          <w:sz w:val="22"/>
        </w:rPr>
      </w:pPr>
    </w:p>
    <w:p w14:paraId="60359A70" w14:textId="726164C0" w:rsidR="00F93A07" w:rsidRDefault="00F93A07" w:rsidP="00F93A07">
      <w:pPr>
        <w:ind w:firstLine="567"/>
        <w:rPr>
          <w:spacing w:val="-2"/>
          <w:sz w:val="22"/>
        </w:rPr>
      </w:pPr>
      <w:proofErr w:type="spellStart"/>
      <w:r>
        <w:rPr>
          <w:spacing w:val="-2"/>
          <w:sz w:val="22"/>
        </w:rPr>
        <w:t>polysorbát</w:t>
      </w:r>
      <w:proofErr w:type="spellEnd"/>
      <w:r>
        <w:rPr>
          <w:spacing w:val="-2"/>
          <w:sz w:val="22"/>
        </w:rPr>
        <w:t xml:space="preserve"> 80</w:t>
      </w:r>
    </w:p>
    <w:p w14:paraId="03729A26" w14:textId="77777777" w:rsidR="00F93A07" w:rsidRDefault="00F93A07" w:rsidP="00F93A07">
      <w:pPr>
        <w:ind w:firstLine="567"/>
        <w:rPr>
          <w:spacing w:val="-2"/>
          <w:sz w:val="22"/>
        </w:rPr>
      </w:pPr>
      <w:proofErr w:type="spellStart"/>
      <w:r>
        <w:rPr>
          <w:spacing w:val="-2"/>
          <w:sz w:val="22"/>
        </w:rPr>
        <w:t>trometamol</w:t>
      </w:r>
      <w:proofErr w:type="spellEnd"/>
    </w:p>
    <w:p w14:paraId="5E906704" w14:textId="77777777" w:rsidR="00F93A07" w:rsidRDefault="00F93A07" w:rsidP="00F93A07">
      <w:pPr>
        <w:ind w:firstLine="567"/>
        <w:rPr>
          <w:spacing w:val="-2"/>
          <w:sz w:val="22"/>
        </w:rPr>
      </w:pPr>
      <w:r>
        <w:rPr>
          <w:spacing w:val="-2"/>
          <w:sz w:val="22"/>
        </w:rPr>
        <w:t>chlorid sodný</w:t>
      </w:r>
    </w:p>
    <w:p w14:paraId="22141972" w14:textId="1B5EB280" w:rsidR="00F93A07" w:rsidRDefault="00F93A07" w:rsidP="00F93A07">
      <w:pPr>
        <w:ind w:firstLine="567"/>
        <w:rPr>
          <w:spacing w:val="-2"/>
          <w:sz w:val="22"/>
        </w:rPr>
      </w:pPr>
      <w:proofErr w:type="spellStart"/>
      <w:r>
        <w:rPr>
          <w:spacing w:val="-2"/>
          <w:sz w:val="22"/>
        </w:rPr>
        <w:t>simetikon</w:t>
      </w:r>
      <w:proofErr w:type="spellEnd"/>
    </w:p>
    <w:p w14:paraId="1AF29DF6" w14:textId="7400DC4B" w:rsidR="006D006F" w:rsidRDefault="006D006F" w:rsidP="00F93A07">
      <w:pPr>
        <w:ind w:firstLine="567"/>
        <w:rPr>
          <w:spacing w:val="-2"/>
          <w:sz w:val="22"/>
        </w:rPr>
      </w:pPr>
      <w:r>
        <w:rPr>
          <w:spacing w:val="-2"/>
          <w:sz w:val="22"/>
        </w:rPr>
        <w:t>kyselina chlorovodíková</w:t>
      </w:r>
    </w:p>
    <w:p w14:paraId="7820FA96" w14:textId="3D86BBF8" w:rsidR="00F93A07" w:rsidRDefault="00F93A07" w:rsidP="00F93A07">
      <w:pPr>
        <w:ind w:firstLine="567"/>
        <w:rPr>
          <w:spacing w:val="-2"/>
          <w:sz w:val="22"/>
        </w:rPr>
      </w:pPr>
      <w:r>
        <w:rPr>
          <w:spacing w:val="-2"/>
          <w:sz w:val="22"/>
        </w:rPr>
        <w:t xml:space="preserve">voda </w:t>
      </w:r>
      <w:r w:rsidR="008C1C27">
        <w:rPr>
          <w:spacing w:val="-2"/>
          <w:sz w:val="22"/>
        </w:rPr>
        <w:t xml:space="preserve">pro </w:t>
      </w:r>
      <w:r>
        <w:rPr>
          <w:spacing w:val="-2"/>
          <w:sz w:val="22"/>
        </w:rPr>
        <w:t>injekci</w:t>
      </w:r>
    </w:p>
    <w:p w14:paraId="243A33F8" w14:textId="77777777" w:rsidR="00F93A07" w:rsidRDefault="00F93A07" w:rsidP="00F93A07">
      <w:pPr>
        <w:ind w:firstLine="567"/>
        <w:rPr>
          <w:sz w:val="22"/>
        </w:rPr>
      </w:pPr>
    </w:p>
    <w:p w14:paraId="67E88516" w14:textId="74E600DE" w:rsidR="00F93A07" w:rsidRDefault="003E40D4" w:rsidP="00F93A07">
      <w:pPr>
        <w:numPr>
          <w:ilvl w:val="1"/>
          <w:numId w:val="3"/>
        </w:numPr>
        <w:tabs>
          <w:tab w:val="num" w:pos="567"/>
        </w:tabs>
        <w:ind w:hanging="720"/>
        <w:rPr>
          <w:b/>
          <w:sz w:val="22"/>
        </w:rPr>
      </w:pPr>
      <w:r>
        <w:rPr>
          <w:b/>
          <w:sz w:val="22"/>
        </w:rPr>
        <w:lastRenderedPageBreak/>
        <w:t>Hlavní inkompatibility</w:t>
      </w:r>
    </w:p>
    <w:p w14:paraId="16D81FF1" w14:textId="77777777" w:rsidR="003E40D4" w:rsidRDefault="003E40D4" w:rsidP="00F93A07">
      <w:pPr>
        <w:pStyle w:val="Retrait1cm"/>
      </w:pPr>
    </w:p>
    <w:p w14:paraId="5E468E95" w14:textId="7AC29B98" w:rsidR="00F93A07" w:rsidRDefault="00F93A07" w:rsidP="00F93A07">
      <w:pPr>
        <w:pStyle w:val="Retrait1cm"/>
      </w:pPr>
      <w:r>
        <w:t>Nemísit s jiným veterinárním léčivým přípravkem.</w:t>
      </w:r>
    </w:p>
    <w:p w14:paraId="53D8D20E" w14:textId="77777777" w:rsidR="00F93A07" w:rsidRDefault="00F93A07" w:rsidP="00F93A07">
      <w:pPr>
        <w:rPr>
          <w:sz w:val="22"/>
        </w:rPr>
      </w:pPr>
    </w:p>
    <w:p w14:paraId="3FFF3A74" w14:textId="77777777" w:rsidR="00F93A07" w:rsidRDefault="00F93A07" w:rsidP="00F93A07">
      <w:pPr>
        <w:numPr>
          <w:ilvl w:val="1"/>
          <w:numId w:val="3"/>
        </w:numPr>
        <w:tabs>
          <w:tab w:val="num" w:pos="567"/>
        </w:tabs>
        <w:ind w:hanging="720"/>
        <w:rPr>
          <w:b/>
          <w:sz w:val="22"/>
        </w:rPr>
      </w:pPr>
      <w:r>
        <w:rPr>
          <w:b/>
          <w:sz w:val="22"/>
        </w:rPr>
        <w:t>Doba použitelnosti</w:t>
      </w:r>
    </w:p>
    <w:p w14:paraId="7A693378" w14:textId="77777777" w:rsidR="003E40D4" w:rsidRDefault="003E40D4" w:rsidP="00F93A07">
      <w:pPr>
        <w:tabs>
          <w:tab w:val="left" w:pos="1134"/>
        </w:tabs>
        <w:ind w:left="2268" w:hanging="1701"/>
        <w:jc w:val="both"/>
        <w:rPr>
          <w:sz w:val="22"/>
          <w:szCs w:val="22"/>
        </w:rPr>
      </w:pPr>
    </w:p>
    <w:p w14:paraId="3D72460A" w14:textId="001CFB59" w:rsidR="00F93A07" w:rsidRDefault="00F93A07" w:rsidP="00F93A07">
      <w:pPr>
        <w:tabs>
          <w:tab w:val="left" w:pos="1134"/>
        </w:tabs>
        <w:ind w:left="2268" w:hanging="1701"/>
        <w:jc w:val="both"/>
        <w:rPr>
          <w:sz w:val="22"/>
          <w:szCs w:val="22"/>
        </w:rPr>
      </w:pPr>
      <w:r>
        <w:rPr>
          <w:sz w:val="22"/>
          <w:szCs w:val="22"/>
        </w:rPr>
        <w:t>Doba použitelnosti veterinárního léčivého přípravku v neporušeném obalu: 2 roky</w:t>
      </w:r>
      <w:r w:rsidR="00EB304C">
        <w:rPr>
          <w:sz w:val="22"/>
          <w:szCs w:val="22"/>
        </w:rPr>
        <w:t>.</w:t>
      </w:r>
    </w:p>
    <w:p w14:paraId="63F5B590" w14:textId="77777777" w:rsidR="00F93A07" w:rsidRDefault="00F93A07" w:rsidP="00F93A07">
      <w:pPr>
        <w:tabs>
          <w:tab w:val="left" w:pos="1134"/>
        </w:tabs>
        <w:ind w:left="2268" w:hanging="1701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prvním otevření vnitřního obalu: 10 hodin.</w:t>
      </w:r>
    </w:p>
    <w:p w14:paraId="64433D89" w14:textId="77777777" w:rsidR="00F93A07" w:rsidRDefault="00F93A07" w:rsidP="00F93A07">
      <w:pPr>
        <w:tabs>
          <w:tab w:val="left" w:pos="1134"/>
        </w:tabs>
        <w:ind w:left="2268" w:hanging="2268"/>
        <w:jc w:val="both"/>
        <w:rPr>
          <w:sz w:val="22"/>
        </w:rPr>
      </w:pPr>
    </w:p>
    <w:p w14:paraId="029CA403" w14:textId="77777777" w:rsidR="00F93A07" w:rsidRDefault="00F93A07" w:rsidP="00F93A07">
      <w:pPr>
        <w:numPr>
          <w:ilvl w:val="1"/>
          <w:numId w:val="3"/>
        </w:numPr>
        <w:tabs>
          <w:tab w:val="num" w:pos="567"/>
        </w:tabs>
        <w:ind w:hanging="720"/>
        <w:rPr>
          <w:b/>
          <w:sz w:val="22"/>
        </w:rPr>
      </w:pPr>
      <w:r>
        <w:rPr>
          <w:b/>
          <w:sz w:val="22"/>
        </w:rPr>
        <w:t>Zvláštní opatření pro uchovávání</w:t>
      </w:r>
    </w:p>
    <w:p w14:paraId="649DCA75" w14:textId="77777777" w:rsidR="003E40D4" w:rsidRDefault="003E40D4" w:rsidP="00F93A07">
      <w:pPr>
        <w:ind w:firstLine="567"/>
        <w:rPr>
          <w:sz w:val="22"/>
          <w:szCs w:val="22"/>
        </w:rPr>
      </w:pPr>
    </w:p>
    <w:p w14:paraId="4E4CC880" w14:textId="30E88E09" w:rsidR="00F93A07" w:rsidRDefault="00F93A07" w:rsidP="00F93A07">
      <w:pPr>
        <w:ind w:firstLine="567"/>
        <w:rPr>
          <w:sz w:val="22"/>
          <w:szCs w:val="22"/>
        </w:rPr>
      </w:pPr>
      <w:r>
        <w:rPr>
          <w:sz w:val="22"/>
          <w:szCs w:val="22"/>
        </w:rPr>
        <w:t>Uchovávejte v chladničce (2</w:t>
      </w:r>
      <w:r>
        <w:rPr>
          <w:sz w:val="22"/>
          <w:szCs w:val="22"/>
        </w:rPr>
        <w:sym w:font="Symbol" w:char="F0B0"/>
      </w:r>
      <w:proofErr w:type="gramStart"/>
      <w:r>
        <w:rPr>
          <w:sz w:val="22"/>
          <w:szCs w:val="22"/>
        </w:rPr>
        <w:t>C – 8</w:t>
      </w:r>
      <w:proofErr w:type="gramEnd"/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C).</w:t>
      </w:r>
    </w:p>
    <w:p w14:paraId="72B4C64B" w14:textId="77777777" w:rsidR="00F93A07" w:rsidRDefault="00F93A07" w:rsidP="00F93A07">
      <w:pPr>
        <w:ind w:firstLine="567"/>
        <w:rPr>
          <w:i/>
          <w:color w:val="008000"/>
          <w:sz w:val="22"/>
          <w:szCs w:val="22"/>
        </w:rPr>
      </w:pPr>
      <w:r>
        <w:rPr>
          <w:sz w:val="22"/>
          <w:szCs w:val="22"/>
        </w:rPr>
        <w:t>Chraňte před mrazem.</w:t>
      </w:r>
    </w:p>
    <w:p w14:paraId="1C281C64" w14:textId="77777777" w:rsidR="00F93A07" w:rsidRDefault="00F93A07" w:rsidP="00F93A07">
      <w:pPr>
        <w:ind w:right="-318" w:firstLine="567"/>
        <w:rPr>
          <w:sz w:val="22"/>
          <w:szCs w:val="22"/>
        </w:rPr>
      </w:pPr>
      <w:r>
        <w:rPr>
          <w:sz w:val="22"/>
          <w:szCs w:val="22"/>
        </w:rPr>
        <w:t>Chraňte před světlem.</w:t>
      </w:r>
    </w:p>
    <w:p w14:paraId="49D5E698" w14:textId="77777777" w:rsidR="00F93A07" w:rsidRDefault="00F93A07" w:rsidP="00F93A07">
      <w:pPr>
        <w:rPr>
          <w:sz w:val="22"/>
        </w:rPr>
      </w:pPr>
    </w:p>
    <w:p w14:paraId="2DFC2CE3" w14:textId="77777777" w:rsidR="00F93A07" w:rsidRDefault="00F93A07" w:rsidP="00F93A07">
      <w:pPr>
        <w:numPr>
          <w:ilvl w:val="1"/>
          <w:numId w:val="3"/>
        </w:numPr>
        <w:tabs>
          <w:tab w:val="num" w:pos="567"/>
        </w:tabs>
        <w:ind w:hanging="720"/>
        <w:rPr>
          <w:b/>
          <w:sz w:val="22"/>
        </w:rPr>
      </w:pPr>
      <w:r>
        <w:rPr>
          <w:b/>
          <w:sz w:val="22"/>
        </w:rPr>
        <w:t>Druh a složení vnitřního obalu</w:t>
      </w:r>
    </w:p>
    <w:p w14:paraId="2C0891E4" w14:textId="77777777" w:rsidR="003E40D4" w:rsidRDefault="003E40D4" w:rsidP="00F93A07">
      <w:pPr>
        <w:tabs>
          <w:tab w:val="num" w:pos="567"/>
        </w:tabs>
        <w:ind w:left="567"/>
        <w:rPr>
          <w:sz w:val="22"/>
          <w:szCs w:val="22"/>
        </w:rPr>
      </w:pPr>
    </w:p>
    <w:p w14:paraId="3E52C7DF" w14:textId="36BC3471" w:rsidR="00F93A07" w:rsidRDefault="00F93A07" w:rsidP="00F93A07">
      <w:pPr>
        <w:tabs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L</w:t>
      </w:r>
      <w:r w:rsidR="00EB304C">
        <w:rPr>
          <w:sz w:val="22"/>
          <w:szCs w:val="22"/>
        </w:rPr>
        <w:t>ahvička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polyethylentereftalátu</w:t>
      </w:r>
      <w:proofErr w:type="spellEnd"/>
      <w:r>
        <w:rPr>
          <w:sz w:val="22"/>
          <w:szCs w:val="22"/>
        </w:rPr>
        <w:t xml:space="preserve"> (PET) uzavřená </w:t>
      </w:r>
      <w:proofErr w:type="spellStart"/>
      <w:r>
        <w:rPr>
          <w:sz w:val="22"/>
          <w:szCs w:val="22"/>
        </w:rPr>
        <w:t>halogenbutylovou</w:t>
      </w:r>
      <w:proofErr w:type="spellEnd"/>
      <w:r>
        <w:rPr>
          <w:sz w:val="22"/>
          <w:szCs w:val="22"/>
        </w:rPr>
        <w:t xml:space="preserve"> gumovou zátkou zajištěnou hliníkovou kódovanou </w:t>
      </w:r>
      <w:proofErr w:type="spellStart"/>
      <w:r>
        <w:rPr>
          <w:sz w:val="22"/>
          <w:szCs w:val="22"/>
        </w:rPr>
        <w:t>pertlí</w:t>
      </w:r>
      <w:proofErr w:type="spellEnd"/>
      <w:r>
        <w:rPr>
          <w:sz w:val="22"/>
          <w:szCs w:val="22"/>
        </w:rPr>
        <w:t>. Vnější přebal papírová krabička. Příbalová informace přiložena.</w:t>
      </w:r>
    </w:p>
    <w:p w14:paraId="08CA93D3" w14:textId="77777777" w:rsidR="00F93A07" w:rsidRDefault="00F93A07" w:rsidP="00F93A07">
      <w:pPr>
        <w:tabs>
          <w:tab w:val="num" w:pos="567"/>
        </w:tabs>
        <w:ind w:left="567"/>
        <w:rPr>
          <w:sz w:val="22"/>
          <w:szCs w:val="22"/>
        </w:rPr>
      </w:pPr>
    </w:p>
    <w:p w14:paraId="5E95C903" w14:textId="77777777" w:rsidR="00F93A07" w:rsidRDefault="00F93A07" w:rsidP="00F93A07">
      <w:pPr>
        <w:tabs>
          <w:tab w:val="num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Velikost balení: 50 ml (25 dávek)</w:t>
      </w:r>
    </w:p>
    <w:p w14:paraId="334D5D3E" w14:textId="77777777" w:rsidR="00F93A07" w:rsidRDefault="00F93A07" w:rsidP="00F93A07">
      <w:pPr>
        <w:rPr>
          <w:sz w:val="22"/>
        </w:rPr>
      </w:pPr>
    </w:p>
    <w:p w14:paraId="39FEF59B" w14:textId="77777777" w:rsidR="00F93A07" w:rsidRDefault="00F93A07" w:rsidP="00F93A07">
      <w:pPr>
        <w:numPr>
          <w:ilvl w:val="1"/>
          <w:numId w:val="3"/>
        </w:numPr>
        <w:ind w:left="567" w:hanging="567"/>
        <w:rPr>
          <w:b/>
          <w:sz w:val="22"/>
        </w:rPr>
      </w:pPr>
      <w:r>
        <w:rPr>
          <w:b/>
          <w:sz w:val="22"/>
        </w:rPr>
        <w:t>Zvláštní opatření pro zneškodňování nepoužitého veterinárního léčivého přípravku nebo odpadu, který pochází z tohoto přípravku</w:t>
      </w:r>
    </w:p>
    <w:p w14:paraId="09DEE734" w14:textId="77777777" w:rsidR="003E40D4" w:rsidRDefault="003E40D4" w:rsidP="00F93A07">
      <w:pPr>
        <w:pStyle w:val="Retrait1cm"/>
      </w:pPr>
    </w:p>
    <w:p w14:paraId="05210C3C" w14:textId="5FD1ACCC" w:rsidR="00F93A07" w:rsidRDefault="00F93A07" w:rsidP="00F93A07">
      <w:pPr>
        <w:pStyle w:val="Retrait1cm"/>
      </w:pPr>
      <w:r>
        <w:t>Všechen nepoužitý veterinární léčivý přípravek nebo odpad, který pochází z tohoto přípravku, musí být likvidován podle místních právních předpisů.</w:t>
      </w:r>
    </w:p>
    <w:p w14:paraId="5FDF13DD" w14:textId="4758683E" w:rsidR="00F93A07" w:rsidRDefault="00F93A07" w:rsidP="00F93A07">
      <w:pPr>
        <w:pStyle w:val="Retrait1cm"/>
      </w:pPr>
    </w:p>
    <w:p w14:paraId="25A3EEC3" w14:textId="77777777" w:rsidR="003E40D4" w:rsidRDefault="003E40D4" w:rsidP="00F93A07">
      <w:pPr>
        <w:pStyle w:val="Retrait1cm"/>
      </w:pPr>
    </w:p>
    <w:p w14:paraId="0C09FCB9" w14:textId="77777777" w:rsidR="00F93A07" w:rsidRDefault="00F93A07" w:rsidP="00F93A07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z w:val="22"/>
          <w:szCs w:val="22"/>
        </w:rPr>
        <w:tab/>
        <w:t xml:space="preserve">DRŽITEL ROZHODNUTÍ O REGISTRACI </w:t>
      </w:r>
    </w:p>
    <w:p w14:paraId="76310D36" w14:textId="77777777" w:rsidR="00F93A07" w:rsidRDefault="00F93A07" w:rsidP="00F93A07">
      <w:pPr>
        <w:ind w:firstLine="567"/>
        <w:jc w:val="both"/>
        <w:rPr>
          <w:sz w:val="22"/>
          <w:lang w:val="sv-SE"/>
        </w:rPr>
      </w:pPr>
      <w:r>
        <w:rPr>
          <w:sz w:val="22"/>
          <w:lang w:val="sv-SE"/>
        </w:rPr>
        <w:t>Intervet International B.V.</w:t>
      </w:r>
    </w:p>
    <w:p w14:paraId="52D4BFCF" w14:textId="77777777" w:rsidR="00F93A07" w:rsidRDefault="00F93A07" w:rsidP="00F93A07">
      <w:pPr>
        <w:ind w:firstLine="567"/>
        <w:jc w:val="both"/>
        <w:rPr>
          <w:sz w:val="22"/>
          <w:lang w:val="sv-SE"/>
        </w:rPr>
      </w:pPr>
      <w:r>
        <w:rPr>
          <w:sz w:val="22"/>
          <w:lang w:val="sv-SE"/>
        </w:rPr>
        <w:t>Wim de Körverstraat 35</w:t>
      </w:r>
    </w:p>
    <w:p w14:paraId="46CF5751" w14:textId="77777777" w:rsidR="00F93A07" w:rsidRDefault="00F93A07" w:rsidP="00F93A07">
      <w:pPr>
        <w:ind w:firstLine="567"/>
        <w:jc w:val="both"/>
        <w:rPr>
          <w:sz w:val="22"/>
        </w:rPr>
      </w:pPr>
      <w:r>
        <w:rPr>
          <w:sz w:val="22"/>
        </w:rPr>
        <w:t>5831 AN BOXMEER</w:t>
      </w:r>
    </w:p>
    <w:p w14:paraId="1B55A694" w14:textId="77777777" w:rsidR="00F93A07" w:rsidRDefault="00F93A07" w:rsidP="00F93A07">
      <w:pPr>
        <w:ind w:firstLine="567"/>
        <w:jc w:val="both"/>
        <w:rPr>
          <w:sz w:val="22"/>
        </w:rPr>
      </w:pPr>
      <w:r>
        <w:rPr>
          <w:sz w:val="22"/>
        </w:rPr>
        <w:t>Nizozemsko</w:t>
      </w:r>
    </w:p>
    <w:p w14:paraId="3FE441AD" w14:textId="1D0B7952" w:rsidR="00F93A07" w:rsidRDefault="00F93A07" w:rsidP="00F93A07">
      <w:pPr>
        <w:pStyle w:val="Bullet"/>
        <w:tabs>
          <w:tab w:val="clear" w:pos="360"/>
          <w:tab w:val="left" w:pos="720"/>
        </w:tabs>
      </w:pPr>
    </w:p>
    <w:p w14:paraId="5C3A0765" w14:textId="77777777" w:rsidR="003E40D4" w:rsidRDefault="003E40D4" w:rsidP="00F93A07">
      <w:pPr>
        <w:pStyle w:val="Bullet"/>
        <w:tabs>
          <w:tab w:val="clear" w:pos="360"/>
          <w:tab w:val="left" w:pos="720"/>
        </w:tabs>
      </w:pPr>
    </w:p>
    <w:p w14:paraId="32B84F62" w14:textId="77777777" w:rsidR="00F93A07" w:rsidRDefault="00F93A07" w:rsidP="00F93A07">
      <w:pPr>
        <w:tabs>
          <w:tab w:val="left" w:pos="567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8.</w:t>
      </w:r>
      <w:r>
        <w:rPr>
          <w:b/>
          <w:caps/>
          <w:sz w:val="22"/>
          <w:szCs w:val="22"/>
        </w:rPr>
        <w:tab/>
        <w:t>Registrační číslo(a)</w:t>
      </w:r>
    </w:p>
    <w:p w14:paraId="63CA2BA8" w14:textId="77777777" w:rsidR="00F93A07" w:rsidRDefault="00F93A07" w:rsidP="00F93A07">
      <w:pPr>
        <w:ind w:left="567"/>
        <w:rPr>
          <w:sz w:val="22"/>
          <w:szCs w:val="22"/>
        </w:rPr>
      </w:pPr>
      <w:r>
        <w:rPr>
          <w:sz w:val="22"/>
          <w:szCs w:val="22"/>
        </w:rPr>
        <w:t>97/608/</w:t>
      </w:r>
      <w:proofErr w:type="gramStart"/>
      <w:r>
        <w:rPr>
          <w:sz w:val="22"/>
          <w:szCs w:val="22"/>
        </w:rPr>
        <w:t>97-C</w:t>
      </w:r>
      <w:proofErr w:type="gramEnd"/>
    </w:p>
    <w:p w14:paraId="5DF9A9B1" w14:textId="393A87E8" w:rsidR="00F93A07" w:rsidRDefault="00F93A07" w:rsidP="00F93A07">
      <w:pPr>
        <w:ind w:left="567"/>
        <w:rPr>
          <w:sz w:val="22"/>
          <w:szCs w:val="22"/>
        </w:rPr>
      </w:pPr>
    </w:p>
    <w:p w14:paraId="157C9D6F" w14:textId="77777777" w:rsidR="003E40D4" w:rsidRDefault="003E40D4" w:rsidP="00F93A07">
      <w:pPr>
        <w:ind w:left="567"/>
        <w:rPr>
          <w:sz w:val="22"/>
          <w:szCs w:val="22"/>
        </w:rPr>
      </w:pPr>
    </w:p>
    <w:p w14:paraId="4DEFC716" w14:textId="77777777" w:rsidR="00F93A07" w:rsidRDefault="00F93A07" w:rsidP="00F93A07">
      <w:pPr>
        <w:tabs>
          <w:tab w:val="left" w:pos="567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9.</w:t>
      </w:r>
      <w:r>
        <w:rPr>
          <w:b/>
          <w:caps/>
          <w:sz w:val="22"/>
          <w:szCs w:val="22"/>
        </w:rPr>
        <w:tab/>
        <w:t>Datum registrace/ prodloužení registrace</w:t>
      </w:r>
    </w:p>
    <w:p w14:paraId="02B58464" w14:textId="77777777" w:rsidR="00F93A07" w:rsidRDefault="00F93A07" w:rsidP="00F93A07">
      <w:pPr>
        <w:ind w:firstLine="567"/>
        <w:rPr>
          <w:sz w:val="22"/>
          <w:szCs w:val="22"/>
        </w:rPr>
      </w:pPr>
      <w:r>
        <w:rPr>
          <w:sz w:val="22"/>
          <w:szCs w:val="22"/>
        </w:rPr>
        <w:t>07/1997; 19.4.2002 / 8.4.2008</w:t>
      </w:r>
    </w:p>
    <w:p w14:paraId="08A4AB4D" w14:textId="68B0701B" w:rsidR="00F93A07" w:rsidRDefault="00F93A07" w:rsidP="00F93A07">
      <w:pPr>
        <w:rPr>
          <w:sz w:val="22"/>
          <w:szCs w:val="22"/>
        </w:rPr>
      </w:pPr>
    </w:p>
    <w:p w14:paraId="2D5631F0" w14:textId="77777777" w:rsidR="007347AF" w:rsidRDefault="00F93A07" w:rsidP="007347AF">
      <w:pPr>
        <w:tabs>
          <w:tab w:val="left" w:pos="567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10. </w:t>
      </w:r>
      <w:r>
        <w:rPr>
          <w:b/>
          <w:caps/>
          <w:sz w:val="22"/>
          <w:szCs w:val="22"/>
        </w:rPr>
        <w:tab/>
        <w:t>DATUM REVIZE TEXTU</w:t>
      </w:r>
    </w:p>
    <w:p w14:paraId="64E297FE" w14:textId="51B47B8E" w:rsidR="00F93A07" w:rsidRPr="007347AF" w:rsidRDefault="007347AF" w:rsidP="007347AF">
      <w:pPr>
        <w:tabs>
          <w:tab w:val="left" w:pos="567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 w:rsidR="00AA2206">
        <w:rPr>
          <w:bCs/>
          <w:sz w:val="22"/>
          <w:szCs w:val="22"/>
        </w:rPr>
        <w:t>Únor 2023</w:t>
      </w:r>
    </w:p>
    <w:p w14:paraId="03DC190D" w14:textId="77777777" w:rsidR="00F93A07" w:rsidRDefault="00F93A07" w:rsidP="00F93A07">
      <w:pPr>
        <w:rPr>
          <w:bCs/>
          <w:sz w:val="22"/>
          <w:szCs w:val="22"/>
        </w:rPr>
      </w:pPr>
    </w:p>
    <w:p w14:paraId="63EDE6C1" w14:textId="77777777" w:rsidR="00F93A07" w:rsidRDefault="00F93A07" w:rsidP="00F93A07">
      <w:pPr>
        <w:rPr>
          <w:caps/>
          <w:sz w:val="22"/>
          <w:lang w:eastAsia="en-US"/>
        </w:rPr>
      </w:pPr>
      <w:r>
        <w:rPr>
          <w:b/>
          <w:caps/>
          <w:sz w:val="22"/>
          <w:lang w:eastAsia="en-US"/>
        </w:rPr>
        <w:t>Zákaz prodeje, výdeje a/nebo použití</w:t>
      </w:r>
    </w:p>
    <w:p w14:paraId="38BA6124" w14:textId="77777777" w:rsidR="00F93A07" w:rsidRDefault="00F93A07" w:rsidP="00F93A07">
      <w:pPr>
        <w:ind w:left="567" w:hanging="567"/>
        <w:rPr>
          <w:sz w:val="22"/>
          <w:lang w:eastAsia="en-US"/>
        </w:rPr>
      </w:pPr>
      <w:r>
        <w:rPr>
          <w:sz w:val="22"/>
          <w:lang w:eastAsia="en-US"/>
        </w:rPr>
        <w:t>Neuplatňuje se.</w:t>
      </w:r>
    </w:p>
    <w:p w14:paraId="612D728D" w14:textId="77777777" w:rsidR="00F93A07" w:rsidRDefault="00F93A07" w:rsidP="00F93A07">
      <w:pPr>
        <w:rPr>
          <w:bCs/>
          <w:sz w:val="22"/>
          <w:szCs w:val="22"/>
        </w:rPr>
      </w:pPr>
    </w:p>
    <w:p w14:paraId="0E120DBA" w14:textId="77777777" w:rsidR="008C1C27" w:rsidRPr="00920B3E" w:rsidRDefault="008C1C27" w:rsidP="008C1C27">
      <w:pPr>
        <w:rPr>
          <w:b/>
          <w:bCs/>
          <w:sz w:val="22"/>
          <w:szCs w:val="22"/>
        </w:rPr>
      </w:pPr>
      <w:r w:rsidRPr="00920B3E">
        <w:rPr>
          <w:b/>
          <w:bCs/>
          <w:sz w:val="22"/>
          <w:szCs w:val="22"/>
        </w:rPr>
        <w:t>DALŠÍ INFORMACE</w:t>
      </w:r>
    </w:p>
    <w:p w14:paraId="2156F339" w14:textId="48CFF818" w:rsidR="00476E0D" w:rsidRPr="00920B3E" w:rsidRDefault="008C1C27">
      <w:pPr>
        <w:rPr>
          <w:sz w:val="22"/>
          <w:szCs w:val="22"/>
        </w:rPr>
      </w:pPr>
      <w:r w:rsidRPr="00920B3E">
        <w:rPr>
          <w:sz w:val="22"/>
          <w:szCs w:val="22"/>
        </w:rPr>
        <w:t>Veterinární léčivý přípravek je vydáván pouze na předpis.</w:t>
      </w:r>
    </w:p>
    <w:sectPr w:rsidR="00476E0D" w:rsidRPr="0092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8D91" w14:textId="77777777" w:rsidR="009619EC" w:rsidRDefault="009619EC" w:rsidP="00F93A07">
      <w:r>
        <w:separator/>
      </w:r>
    </w:p>
  </w:endnote>
  <w:endnote w:type="continuationSeparator" w:id="0">
    <w:p w14:paraId="68F7963E" w14:textId="77777777" w:rsidR="009619EC" w:rsidRDefault="009619EC" w:rsidP="00F9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CAE4" w14:textId="77777777" w:rsidR="009619EC" w:rsidRDefault="009619EC" w:rsidP="00F93A07">
      <w:r>
        <w:separator/>
      </w:r>
    </w:p>
  </w:footnote>
  <w:footnote w:type="continuationSeparator" w:id="0">
    <w:p w14:paraId="0364AD52" w14:textId="77777777" w:rsidR="009619EC" w:rsidRDefault="009619EC" w:rsidP="00F9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C4B"/>
    <w:multiLevelType w:val="hybridMultilevel"/>
    <w:tmpl w:val="ECC02BB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207DB"/>
    <w:multiLevelType w:val="multilevel"/>
    <w:tmpl w:val="3BD0F3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9E32362"/>
    <w:multiLevelType w:val="multilevel"/>
    <w:tmpl w:val="55C8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DE"/>
    <w:rsid w:val="00082FFF"/>
    <w:rsid w:val="00204CE0"/>
    <w:rsid w:val="00282C93"/>
    <w:rsid w:val="00295124"/>
    <w:rsid w:val="00305570"/>
    <w:rsid w:val="003E40D4"/>
    <w:rsid w:val="003F50C9"/>
    <w:rsid w:val="0044404D"/>
    <w:rsid w:val="004826F4"/>
    <w:rsid w:val="00503832"/>
    <w:rsid w:val="00570D8F"/>
    <w:rsid w:val="006041F3"/>
    <w:rsid w:val="0061511C"/>
    <w:rsid w:val="006848A2"/>
    <w:rsid w:val="006D006F"/>
    <w:rsid w:val="00702449"/>
    <w:rsid w:val="007347AF"/>
    <w:rsid w:val="008250F3"/>
    <w:rsid w:val="00834D08"/>
    <w:rsid w:val="0087095A"/>
    <w:rsid w:val="008C1C27"/>
    <w:rsid w:val="00920B3E"/>
    <w:rsid w:val="009619EC"/>
    <w:rsid w:val="00AA2206"/>
    <w:rsid w:val="00B33891"/>
    <w:rsid w:val="00BD44DE"/>
    <w:rsid w:val="00C20DFD"/>
    <w:rsid w:val="00D057C3"/>
    <w:rsid w:val="00D25870"/>
    <w:rsid w:val="00D422D1"/>
    <w:rsid w:val="00E54D17"/>
    <w:rsid w:val="00E606B7"/>
    <w:rsid w:val="00EB304C"/>
    <w:rsid w:val="00ED6D92"/>
    <w:rsid w:val="00F91B27"/>
    <w:rsid w:val="00F93A07"/>
    <w:rsid w:val="00FE12F4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17B5"/>
  <w15:docId w15:val="{3F9AF200-1437-4B37-9B5D-4A87E95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3A0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A07"/>
  </w:style>
  <w:style w:type="paragraph" w:styleId="Zpat">
    <w:name w:val="footer"/>
    <w:basedOn w:val="Normln"/>
    <w:link w:val="ZpatChar"/>
    <w:uiPriority w:val="99"/>
    <w:unhideWhenUsed/>
    <w:rsid w:val="00F93A0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A07"/>
  </w:style>
  <w:style w:type="paragraph" w:styleId="Zkladntext">
    <w:name w:val="Body Text"/>
    <w:basedOn w:val="Normln"/>
    <w:link w:val="ZkladntextChar"/>
    <w:semiHidden/>
    <w:unhideWhenUsed/>
    <w:rsid w:val="00F93A07"/>
    <w:pPr>
      <w:ind w:left="567" w:hanging="567"/>
      <w:jc w:val="both"/>
    </w:pPr>
    <w:rPr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F93A07"/>
    <w:rPr>
      <w:rFonts w:ascii="Times New Roman" w:eastAsia="Times New Roman" w:hAnsi="Times New Roman" w:cs="Times New Roman"/>
      <w:szCs w:val="20"/>
      <w:lang w:val="cs-CZ"/>
    </w:rPr>
  </w:style>
  <w:style w:type="paragraph" w:customStyle="1" w:styleId="Bullet">
    <w:name w:val="Bullet"/>
    <w:basedOn w:val="Normln"/>
    <w:rsid w:val="00F93A07"/>
    <w:pPr>
      <w:tabs>
        <w:tab w:val="num" w:pos="360"/>
      </w:tabs>
    </w:pPr>
    <w:rPr>
      <w:sz w:val="22"/>
      <w:lang w:eastAsia="en-US"/>
    </w:rPr>
  </w:style>
  <w:style w:type="paragraph" w:customStyle="1" w:styleId="Retrait1cm">
    <w:name w:val="Retrait1cm"/>
    <w:basedOn w:val="Normln"/>
    <w:autoRedefine/>
    <w:rsid w:val="00F93A07"/>
    <w:pPr>
      <w:tabs>
        <w:tab w:val="left" w:leader="dot" w:pos="6804"/>
        <w:tab w:val="left" w:pos="7938"/>
      </w:tabs>
      <w:ind w:left="567"/>
    </w:pPr>
    <w:rPr>
      <w:sz w:val="22"/>
      <w:szCs w:val="22"/>
    </w:rPr>
  </w:style>
  <w:style w:type="paragraph" w:customStyle="1" w:styleId="spc2Char">
    <w:name w:val="spc2 Char"/>
    <w:basedOn w:val="Normln"/>
    <w:rsid w:val="00F93A07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ind w:left="567"/>
    </w:pPr>
    <w:rPr>
      <w:sz w:val="22"/>
      <w:lang w:val="en-US" w:eastAsia="en-US"/>
    </w:rPr>
  </w:style>
  <w:style w:type="paragraph" w:customStyle="1" w:styleId="KopSEC">
    <w:name w:val="Kop SEC"/>
    <w:rsid w:val="00F93A07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spacing w:after="0" w:line="240" w:lineRule="auto"/>
      <w:jc w:val="both"/>
    </w:pPr>
    <w:rPr>
      <w:rFonts w:ascii="Albertus Medium" w:eastAsia="Times New Roman" w:hAnsi="Albertus Medium" w:cs="Times New Roman"/>
      <w:spacing w:val="-2"/>
      <w:szCs w:val="20"/>
    </w:rPr>
  </w:style>
  <w:style w:type="character" w:customStyle="1" w:styleId="level2">
    <w:name w:val="level 2"/>
    <w:rsid w:val="00F93A07"/>
    <w:rPr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DFD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4D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D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D1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D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D1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71865102-4661-4FF3-B788-51AC33A7C2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968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Kovacova, Marta</dc:creator>
  <cp:keywords/>
  <dc:description/>
  <cp:lastModifiedBy>Malanová Zdeňka</cp:lastModifiedBy>
  <cp:revision>16</cp:revision>
  <cp:lastPrinted>2023-02-15T09:51:00Z</cp:lastPrinted>
  <dcterms:created xsi:type="dcterms:W3CDTF">2019-02-21T17:09:00Z</dcterms:created>
  <dcterms:modified xsi:type="dcterms:W3CDTF">2023-02-15T09:51:00Z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0bb777ad-4742-4f6a-9737-1e3403350726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_AdHocReviewCycleID">
    <vt:i4>-1325832594</vt:i4>
  </property>
  <property fmtid="{D5CDD505-2E9C-101B-9397-08002B2CF9AE}" pid="9" name="_EmailSubject">
    <vt:lpwstr>Porcilis Ery+Parvo - EoP DE/V/xxxx/WS/100</vt:lpwstr>
  </property>
  <property fmtid="{D5CDD505-2E9C-101B-9397-08002B2CF9AE}" pid="10" name="_AuthorEmail">
    <vt:lpwstr>jan.dolezal@merck.com</vt:lpwstr>
  </property>
  <property fmtid="{D5CDD505-2E9C-101B-9397-08002B2CF9AE}" pid="11" name="_AuthorEmailDisplayName">
    <vt:lpwstr>Dolezal, Jan</vt:lpwstr>
  </property>
  <property fmtid="{D5CDD505-2E9C-101B-9397-08002B2CF9AE}" pid="12" name="_PreviousAdHocReviewCycleID">
    <vt:i4>401219483</vt:i4>
  </property>
  <property fmtid="{D5CDD505-2E9C-101B-9397-08002B2CF9AE}" pid="13" name="_ReviewingToolsShownOnce">
    <vt:lpwstr/>
  </property>
</Properties>
</file>