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52717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3985A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C951D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556E207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12A16D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6BBDA8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FBC2AE3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0C6343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ECEBF9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99870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8DE2E8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EABA4D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9DED37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46391D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DF9B1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F4D5FB3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65D458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340E3F2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B75929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8852589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6FDD695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31DD57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A940190" w14:textId="77777777" w:rsidR="000F3A0B" w:rsidRPr="00C75973" w:rsidRDefault="00EE0346" w:rsidP="00C75973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  <w:r w:rsidRPr="00C75973">
        <w:rPr>
          <w:rFonts w:asciiTheme="majorBidi" w:hAnsiTheme="majorBidi" w:cstheme="majorBidi"/>
          <w:b/>
          <w:szCs w:val="22"/>
        </w:rPr>
        <w:t>PŘÍLOHA I</w:t>
      </w:r>
    </w:p>
    <w:p w14:paraId="4B0CD365" w14:textId="77777777" w:rsidR="000F3A0B" w:rsidRPr="00C75973" w:rsidRDefault="000F3A0B" w:rsidP="00C75973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46169A9D" w14:textId="66925F93" w:rsidR="00542B81" w:rsidRDefault="00EE0346" w:rsidP="00C75973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  <w:r w:rsidRPr="00C75973">
        <w:rPr>
          <w:rFonts w:asciiTheme="majorBidi" w:hAnsiTheme="majorBidi" w:cstheme="majorBidi"/>
          <w:b/>
          <w:szCs w:val="22"/>
        </w:rPr>
        <w:t>SOUHRN ÚDAJŮ O PŘÍPRAVKU</w:t>
      </w:r>
    </w:p>
    <w:p w14:paraId="18697B52" w14:textId="77777777" w:rsidR="00542B81" w:rsidRDefault="00542B81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 w:cstheme="majorBidi"/>
          <w:b/>
          <w:szCs w:val="22"/>
        </w:rPr>
        <w:br w:type="page"/>
      </w:r>
    </w:p>
    <w:p w14:paraId="50C9BE32" w14:textId="77777777" w:rsidR="000F3A0B" w:rsidRPr="00C75973" w:rsidRDefault="000F3A0B" w:rsidP="00C75973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</w:p>
    <w:p w14:paraId="6C365977" w14:textId="7BB95CE7" w:rsidR="000F3A0B" w:rsidRPr="00C75973" w:rsidRDefault="00EE0346" w:rsidP="00516231">
      <w:pPr>
        <w:pStyle w:val="Style1"/>
        <w:ind w:left="0" w:firstLine="0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1.</w:t>
      </w:r>
      <w:r w:rsidRPr="00C75973">
        <w:rPr>
          <w:rFonts w:asciiTheme="majorBidi" w:hAnsiTheme="majorBidi" w:cstheme="majorBidi"/>
        </w:rPr>
        <w:tab/>
        <w:t>NÁZEV VETERINÁRNÍHO LÉČIVÉHO PŘÍPRAVKU</w:t>
      </w:r>
    </w:p>
    <w:p w14:paraId="7C1321AA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4FF6548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Rimadyl Palatable 20 mg tablety pro psy</w:t>
      </w:r>
    </w:p>
    <w:p w14:paraId="774B71F3" w14:textId="3FF0685C" w:rsidR="00D63BA1" w:rsidRDefault="00D63BA1" w:rsidP="00C75973">
      <w:pPr>
        <w:pStyle w:val="Style1"/>
        <w:rPr>
          <w:rFonts w:asciiTheme="majorBidi" w:hAnsiTheme="majorBidi" w:cstheme="majorBidi"/>
        </w:rPr>
      </w:pPr>
    </w:p>
    <w:p w14:paraId="04E0663F" w14:textId="77777777" w:rsidR="00FE367E" w:rsidRDefault="00FE367E" w:rsidP="00C75973">
      <w:pPr>
        <w:pStyle w:val="Style1"/>
        <w:rPr>
          <w:rFonts w:asciiTheme="majorBidi" w:hAnsiTheme="majorBidi" w:cstheme="majorBidi"/>
        </w:rPr>
      </w:pPr>
    </w:p>
    <w:p w14:paraId="7CC93870" w14:textId="1D80F533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2.</w:t>
      </w:r>
      <w:r w:rsidRPr="00C75973">
        <w:rPr>
          <w:rFonts w:asciiTheme="majorBidi" w:hAnsiTheme="majorBidi" w:cstheme="majorBidi"/>
        </w:rPr>
        <w:tab/>
        <w:t>KVALITATIVNÍ A KVANTITATIVNÍ SLOŽENÍ</w:t>
      </w:r>
    </w:p>
    <w:p w14:paraId="4E872CA7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2C8E832" w14:textId="77777777" w:rsidR="000F3A0B" w:rsidRPr="00C75973" w:rsidRDefault="00EE034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Jedna tableta obsahuje: </w:t>
      </w:r>
    </w:p>
    <w:p w14:paraId="74C75F53" w14:textId="77777777" w:rsidR="00154FAD" w:rsidRDefault="00154FAD" w:rsidP="00C75973">
      <w:pPr>
        <w:spacing w:line="240" w:lineRule="auto"/>
        <w:rPr>
          <w:rFonts w:asciiTheme="majorBidi" w:hAnsiTheme="majorBidi" w:cstheme="majorBidi"/>
          <w:b/>
          <w:szCs w:val="22"/>
        </w:rPr>
      </w:pPr>
    </w:p>
    <w:p w14:paraId="6080A4B9" w14:textId="2070E819" w:rsidR="000F3A0B" w:rsidRPr="00C75973" w:rsidRDefault="00EE0346" w:rsidP="00C75973">
      <w:pPr>
        <w:spacing w:line="240" w:lineRule="auto"/>
        <w:rPr>
          <w:rFonts w:asciiTheme="majorBidi" w:hAnsiTheme="majorBidi" w:cstheme="majorBidi"/>
          <w:b/>
          <w:szCs w:val="22"/>
        </w:rPr>
      </w:pPr>
      <w:r w:rsidRPr="00C75973">
        <w:rPr>
          <w:rFonts w:asciiTheme="majorBidi" w:hAnsiTheme="majorBidi" w:cstheme="majorBidi"/>
          <w:b/>
          <w:szCs w:val="22"/>
        </w:rPr>
        <w:t>Léčivá látka:</w:t>
      </w:r>
    </w:p>
    <w:p w14:paraId="5E5215F3" w14:textId="77777777" w:rsidR="00154FAD" w:rsidRDefault="00154FAD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423C2FE3" w14:textId="2684C281" w:rsidR="000F3A0B" w:rsidRPr="00C75973" w:rsidRDefault="00EE034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Carprofenum</w:t>
      </w:r>
      <w:proofErr w:type="spellEnd"/>
      <w:r w:rsidR="00270991">
        <w:rPr>
          <w:rFonts w:asciiTheme="majorBidi" w:hAnsiTheme="majorBidi" w:cstheme="majorBidi"/>
          <w:szCs w:val="22"/>
        </w:rPr>
        <w:tab/>
      </w:r>
      <w:r w:rsidRPr="00C75973">
        <w:rPr>
          <w:rFonts w:asciiTheme="majorBidi" w:hAnsiTheme="majorBidi" w:cstheme="majorBidi"/>
          <w:szCs w:val="22"/>
        </w:rPr>
        <w:t xml:space="preserve">20 mg </w:t>
      </w:r>
    </w:p>
    <w:p w14:paraId="63EC56C2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</w:p>
    <w:p w14:paraId="7CC9492F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b/>
          <w:szCs w:val="22"/>
        </w:rPr>
        <w:t>Pomocné látky:</w:t>
      </w:r>
    </w:p>
    <w:p w14:paraId="510981D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</w:tblGrid>
      <w:tr w:rsidR="008C77D4" w:rsidRPr="00C75973" w14:paraId="029DE1CA" w14:textId="77777777" w:rsidTr="00516231">
        <w:tc>
          <w:tcPr>
            <w:tcW w:w="5665" w:type="dxa"/>
            <w:shd w:val="clear" w:color="auto" w:fill="auto"/>
            <w:vAlign w:val="center"/>
          </w:tcPr>
          <w:p w14:paraId="74C5FE92" w14:textId="77777777" w:rsidR="008C77D4" w:rsidRPr="00C75973" w:rsidRDefault="008C77D4" w:rsidP="00C75973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iCs/>
                <w:szCs w:val="22"/>
              </w:rPr>
            </w:pPr>
            <w:r w:rsidRPr="00C75973">
              <w:rPr>
                <w:rFonts w:asciiTheme="majorBidi" w:hAnsiTheme="majorBidi" w:cstheme="majorBidi"/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C77D4" w:rsidRPr="00C75973" w14:paraId="1EE5988F" w14:textId="77777777" w:rsidTr="00516231">
        <w:tc>
          <w:tcPr>
            <w:tcW w:w="5665" w:type="dxa"/>
            <w:shd w:val="clear" w:color="auto" w:fill="auto"/>
          </w:tcPr>
          <w:p w14:paraId="7DEBABAA" w14:textId="77777777" w:rsidR="008C77D4" w:rsidRPr="00C75973" w:rsidRDefault="008C77D4" w:rsidP="00C75973">
            <w:pPr>
              <w:spacing w:before="60" w:after="60" w:line="240" w:lineRule="auto"/>
              <w:ind w:left="567" w:hanging="567"/>
              <w:rPr>
                <w:rFonts w:asciiTheme="majorBidi" w:hAnsiTheme="majorBidi" w:cstheme="majorBidi"/>
                <w:iCs/>
                <w:szCs w:val="22"/>
              </w:rPr>
            </w:pPr>
            <w:r w:rsidRPr="00C75973">
              <w:rPr>
                <w:rFonts w:asciiTheme="majorBidi" w:hAnsiTheme="majorBidi" w:cstheme="majorBidi"/>
                <w:szCs w:val="22"/>
              </w:rPr>
              <w:t>Sušený prášek vepřových jater</w:t>
            </w:r>
          </w:p>
        </w:tc>
      </w:tr>
      <w:tr w:rsidR="008C77D4" w:rsidRPr="00C75973" w14:paraId="0325D4DB" w14:textId="77777777" w:rsidTr="00516231">
        <w:tc>
          <w:tcPr>
            <w:tcW w:w="5665" w:type="dxa"/>
            <w:shd w:val="clear" w:color="auto" w:fill="auto"/>
          </w:tcPr>
          <w:p w14:paraId="691A657C" w14:textId="77777777" w:rsidR="008C77D4" w:rsidRPr="00C75973" w:rsidRDefault="008C77D4" w:rsidP="00C75973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C75973">
              <w:rPr>
                <w:rFonts w:asciiTheme="majorBidi" w:hAnsiTheme="majorBidi" w:cstheme="majorBidi"/>
                <w:szCs w:val="22"/>
              </w:rPr>
              <w:t>Hydrolyzovaný rostlinný protein</w:t>
            </w:r>
          </w:p>
        </w:tc>
      </w:tr>
      <w:tr w:rsidR="008C77D4" w:rsidRPr="00C75973" w14:paraId="01D2F5DC" w14:textId="77777777" w:rsidTr="00516231">
        <w:tc>
          <w:tcPr>
            <w:tcW w:w="5665" w:type="dxa"/>
            <w:shd w:val="clear" w:color="auto" w:fill="auto"/>
          </w:tcPr>
          <w:p w14:paraId="5D63935F" w14:textId="77777777" w:rsidR="008C77D4" w:rsidRPr="00C75973" w:rsidRDefault="008C77D4" w:rsidP="00C75973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C75973">
              <w:rPr>
                <w:rFonts w:asciiTheme="majorBidi" w:hAnsiTheme="majorBidi" w:cstheme="majorBidi"/>
                <w:szCs w:val="22"/>
              </w:rPr>
              <w:t>Kukuřičný škrob</w:t>
            </w:r>
          </w:p>
        </w:tc>
      </w:tr>
      <w:tr w:rsidR="008C77D4" w:rsidRPr="00C75973" w14:paraId="53E6C4AD" w14:textId="77777777" w:rsidTr="00516231">
        <w:tc>
          <w:tcPr>
            <w:tcW w:w="5665" w:type="dxa"/>
            <w:shd w:val="clear" w:color="auto" w:fill="auto"/>
          </w:tcPr>
          <w:p w14:paraId="152EA50F" w14:textId="77777777" w:rsidR="008C77D4" w:rsidRPr="00C75973" w:rsidRDefault="008C77D4" w:rsidP="00C75973">
            <w:pPr>
              <w:spacing w:before="60" w:after="60" w:line="240" w:lineRule="auto"/>
              <w:ind w:left="567" w:hanging="567"/>
              <w:rPr>
                <w:rFonts w:asciiTheme="majorBidi" w:hAnsiTheme="majorBidi" w:cstheme="majorBidi"/>
                <w:iCs/>
                <w:szCs w:val="22"/>
              </w:rPr>
            </w:pPr>
            <w:proofErr w:type="spellStart"/>
            <w:r w:rsidRPr="00C75973">
              <w:rPr>
                <w:rFonts w:asciiTheme="majorBidi" w:hAnsiTheme="majorBidi" w:cstheme="majorBidi"/>
                <w:szCs w:val="22"/>
              </w:rPr>
              <w:t>Monohydrát</w:t>
            </w:r>
            <w:proofErr w:type="spellEnd"/>
            <w:r w:rsidRPr="00C75973">
              <w:rPr>
                <w:rFonts w:asciiTheme="majorBidi" w:hAnsiTheme="majorBidi" w:cstheme="majorBidi"/>
                <w:szCs w:val="22"/>
              </w:rPr>
              <w:t xml:space="preserve"> laktózy</w:t>
            </w:r>
          </w:p>
        </w:tc>
      </w:tr>
      <w:tr w:rsidR="008C77D4" w:rsidRPr="00C75973" w14:paraId="10DF08DB" w14:textId="77777777" w:rsidTr="00516231">
        <w:tc>
          <w:tcPr>
            <w:tcW w:w="5665" w:type="dxa"/>
            <w:shd w:val="clear" w:color="auto" w:fill="auto"/>
          </w:tcPr>
          <w:p w14:paraId="57140E04" w14:textId="77777777" w:rsidR="008C77D4" w:rsidRPr="00C75973" w:rsidRDefault="008C77D4" w:rsidP="00C75973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C75973">
              <w:rPr>
                <w:rFonts w:asciiTheme="majorBidi" w:hAnsiTheme="majorBidi" w:cstheme="majorBidi"/>
                <w:szCs w:val="22"/>
              </w:rPr>
              <w:t>Sacharóza s kukuřičným škrobem</w:t>
            </w:r>
          </w:p>
        </w:tc>
      </w:tr>
      <w:tr w:rsidR="008C77D4" w:rsidRPr="00C75973" w14:paraId="31A3B7CE" w14:textId="77777777" w:rsidTr="00516231">
        <w:tc>
          <w:tcPr>
            <w:tcW w:w="5665" w:type="dxa"/>
            <w:shd w:val="clear" w:color="auto" w:fill="auto"/>
          </w:tcPr>
          <w:p w14:paraId="5763755A" w14:textId="77777777" w:rsidR="008C77D4" w:rsidRPr="00C75973" w:rsidRDefault="008C77D4" w:rsidP="00C75973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C75973">
              <w:rPr>
                <w:rFonts w:asciiTheme="majorBidi" w:hAnsiTheme="majorBidi" w:cstheme="majorBidi"/>
                <w:szCs w:val="22"/>
              </w:rPr>
              <w:t>Pšeničné klíčky</w:t>
            </w:r>
          </w:p>
        </w:tc>
      </w:tr>
      <w:tr w:rsidR="008C77D4" w:rsidRPr="00C75973" w14:paraId="11EF851B" w14:textId="77777777" w:rsidTr="00516231">
        <w:tc>
          <w:tcPr>
            <w:tcW w:w="5665" w:type="dxa"/>
            <w:shd w:val="clear" w:color="auto" w:fill="auto"/>
          </w:tcPr>
          <w:p w14:paraId="70CF2B48" w14:textId="77777777" w:rsidR="008C77D4" w:rsidRPr="00C75973" w:rsidRDefault="008C77D4" w:rsidP="00C75973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proofErr w:type="spellStart"/>
            <w:r w:rsidRPr="00C75973">
              <w:rPr>
                <w:rFonts w:asciiTheme="majorBidi" w:hAnsiTheme="majorBidi" w:cstheme="majorBidi"/>
                <w:szCs w:val="22"/>
              </w:rPr>
              <w:t>Hydrogenfosforečnan</w:t>
            </w:r>
            <w:proofErr w:type="spellEnd"/>
            <w:r w:rsidRPr="00C75973">
              <w:rPr>
                <w:rFonts w:asciiTheme="majorBidi" w:hAnsiTheme="majorBidi" w:cstheme="majorBidi"/>
                <w:szCs w:val="22"/>
              </w:rPr>
              <w:t xml:space="preserve"> vápenatý</w:t>
            </w:r>
          </w:p>
        </w:tc>
      </w:tr>
      <w:tr w:rsidR="008C77D4" w:rsidRPr="00C75973" w14:paraId="5D93330C" w14:textId="77777777" w:rsidTr="00516231">
        <w:tc>
          <w:tcPr>
            <w:tcW w:w="5665" w:type="dxa"/>
            <w:shd w:val="clear" w:color="auto" w:fill="auto"/>
          </w:tcPr>
          <w:p w14:paraId="2CD20F03" w14:textId="77777777" w:rsidR="008C77D4" w:rsidRPr="00C75973" w:rsidRDefault="008C77D4" w:rsidP="00C75973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C75973">
              <w:rPr>
                <w:rFonts w:asciiTheme="majorBidi" w:hAnsiTheme="majorBidi" w:cstheme="majorBidi"/>
                <w:szCs w:val="22"/>
              </w:rPr>
              <w:t>Glukóza, kapalná</w:t>
            </w:r>
          </w:p>
        </w:tc>
      </w:tr>
      <w:tr w:rsidR="008C77D4" w:rsidRPr="00C75973" w14:paraId="6B9E3353" w14:textId="77777777" w:rsidTr="00516231">
        <w:tc>
          <w:tcPr>
            <w:tcW w:w="5665" w:type="dxa"/>
            <w:shd w:val="clear" w:color="auto" w:fill="auto"/>
          </w:tcPr>
          <w:p w14:paraId="731A4193" w14:textId="77777777" w:rsidR="008C77D4" w:rsidRPr="00C75973" w:rsidRDefault="008C77D4" w:rsidP="00C75973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C75973">
              <w:rPr>
                <w:rFonts w:asciiTheme="majorBidi" w:hAnsiTheme="majorBidi" w:cstheme="majorBidi"/>
                <w:szCs w:val="22"/>
              </w:rPr>
              <w:t>Želatina</w:t>
            </w:r>
          </w:p>
        </w:tc>
      </w:tr>
      <w:tr w:rsidR="008C77D4" w:rsidRPr="00C75973" w14:paraId="44B8B7EB" w14:textId="77777777" w:rsidTr="00516231">
        <w:tc>
          <w:tcPr>
            <w:tcW w:w="5665" w:type="dxa"/>
            <w:shd w:val="clear" w:color="auto" w:fill="auto"/>
          </w:tcPr>
          <w:p w14:paraId="2F23EC7E" w14:textId="77777777" w:rsidR="008C77D4" w:rsidRPr="00C75973" w:rsidRDefault="008C77D4" w:rsidP="00C75973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C75973">
              <w:rPr>
                <w:rFonts w:asciiTheme="majorBidi" w:hAnsiTheme="majorBidi" w:cstheme="majorBidi"/>
                <w:szCs w:val="22"/>
              </w:rPr>
              <w:t>Magnesium-stearát</w:t>
            </w:r>
          </w:p>
        </w:tc>
      </w:tr>
    </w:tbl>
    <w:p w14:paraId="0E8E442A" w14:textId="77777777" w:rsidR="007658F2" w:rsidRDefault="007658F2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317E918E" w14:textId="1CE16938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Světlehnědé ochucené tablety s dělící rýhou na jedné straně.</w:t>
      </w:r>
    </w:p>
    <w:p w14:paraId="5FA2CF9F" w14:textId="023A1753" w:rsidR="000F3A0B" w:rsidRDefault="000F3A0B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099D7DE2" w14:textId="77777777" w:rsidR="00FE367E" w:rsidRPr="00C75973" w:rsidRDefault="00FE367E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27C8B7B5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</w:t>
      </w:r>
      <w:r w:rsidRPr="00C75973">
        <w:rPr>
          <w:rFonts w:asciiTheme="majorBidi" w:hAnsiTheme="majorBidi" w:cstheme="majorBidi"/>
        </w:rPr>
        <w:tab/>
        <w:t>KLINICKÉ INFORMACE</w:t>
      </w:r>
    </w:p>
    <w:p w14:paraId="5A3C6EF9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B7A2697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3.1</w:t>
      </w:r>
      <w:r w:rsidRPr="00C75973">
        <w:rPr>
          <w:rFonts w:asciiTheme="majorBidi" w:hAnsiTheme="majorBidi" w:cstheme="majorBidi"/>
        </w:rPr>
        <w:tab/>
        <w:t>Cílové druhy zvířat</w:t>
      </w:r>
    </w:p>
    <w:p w14:paraId="78274A6A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65EC35D" w14:textId="2ED7CF54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Psi</w:t>
      </w:r>
      <w:r w:rsidR="0086282E">
        <w:rPr>
          <w:rFonts w:asciiTheme="majorBidi" w:hAnsiTheme="majorBidi" w:cstheme="majorBidi"/>
          <w:szCs w:val="22"/>
        </w:rPr>
        <w:t>.</w:t>
      </w:r>
    </w:p>
    <w:p w14:paraId="4C798E3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E50CB9C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3.2</w:t>
      </w:r>
      <w:r w:rsidRPr="00C75973">
        <w:rPr>
          <w:rFonts w:asciiTheme="majorBidi" w:hAnsiTheme="majorBidi" w:cstheme="majorBidi"/>
        </w:rPr>
        <w:tab/>
        <w:t>Indikace pro použití pro každý cílový druh zvířat</w:t>
      </w:r>
    </w:p>
    <w:p w14:paraId="2CA0096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5A895DB" w14:textId="505A05EE" w:rsidR="0086282E" w:rsidRPr="00EC00B4" w:rsidRDefault="00EE0346" w:rsidP="0086282E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Analgézie a zmírnění zánětu při chronických muskuloskeletárních onemocněních, např. degenerační onemocnění kloubů. </w:t>
      </w:r>
      <w:bookmarkStart w:id="0" w:name="_Hlk184713052"/>
      <w:r w:rsidR="0086282E">
        <w:rPr>
          <w:rFonts w:asciiTheme="majorBidi" w:hAnsiTheme="majorBidi" w:cstheme="majorBidi"/>
          <w:szCs w:val="22"/>
        </w:rPr>
        <w:t>Veterinární léčivý přípravek</w:t>
      </w:r>
      <w:r w:rsidR="0086282E" w:rsidRPr="00EC00B4">
        <w:rPr>
          <w:rFonts w:asciiTheme="majorBidi" w:hAnsiTheme="majorBidi" w:cstheme="majorBidi"/>
          <w:szCs w:val="22"/>
        </w:rPr>
        <w:t xml:space="preserve"> j</w:t>
      </w:r>
      <w:r w:rsidR="0086282E">
        <w:rPr>
          <w:rFonts w:asciiTheme="majorBidi" w:hAnsiTheme="majorBidi" w:cstheme="majorBidi"/>
          <w:szCs w:val="22"/>
        </w:rPr>
        <w:t>e</w:t>
      </w:r>
      <w:r w:rsidR="0086282E" w:rsidRPr="00EC00B4">
        <w:rPr>
          <w:rFonts w:asciiTheme="majorBidi" w:hAnsiTheme="majorBidi" w:cstheme="majorBidi"/>
          <w:szCs w:val="22"/>
        </w:rPr>
        <w:t xml:space="preserve"> též určen </w:t>
      </w:r>
      <w:r w:rsidR="0086282E">
        <w:rPr>
          <w:rFonts w:asciiTheme="majorBidi" w:hAnsiTheme="majorBidi" w:cstheme="majorBidi"/>
          <w:szCs w:val="22"/>
        </w:rPr>
        <w:t>ke</w:t>
      </w:r>
      <w:r w:rsidR="0086282E" w:rsidRPr="00EC00B4">
        <w:rPr>
          <w:rFonts w:asciiTheme="majorBidi" w:hAnsiTheme="majorBidi" w:cstheme="majorBidi"/>
          <w:szCs w:val="22"/>
        </w:rPr>
        <w:t xml:space="preserve"> tlumení pooperační bolesti.</w:t>
      </w:r>
    </w:p>
    <w:bookmarkEnd w:id="0"/>
    <w:p w14:paraId="04B4BC6D" w14:textId="77777777" w:rsidR="000F3A0B" w:rsidRPr="00C75973" w:rsidRDefault="000F3A0B" w:rsidP="0086282E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24AD480A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3.3</w:t>
      </w:r>
      <w:r w:rsidRPr="00C75973">
        <w:rPr>
          <w:rFonts w:asciiTheme="majorBidi" w:hAnsiTheme="majorBidi" w:cstheme="majorBidi"/>
        </w:rPr>
        <w:tab/>
        <w:t>Kontraindikace</w:t>
      </w:r>
    </w:p>
    <w:p w14:paraId="26B1621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26EDA52" w14:textId="5BBF26CE" w:rsidR="0086282E" w:rsidRPr="00EC00B4" w:rsidRDefault="00EE0346" w:rsidP="0086282E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Čas eliminace nesteroidních antiflogistik včetně karprofenu je u koček delší než u psů a terapeutický index je užší. </w:t>
      </w:r>
      <w:bookmarkStart w:id="1" w:name="_Hlk184713153"/>
      <w:r w:rsidR="0086282E" w:rsidRPr="00EC00B4">
        <w:rPr>
          <w:rFonts w:asciiTheme="majorBidi" w:hAnsiTheme="majorBidi" w:cstheme="majorBidi"/>
          <w:szCs w:val="22"/>
        </w:rPr>
        <w:t xml:space="preserve">Z důvodu nedostatku specifických údajů o použití </w:t>
      </w:r>
      <w:r w:rsidR="0086282E">
        <w:rPr>
          <w:rFonts w:asciiTheme="majorBidi" w:hAnsiTheme="majorBidi" w:cstheme="majorBidi"/>
          <w:szCs w:val="22"/>
        </w:rPr>
        <w:t>tohoto veterinárního léčivého přípravku</w:t>
      </w:r>
      <w:r w:rsidR="0086282E" w:rsidRPr="00EC00B4">
        <w:rPr>
          <w:rFonts w:asciiTheme="majorBidi" w:hAnsiTheme="majorBidi" w:cstheme="majorBidi"/>
          <w:szCs w:val="22"/>
        </w:rPr>
        <w:t xml:space="preserve"> u koček je </w:t>
      </w:r>
      <w:r w:rsidR="0086282E">
        <w:rPr>
          <w:rFonts w:asciiTheme="majorBidi" w:hAnsiTheme="majorBidi" w:cstheme="majorBidi"/>
          <w:szCs w:val="22"/>
        </w:rPr>
        <w:t>jeho</w:t>
      </w:r>
      <w:r w:rsidR="0086282E" w:rsidRPr="00EC00B4">
        <w:rPr>
          <w:rFonts w:asciiTheme="majorBidi" w:hAnsiTheme="majorBidi" w:cstheme="majorBidi"/>
          <w:szCs w:val="22"/>
        </w:rPr>
        <w:t xml:space="preserve"> použití kontraindikov</w:t>
      </w:r>
      <w:r w:rsidR="0086282E">
        <w:rPr>
          <w:rFonts w:asciiTheme="majorBidi" w:hAnsiTheme="majorBidi" w:cstheme="majorBidi"/>
          <w:szCs w:val="22"/>
        </w:rPr>
        <w:t>áno</w:t>
      </w:r>
      <w:r w:rsidR="0086282E" w:rsidRPr="00EC00B4">
        <w:rPr>
          <w:rFonts w:asciiTheme="majorBidi" w:hAnsiTheme="majorBidi" w:cstheme="majorBidi"/>
          <w:szCs w:val="22"/>
        </w:rPr>
        <w:t>.</w:t>
      </w:r>
    </w:p>
    <w:p w14:paraId="61BA4C69" w14:textId="77777777" w:rsidR="0086282E" w:rsidRPr="00EC00B4" w:rsidRDefault="0086282E" w:rsidP="0086282E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 xml:space="preserve">Nepoužívat u zvířat </w:t>
      </w:r>
      <w:r>
        <w:rPr>
          <w:rFonts w:asciiTheme="majorBidi" w:hAnsiTheme="majorBidi" w:cstheme="majorBidi"/>
          <w:szCs w:val="22"/>
        </w:rPr>
        <w:t>s onemocněním</w:t>
      </w:r>
      <w:r w:rsidRPr="00EC00B4">
        <w:rPr>
          <w:rFonts w:asciiTheme="majorBidi" w:hAnsiTheme="majorBidi" w:cstheme="majorBidi"/>
          <w:szCs w:val="22"/>
        </w:rPr>
        <w:t xml:space="preserve"> srd</w:t>
      </w:r>
      <w:r>
        <w:rPr>
          <w:rFonts w:asciiTheme="majorBidi" w:hAnsiTheme="majorBidi" w:cstheme="majorBidi"/>
          <w:szCs w:val="22"/>
        </w:rPr>
        <w:t>ce</w:t>
      </w:r>
      <w:r w:rsidRPr="00EC00B4">
        <w:rPr>
          <w:rFonts w:asciiTheme="majorBidi" w:hAnsiTheme="majorBidi" w:cstheme="majorBidi"/>
          <w:szCs w:val="22"/>
        </w:rPr>
        <w:t xml:space="preserve">, jater nebo ledvin, </w:t>
      </w:r>
      <w:r>
        <w:rPr>
          <w:rFonts w:asciiTheme="majorBidi" w:hAnsiTheme="majorBidi" w:cstheme="majorBidi"/>
          <w:szCs w:val="22"/>
        </w:rPr>
        <w:t>u zvířat s</w:t>
      </w:r>
      <w:r w:rsidRPr="00EC00B4">
        <w:rPr>
          <w:rFonts w:asciiTheme="majorBidi" w:hAnsiTheme="majorBidi" w:cstheme="majorBidi"/>
          <w:szCs w:val="22"/>
        </w:rPr>
        <w:t xml:space="preserve"> možnost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gastrointestinální ulcerace nebo krvácení nebo </w:t>
      </w:r>
      <w:r>
        <w:rPr>
          <w:rFonts w:asciiTheme="majorBidi" w:hAnsiTheme="majorBidi" w:cstheme="majorBidi"/>
          <w:szCs w:val="22"/>
        </w:rPr>
        <w:t>zvířat se</w:t>
      </w:r>
      <w:r w:rsidRPr="00EC00B4">
        <w:rPr>
          <w:rFonts w:asciiTheme="majorBidi" w:hAnsiTheme="majorBidi" w:cstheme="majorBidi"/>
          <w:szCs w:val="22"/>
        </w:rPr>
        <w:t xml:space="preserve"> zjevn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krevní dyskrazi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nebo hypersenzitivit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na </w:t>
      </w:r>
      <w:r>
        <w:rPr>
          <w:rFonts w:asciiTheme="majorBidi" w:hAnsiTheme="majorBidi" w:cstheme="majorBidi"/>
          <w:szCs w:val="22"/>
        </w:rPr>
        <w:t xml:space="preserve">tento veterinární léčivý </w:t>
      </w:r>
      <w:r w:rsidRPr="00EC00B4">
        <w:rPr>
          <w:rFonts w:asciiTheme="majorBidi" w:hAnsiTheme="majorBidi" w:cstheme="majorBidi"/>
          <w:szCs w:val="22"/>
        </w:rPr>
        <w:t>přípravek. Tak jako u ostatních nesteroidních antiflogistik existuje riziko ojedinělých ledvin</w:t>
      </w:r>
      <w:r>
        <w:rPr>
          <w:rFonts w:asciiTheme="majorBidi" w:hAnsiTheme="majorBidi" w:cstheme="majorBidi"/>
          <w:szCs w:val="22"/>
        </w:rPr>
        <w:t>n</w:t>
      </w:r>
      <w:r w:rsidRPr="00EC00B4">
        <w:rPr>
          <w:rFonts w:asciiTheme="majorBidi" w:hAnsiTheme="majorBidi" w:cstheme="majorBidi"/>
          <w:szCs w:val="22"/>
        </w:rPr>
        <w:t xml:space="preserve">ých nebo jaterních nežádoucích reakcí. Nepoužívat v průběhu </w:t>
      </w:r>
      <w:r>
        <w:rPr>
          <w:rFonts w:asciiTheme="majorBidi" w:hAnsiTheme="majorBidi" w:cstheme="majorBidi"/>
          <w:szCs w:val="22"/>
        </w:rPr>
        <w:t>březosti</w:t>
      </w:r>
      <w:r w:rsidRPr="00EC00B4">
        <w:rPr>
          <w:rFonts w:asciiTheme="majorBidi" w:hAnsiTheme="majorBidi" w:cstheme="majorBidi"/>
          <w:szCs w:val="22"/>
        </w:rPr>
        <w:t xml:space="preserve"> a laktace.</w:t>
      </w:r>
    </w:p>
    <w:p w14:paraId="43124311" w14:textId="77777777" w:rsidR="0086282E" w:rsidRPr="00EC00B4" w:rsidRDefault="0086282E" w:rsidP="0086282E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Neaplikovat současně nebo v průběhu (před a po) 24 hodin jiná nesteroidní antiflogistika (NSAID). Některá NSAID mohou být silně vázaná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 a mohou soutěžit s jinými silně vázanými l</w:t>
      </w:r>
      <w:r>
        <w:rPr>
          <w:rFonts w:asciiTheme="majorBidi" w:hAnsiTheme="majorBidi" w:cstheme="majorBidi"/>
          <w:szCs w:val="22"/>
        </w:rPr>
        <w:t>átkami</w:t>
      </w:r>
      <w:r w:rsidRPr="00EC00B4">
        <w:rPr>
          <w:rFonts w:asciiTheme="majorBidi" w:hAnsiTheme="majorBidi" w:cstheme="majorBidi"/>
          <w:szCs w:val="22"/>
        </w:rPr>
        <w:t xml:space="preserve">, což může vyvolat toxický </w:t>
      </w:r>
      <w:r>
        <w:rPr>
          <w:rFonts w:asciiTheme="majorBidi" w:hAnsiTheme="majorBidi" w:cstheme="majorBidi"/>
          <w:szCs w:val="22"/>
        </w:rPr>
        <w:t>účinek</w:t>
      </w:r>
      <w:r w:rsidRPr="00EC00B4">
        <w:rPr>
          <w:rFonts w:asciiTheme="majorBidi" w:hAnsiTheme="majorBidi" w:cstheme="majorBidi"/>
          <w:szCs w:val="22"/>
        </w:rPr>
        <w:t>.</w:t>
      </w:r>
    </w:p>
    <w:bookmarkEnd w:id="1"/>
    <w:p w14:paraId="21310002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FDA1CBF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3.4</w:t>
      </w:r>
      <w:r w:rsidRPr="00C75973">
        <w:rPr>
          <w:rFonts w:asciiTheme="majorBidi" w:hAnsiTheme="majorBidi" w:cstheme="majorBidi"/>
        </w:rPr>
        <w:tab/>
        <w:t>Zvláštní upozornění</w:t>
      </w:r>
    </w:p>
    <w:p w14:paraId="1D8DCB4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F06355B" w14:textId="77777777" w:rsidR="0086282E" w:rsidRPr="00EC00B4" w:rsidRDefault="0086282E" w:rsidP="0086282E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2" w:name="_Hlk184713280"/>
      <w:r w:rsidRPr="00EC00B4">
        <w:rPr>
          <w:rFonts w:asciiTheme="majorBidi" w:hAnsiTheme="majorBidi" w:cstheme="majorBidi"/>
          <w:szCs w:val="22"/>
        </w:rPr>
        <w:t xml:space="preserve">Vzhledem k ochucení </w:t>
      </w:r>
      <w:r>
        <w:rPr>
          <w:rFonts w:asciiTheme="majorBidi" w:hAnsiTheme="majorBidi" w:cstheme="majorBidi"/>
          <w:szCs w:val="22"/>
        </w:rPr>
        <w:t>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je potřebné je</w:t>
      </w:r>
      <w:r>
        <w:rPr>
          <w:rFonts w:asciiTheme="majorBidi" w:hAnsiTheme="majorBidi" w:cstheme="majorBidi"/>
          <w:szCs w:val="22"/>
        </w:rPr>
        <w:t>j</w:t>
      </w:r>
      <w:r w:rsidRPr="00EC00B4">
        <w:rPr>
          <w:rFonts w:asciiTheme="majorBidi" w:hAnsiTheme="majorBidi" w:cstheme="majorBidi"/>
          <w:szCs w:val="22"/>
        </w:rPr>
        <w:t xml:space="preserve"> uchovávat na bezpečném místě. </w:t>
      </w:r>
      <w:r>
        <w:rPr>
          <w:rFonts w:asciiTheme="majorBidi" w:hAnsiTheme="majorBidi" w:cstheme="majorBidi"/>
          <w:szCs w:val="22"/>
        </w:rPr>
        <w:t>P</w:t>
      </w:r>
      <w:r w:rsidRPr="00EC00B4">
        <w:rPr>
          <w:rFonts w:asciiTheme="majorBidi" w:hAnsiTheme="majorBidi" w:cstheme="majorBidi"/>
          <w:szCs w:val="22"/>
        </w:rPr>
        <w:t xml:space="preserve">ožití velkého množství tablet </w:t>
      </w:r>
      <w:r>
        <w:rPr>
          <w:rFonts w:asciiTheme="majorBidi" w:hAnsiTheme="majorBidi" w:cstheme="majorBidi"/>
          <w:szCs w:val="22"/>
        </w:rPr>
        <w:t>může vyvolat</w:t>
      </w:r>
      <w:r w:rsidRPr="00EC00B4">
        <w:rPr>
          <w:rFonts w:asciiTheme="majorBidi" w:hAnsiTheme="majorBidi" w:cstheme="majorBidi"/>
          <w:szCs w:val="22"/>
        </w:rPr>
        <w:t xml:space="preserve"> závažné nežádoucí reakce. Pokud máte podezření, že </w:t>
      </w:r>
      <w:r>
        <w:rPr>
          <w:rFonts w:asciiTheme="majorBidi" w:hAnsiTheme="majorBidi" w:cstheme="majorBidi"/>
          <w:szCs w:val="22"/>
        </w:rPr>
        <w:t>v</w:t>
      </w:r>
      <w:r w:rsidRPr="00EC00B4">
        <w:rPr>
          <w:rFonts w:asciiTheme="majorBidi" w:hAnsiTheme="majorBidi" w:cstheme="majorBidi"/>
          <w:szCs w:val="22"/>
        </w:rPr>
        <w:t xml:space="preserve">áš pes (nebo kočka) požil </w:t>
      </w:r>
      <w:r>
        <w:rPr>
          <w:rFonts w:asciiTheme="majorBidi" w:hAnsiTheme="majorBidi" w:cstheme="majorBidi"/>
          <w:szCs w:val="22"/>
        </w:rPr>
        <w:t>tento 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v dávce vyšší, než je doporučené, kontaktujte veterinárního lékaře.</w:t>
      </w:r>
    </w:p>
    <w:bookmarkEnd w:id="2"/>
    <w:p w14:paraId="590A19B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38A56A0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3.5</w:t>
      </w:r>
      <w:r w:rsidRPr="00C75973">
        <w:rPr>
          <w:rFonts w:asciiTheme="majorBidi" w:hAnsiTheme="majorBidi" w:cstheme="majorBidi"/>
        </w:rPr>
        <w:tab/>
        <w:t>Zvláštní opatření pro použití</w:t>
      </w:r>
    </w:p>
    <w:p w14:paraId="1D2A38B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szCs w:val="22"/>
        </w:rPr>
      </w:pPr>
    </w:p>
    <w:p w14:paraId="77CE1F8A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C75973">
        <w:rPr>
          <w:rFonts w:asciiTheme="majorBidi" w:hAnsiTheme="majorBidi" w:cstheme="majorBidi"/>
          <w:szCs w:val="22"/>
          <w:u w:val="single"/>
        </w:rPr>
        <w:t>Zvláštní opatření pro bezpečné použití u cílových druhů zvířat:</w:t>
      </w:r>
    </w:p>
    <w:p w14:paraId="056CB5E0" w14:textId="77777777" w:rsidR="00866B06" w:rsidRDefault="00866B06" w:rsidP="00B4335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3F92E71" w14:textId="0C3FC4C7" w:rsidR="00B43358" w:rsidRPr="00C75973" w:rsidRDefault="00B43358" w:rsidP="00B4335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Nepřekračovat doporučené dávky.</w:t>
      </w:r>
    </w:p>
    <w:p w14:paraId="51BB8667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Použití u psů mladších než 6 týdnů nebo u starých psů může představovat určité riziko. Pokud je použití nevyhnutelné, tito psi by měli dostat redukovanou dávku a měli by být pozorně klinicky sledováni.</w:t>
      </w:r>
    </w:p>
    <w:p w14:paraId="4A204AB7" w14:textId="77777777" w:rsidR="0086282E" w:rsidRPr="00EC00B4" w:rsidRDefault="0086282E" w:rsidP="0086282E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3" w:name="_Hlk184713330"/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použití u dehydrovaných, </w:t>
      </w:r>
      <w:proofErr w:type="spellStart"/>
      <w:r w:rsidRPr="00EC00B4">
        <w:rPr>
          <w:rFonts w:asciiTheme="majorBidi" w:hAnsiTheme="majorBidi" w:cstheme="majorBidi"/>
          <w:szCs w:val="22"/>
        </w:rPr>
        <w:t>hypovolemických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nebo hypotenzních psů, protože </w:t>
      </w:r>
      <w:r>
        <w:rPr>
          <w:rFonts w:asciiTheme="majorBidi" w:hAnsiTheme="majorBidi" w:cstheme="majorBidi"/>
          <w:szCs w:val="22"/>
        </w:rPr>
        <w:t>existuje</w:t>
      </w:r>
      <w:r w:rsidRPr="00EC00B4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 xml:space="preserve">potenciální </w:t>
      </w:r>
      <w:r w:rsidRPr="00EC00B4">
        <w:rPr>
          <w:rFonts w:asciiTheme="majorBidi" w:hAnsiTheme="majorBidi" w:cstheme="majorBidi"/>
          <w:szCs w:val="22"/>
        </w:rPr>
        <w:t>riziko zvýšen</w:t>
      </w:r>
      <w:r>
        <w:rPr>
          <w:rFonts w:asciiTheme="majorBidi" w:hAnsiTheme="majorBidi" w:cstheme="majorBidi"/>
          <w:szCs w:val="22"/>
        </w:rPr>
        <w:t>é</w:t>
      </w:r>
      <w:r w:rsidRPr="00EC00B4">
        <w:rPr>
          <w:rFonts w:asciiTheme="majorBidi" w:hAnsiTheme="majorBidi" w:cstheme="majorBidi"/>
          <w:szCs w:val="22"/>
        </w:rPr>
        <w:t xml:space="preserve"> renální toxicity.</w:t>
      </w:r>
    </w:p>
    <w:p w14:paraId="53DF362E" w14:textId="77777777" w:rsidR="0086282E" w:rsidRPr="00EC00B4" w:rsidRDefault="0086282E" w:rsidP="0086282E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současné</w:t>
      </w:r>
      <w:r>
        <w:rPr>
          <w:rFonts w:asciiTheme="majorBidi" w:hAnsiTheme="majorBidi" w:cstheme="majorBidi"/>
          <w:szCs w:val="22"/>
        </w:rPr>
        <w:t>mu podání</w:t>
      </w:r>
      <w:r w:rsidRPr="00EC00B4">
        <w:rPr>
          <w:rFonts w:asciiTheme="majorBidi" w:hAnsiTheme="majorBidi" w:cstheme="majorBidi"/>
          <w:szCs w:val="22"/>
        </w:rPr>
        <w:t xml:space="preserve"> potenciálně </w:t>
      </w:r>
      <w:proofErr w:type="spellStart"/>
      <w:r w:rsidRPr="00EC00B4">
        <w:rPr>
          <w:rFonts w:asciiTheme="majorBidi" w:hAnsiTheme="majorBidi" w:cstheme="majorBidi"/>
          <w:szCs w:val="22"/>
        </w:rPr>
        <w:t>nefrotoxických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l</w:t>
      </w:r>
      <w:r>
        <w:rPr>
          <w:rFonts w:asciiTheme="majorBidi" w:hAnsiTheme="majorBidi" w:cstheme="majorBidi"/>
          <w:szCs w:val="22"/>
        </w:rPr>
        <w:t>átek</w:t>
      </w:r>
      <w:r w:rsidRPr="00EC00B4">
        <w:rPr>
          <w:rFonts w:asciiTheme="majorBidi" w:hAnsiTheme="majorBidi" w:cstheme="majorBidi"/>
          <w:szCs w:val="22"/>
        </w:rPr>
        <w:t>.</w:t>
      </w:r>
    </w:p>
    <w:p w14:paraId="352E6B89" w14:textId="77777777" w:rsidR="0086282E" w:rsidRPr="00EC00B4" w:rsidRDefault="0086282E" w:rsidP="0086282E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NSAID mohou způsobit inhibic</w:t>
      </w:r>
      <w:r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fagocytózy, a proto v případě léčby </w:t>
      </w:r>
      <w:r>
        <w:rPr>
          <w:rFonts w:asciiTheme="majorBidi" w:hAnsiTheme="majorBidi" w:cstheme="majorBidi"/>
          <w:szCs w:val="22"/>
        </w:rPr>
        <w:t>zánětu</w:t>
      </w:r>
      <w:r w:rsidRPr="00EC00B4">
        <w:rPr>
          <w:rFonts w:asciiTheme="majorBidi" w:hAnsiTheme="majorBidi" w:cstheme="majorBidi"/>
          <w:szCs w:val="22"/>
        </w:rPr>
        <w:t xml:space="preserve"> spojeného s bakteriální infekcí je nutné zvážit i současné použití antimikrobiální léčby.</w:t>
      </w:r>
    </w:p>
    <w:bookmarkEnd w:id="3"/>
    <w:p w14:paraId="6858C7A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0F01421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C75973">
        <w:rPr>
          <w:rFonts w:asciiTheme="majorBidi" w:hAnsiTheme="majorBidi" w:cstheme="majorBidi"/>
          <w:szCs w:val="22"/>
          <w:u w:val="single"/>
        </w:rPr>
        <w:t>Zvláštní opatření pro osobu, která podává veterinární léčivý přípravek zvířatům:</w:t>
      </w:r>
    </w:p>
    <w:p w14:paraId="0541144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CB2A20F" w14:textId="77777777" w:rsidR="000F3A0B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Žádné.</w:t>
      </w:r>
    </w:p>
    <w:p w14:paraId="08A2E544" w14:textId="77777777" w:rsidR="00B25354" w:rsidRDefault="00B25354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3D55832" w14:textId="77777777" w:rsidR="00C34983" w:rsidRPr="00B22FC6" w:rsidRDefault="00C34983" w:rsidP="00FE367E">
      <w:pPr>
        <w:keepNext/>
        <w:spacing w:line="240" w:lineRule="auto"/>
        <w:jc w:val="both"/>
        <w:rPr>
          <w:rFonts w:asciiTheme="majorBidi" w:hAnsiTheme="majorBidi" w:cstheme="majorBidi"/>
          <w:szCs w:val="22"/>
          <w:u w:val="single"/>
        </w:rPr>
      </w:pPr>
      <w:r w:rsidRPr="00B22FC6">
        <w:rPr>
          <w:rFonts w:asciiTheme="majorBidi" w:hAnsiTheme="majorBidi" w:cstheme="majorBidi"/>
          <w:szCs w:val="22"/>
          <w:u w:val="single"/>
        </w:rPr>
        <w:t>Zvláštní opatření pro ochranu životního prostředí:</w:t>
      </w:r>
    </w:p>
    <w:p w14:paraId="1AA53315" w14:textId="77777777" w:rsidR="00C34983" w:rsidRPr="00B22FC6" w:rsidRDefault="00C34983" w:rsidP="00FE367E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</w:p>
    <w:p w14:paraId="4EA579F4" w14:textId="77777777" w:rsidR="00C34983" w:rsidRPr="00B22FC6" w:rsidRDefault="00C34983" w:rsidP="00C3498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5BFFE5E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322A6B5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3.6</w:t>
      </w:r>
      <w:r w:rsidRPr="00C75973">
        <w:rPr>
          <w:rFonts w:asciiTheme="majorBidi" w:hAnsiTheme="majorBidi" w:cstheme="majorBidi"/>
        </w:rPr>
        <w:tab/>
        <w:t>Nežádoucí účinky</w:t>
      </w:r>
    </w:p>
    <w:p w14:paraId="6362298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7E0B7C1" w14:textId="60BDC17C" w:rsidR="000F3A0B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Psi</w:t>
      </w:r>
      <w:r w:rsidR="00DF7F13">
        <w:rPr>
          <w:rFonts w:asciiTheme="majorBidi" w:hAnsiTheme="majorBidi" w:cstheme="majorBidi"/>
          <w:szCs w:val="22"/>
        </w:rPr>
        <w:t>:</w:t>
      </w:r>
    </w:p>
    <w:p w14:paraId="48A3DDD1" w14:textId="77777777" w:rsidR="00DF7F13" w:rsidRDefault="00DF7F13" w:rsidP="00DF7F1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4"/>
      </w:tblGrid>
      <w:tr w:rsidR="00EC60A1" w:rsidRPr="00B41D57" w14:paraId="608A0320" w14:textId="77777777" w:rsidTr="00F607F2">
        <w:tc>
          <w:tcPr>
            <w:tcW w:w="2344" w:type="pct"/>
          </w:tcPr>
          <w:p w14:paraId="518187B9" w14:textId="77777777" w:rsidR="00DF7F13" w:rsidRPr="00B41D57" w:rsidRDefault="00DF7F13" w:rsidP="00F607F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  <w:tc>
          <w:tcPr>
            <w:tcW w:w="2656" w:type="pct"/>
          </w:tcPr>
          <w:p w14:paraId="71409427" w14:textId="77777777" w:rsidR="00DF7F13" w:rsidRPr="00B41D57" w:rsidRDefault="00DF7F13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jater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  <w:r w:rsidRPr="00D265DB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ledvin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</w:p>
        </w:tc>
      </w:tr>
      <w:tr w:rsidR="00EC60A1" w:rsidRPr="00B41D57" w14:paraId="00BA5332" w14:textId="77777777" w:rsidTr="00F607F2">
        <w:tc>
          <w:tcPr>
            <w:tcW w:w="2344" w:type="pct"/>
          </w:tcPr>
          <w:p w14:paraId="40E4E6E1" w14:textId="77777777" w:rsidR="00DF7F13" w:rsidRPr="00B41D57" w:rsidRDefault="00DF7F13" w:rsidP="00F607F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 1 zvíře</w:t>
            </w:r>
            <w:r w:rsidRPr="00B41D57">
              <w:t xml:space="preserve"> / 10</w:t>
            </w:r>
            <w:r>
              <w:t xml:space="preserve"> </w:t>
            </w:r>
            <w:r w:rsidRPr="00B41D57">
              <w:t>000 ošetřených zvířat, včetně ojedinělých hlášení):</w:t>
            </w:r>
          </w:p>
        </w:tc>
        <w:tc>
          <w:tcPr>
            <w:tcW w:w="2656" w:type="pct"/>
            <w:hideMark/>
          </w:tcPr>
          <w:p w14:paraId="62827CD1" w14:textId="77777777" w:rsidR="0086282E" w:rsidRDefault="0086282E" w:rsidP="0086282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</w:t>
            </w:r>
            <w:r w:rsidRPr="006A4DBE">
              <w:rPr>
                <w:iCs/>
                <w:szCs w:val="22"/>
              </w:rPr>
              <w:t xml:space="preserve">rev </w:t>
            </w:r>
            <w:r>
              <w:rPr>
                <w:iCs/>
                <w:szCs w:val="22"/>
              </w:rPr>
              <w:t>v trusu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průjem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gastrointestinální</w:t>
            </w:r>
          </w:p>
          <w:p w14:paraId="42FB3C56" w14:textId="77777777" w:rsidR="0086282E" w:rsidRDefault="0086282E" w:rsidP="0086282E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A4DBE">
              <w:rPr>
                <w:iCs/>
                <w:szCs w:val="22"/>
              </w:rPr>
              <w:t>ulcerace</w:t>
            </w:r>
            <w:r w:rsidRPr="00F607F2">
              <w:rPr>
                <w:iCs/>
                <w:szCs w:val="22"/>
                <w:vertAlign w:val="superscript"/>
              </w:rPr>
              <w:t>2</w:t>
            </w:r>
            <w:r w:rsidRPr="006A4DBE">
              <w:rPr>
                <w:iCs/>
                <w:szCs w:val="22"/>
              </w:rPr>
              <w:t>, měkk</w:t>
            </w:r>
            <w:r>
              <w:rPr>
                <w:iCs/>
                <w:szCs w:val="22"/>
              </w:rPr>
              <w:t>ý trus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zvracení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  <w:p w14:paraId="544536DE" w14:textId="4F2FD030" w:rsidR="00DF7F13" w:rsidRPr="00B41D57" w:rsidRDefault="0086282E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Pr="006A4DBE">
              <w:rPr>
                <w:iCs/>
                <w:szCs w:val="22"/>
              </w:rPr>
              <w:t>tráta chuti k</w:t>
            </w:r>
            <w:r>
              <w:rPr>
                <w:iCs/>
                <w:szCs w:val="22"/>
              </w:rPr>
              <w:t> příjmu krmiva</w:t>
            </w:r>
            <w:r w:rsidRPr="006A4DBE">
              <w:rPr>
                <w:iCs/>
                <w:szCs w:val="22"/>
              </w:rPr>
              <w:t xml:space="preserve"> 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l</w:t>
            </w:r>
            <w:r w:rsidRPr="006A4DBE">
              <w:rPr>
                <w:iCs/>
                <w:szCs w:val="22"/>
              </w:rPr>
              <w:t>etargie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63BA345A" w14:textId="3A98382C" w:rsidR="00DF7F13" w:rsidRPr="000609EB" w:rsidRDefault="00DF7F13" w:rsidP="00DF7F1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1 </w:t>
      </w:r>
      <w:r w:rsidR="004F6674">
        <w:rPr>
          <w:rFonts w:asciiTheme="majorBidi" w:hAnsiTheme="majorBidi" w:cstheme="majorBidi"/>
          <w:szCs w:val="22"/>
        </w:rPr>
        <w:t>Hlášené jako i</w:t>
      </w:r>
      <w:r w:rsidR="004F6674" w:rsidRPr="000609EB">
        <w:rPr>
          <w:rFonts w:asciiTheme="majorBidi" w:hAnsiTheme="majorBidi" w:cstheme="majorBidi"/>
          <w:szCs w:val="22"/>
        </w:rPr>
        <w:t>diosynkratick</w:t>
      </w:r>
      <w:r w:rsidR="004F6674">
        <w:rPr>
          <w:rFonts w:asciiTheme="majorBidi" w:hAnsiTheme="majorBidi" w:cstheme="majorBidi"/>
          <w:szCs w:val="22"/>
        </w:rPr>
        <w:t>ý</w:t>
      </w:r>
      <w:r w:rsidR="004F6674" w:rsidRPr="000609EB">
        <w:rPr>
          <w:rFonts w:asciiTheme="majorBidi" w:hAnsiTheme="majorBidi" w:cstheme="majorBidi"/>
          <w:szCs w:val="22"/>
        </w:rPr>
        <w:t xml:space="preserve"> </w:t>
      </w:r>
      <w:r w:rsidR="004F6674">
        <w:rPr>
          <w:rFonts w:asciiTheme="majorBidi" w:hAnsiTheme="majorBidi" w:cstheme="majorBidi"/>
          <w:szCs w:val="22"/>
        </w:rPr>
        <w:t>nežádoucí účinek.</w:t>
      </w:r>
    </w:p>
    <w:p w14:paraId="79774D1D" w14:textId="77777777" w:rsidR="00DF7F13" w:rsidRPr="000609EB" w:rsidRDefault="00DF7F13" w:rsidP="00DF7F1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>2</w:t>
      </w:r>
      <w:r w:rsidRPr="000609EB">
        <w:rPr>
          <w:rFonts w:asciiTheme="majorBidi" w:hAnsiTheme="majorBidi" w:cstheme="majorBidi"/>
          <w:szCs w:val="22"/>
        </w:rPr>
        <w:t xml:space="preserve"> Typické nežádoucí účinky spojené s NSAID.</w:t>
      </w:r>
    </w:p>
    <w:p w14:paraId="0C56EAC8" w14:textId="2E6A1C2E" w:rsidR="00DF7F13" w:rsidRPr="00C75973" w:rsidRDefault="00DF7F13" w:rsidP="00DF7F1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3 </w:t>
      </w:r>
      <w:r w:rsidRPr="000609EB">
        <w:rPr>
          <w:rFonts w:asciiTheme="majorBidi" w:hAnsiTheme="majorBidi" w:cstheme="majorBidi"/>
          <w:szCs w:val="22"/>
        </w:rPr>
        <w:t>Vyskytují se během prvního týdne léčby a ve většině případů jsou přechodné a po ukončení léčby vymizí, a</w:t>
      </w:r>
      <w:r w:rsidR="00EA2E9E">
        <w:rPr>
          <w:rFonts w:asciiTheme="majorBidi" w:hAnsiTheme="majorBidi" w:cstheme="majorBidi"/>
          <w:szCs w:val="22"/>
        </w:rPr>
        <w:t>však</w:t>
      </w:r>
      <w:r w:rsidRPr="000609EB">
        <w:rPr>
          <w:rFonts w:asciiTheme="majorBidi" w:hAnsiTheme="majorBidi" w:cstheme="majorBidi"/>
          <w:szCs w:val="22"/>
        </w:rPr>
        <w:t xml:space="preserve"> ve velmi vzácných případech mohou být závažné nebo fatální. Pokud se nežádoucí účinky vyskytnou, je třeba léčbu přerušit a poradit se s veterinárním lékařem.</w:t>
      </w:r>
    </w:p>
    <w:p w14:paraId="12F63411" w14:textId="77777777" w:rsidR="000F3A0B" w:rsidRPr="00C75973" w:rsidRDefault="000F3A0B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59913D7D" w14:textId="5343B15F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bookmarkStart w:id="4" w:name="_Hlk66891708"/>
      <w:r w:rsidRPr="00C75973">
        <w:rPr>
          <w:rFonts w:asciiTheme="majorBidi" w:hAnsiTheme="majorBidi" w:cstheme="majorBidi"/>
          <w:szCs w:val="22"/>
        </w:rPr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Podrobné kontaktní údaje naleznete v příbalové informac</w:t>
      </w:r>
      <w:r w:rsidR="00DF7F13">
        <w:rPr>
          <w:rFonts w:asciiTheme="majorBidi" w:hAnsiTheme="majorBidi" w:cstheme="majorBidi"/>
          <w:szCs w:val="22"/>
        </w:rPr>
        <w:t>i</w:t>
      </w:r>
      <w:r w:rsidRPr="00C75973">
        <w:rPr>
          <w:rFonts w:asciiTheme="majorBidi" w:hAnsiTheme="majorBidi" w:cstheme="majorBidi"/>
          <w:szCs w:val="22"/>
        </w:rPr>
        <w:t>.</w:t>
      </w:r>
    </w:p>
    <w:bookmarkEnd w:id="4"/>
    <w:p w14:paraId="33F0CE6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82C52FD" w14:textId="77777777" w:rsidR="000F3A0B" w:rsidRPr="00C75973" w:rsidRDefault="00EE0346" w:rsidP="00516231">
      <w:pPr>
        <w:pStyle w:val="Style1"/>
        <w:keepNext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3.7</w:t>
      </w:r>
      <w:r w:rsidRPr="00C75973">
        <w:rPr>
          <w:rFonts w:asciiTheme="majorBidi" w:hAnsiTheme="majorBidi" w:cstheme="majorBidi"/>
        </w:rPr>
        <w:tab/>
        <w:t>Použití v průběhu březosti, laktace nebo snášky</w:t>
      </w:r>
    </w:p>
    <w:p w14:paraId="445D8A2A" w14:textId="77777777" w:rsidR="00AC6EE2" w:rsidRDefault="00AC6EE2" w:rsidP="00516231">
      <w:pPr>
        <w:keepNext/>
        <w:spacing w:line="240" w:lineRule="auto"/>
        <w:rPr>
          <w:szCs w:val="22"/>
          <w:u w:val="single"/>
        </w:rPr>
      </w:pPr>
    </w:p>
    <w:p w14:paraId="52450731" w14:textId="52208365" w:rsidR="00AC6EE2" w:rsidRPr="006D55C8" w:rsidRDefault="00AC6EE2" w:rsidP="00AC6EE2">
      <w:pPr>
        <w:spacing w:line="240" w:lineRule="auto"/>
        <w:rPr>
          <w:szCs w:val="22"/>
          <w:u w:val="single"/>
        </w:rPr>
      </w:pPr>
      <w:r w:rsidRPr="006D55C8">
        <w:rPr>
          <w:szCs w:val="22"/>
          <w:u w:val="single"/>
        </w:rPr>
        <w:t>Březost a laktace:</w:t>
      </w:r>
    </w:p>
    <w:p w14:paraId="17788583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5A69EA7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Nebyla stanovena bezpečnost veterinárního léčivého přípravku pro použití během březosti a laktace.</w:t>
      </w:r>
    </w:p>
    <w:p w14:paraId="6755AD65" w14:textId="77777777" w:rsidR="005E6D72" w:rsidRPr="00145347" w:rsidRDefault="005E6D72" w:rsidP="005E6D72">
      <w:pPr>
        <w:rPr>
          <w:szCs w:val="22"/>
        </w:rPr>
      </w:pPr>
      <w:r w:rsidRPr="00145347">
        <w:rPr>
          <w:szCs w:val="22"/>
        </w:rPr>
        <w:t>Nepoužívat během březosti a laktace.</w:t>
      </w:r>
    </w:p>
    <w:p w14:paraId="642118A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4BB8A0B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3.8</w:t>
      </w:r>
      <w:r w:rsidRPr="00C75973">
        <w:rPr>
          <w:rFonts w:asciiTheme="majorBidi" w:hAnsiTheme="majorBidi" w:cstheme="majorBidi"/>
        </w:rPr>
        <w:tab/>
        <w:t>Interakce s jinými léčivými přípravky a další formy interakce</w:t>
      </w:r>
    </w:p>
    <w:p w14:paraId="09ABBDD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249E8A" w14:textId="77777777" w:rsidR="0086282E" w:rsidRPr="00EC00B4" w:rsidRDefault="0086282E" w:rsidP="0086282E">
      <w:pPr>
        <w:keepNext/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5" w:name="_Hlk184713356"/>
      <w:r w:rsidRPr="00EC00B4">
        <w:rPr>
          <w:rFonts w:asciiTheme="majorBidi" w:hAnsiTheme="majorBidi" w:cstheme="majorBidi"/>
          <w:szCs w:val="22"/>
        </w:rPr>
        <w:t xml:space="preserve">U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nebyly popsány žádné významné lékové interakce. Akutní toxicita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u zvířat nebyla v testech s patnácti běžně používanými léčiv</w:t>
      </w:r>
      <w:r>
        <w:rPr>
          <w:rFonts w:asciiTheme="majorBidi" w:hAnsiTheme="majorBidi" w:cstheme="majorBidi"/>
          <w:szCs w:val="22"/>
        </w:rPr>
        <w:t>ými látkami</w:t>
      </w:r>
      <w:r w:rsidRPr="00EC00B4">
        <w:rPr>
          <w:rFonts w:asciiTheme="majorBidi" w:hAnsiTheme="majorBidi" w:cstheme="majorBidi"/>
          <w:szCs w:val="22"/>
        </w:rPr>
        <w:t xml:space="preserve"> významně ovlivněn</w:t>
      </w:r>
      <w:r>
        <w:rPr>
          <w:rFonts w:asciiTheme="majorBidi" w:hAnsiTheme="majorBidi" w:cstheme="majorBidi"/>
          <w:szCs w:val="22"/>
        </w:rPr>
        <w:t>a</w:t>
      </w:r>
      <w:r w:rsidRPr="00EC00B4">
        <w:rPr>
          <w:rFonts w:asciiTheme="majorBidi" w:hAnsiTheme="majorBidi" w:cstheme="majorBidi"/>
          <w:szCs w:val="22"/>
        </w:rPr>
        <w:t xml:space="preserve">. Byly to kyselina acetylsalicylová, amfetamin, atropin, </w:t>
      </w:r>
      <w:proofErr w:type="spellStart"/>
      <w:r w:rsidRPr="00EC00B4">
        <w:rPr>
          <w:rFonts w:asciiTheme="majorBidi" w:hAnsiTheme="majorBidi" w:cstheme="majorBidi"/>
          <w:szCs w:val="22"/>
        </w:rPr>
        <w:t>chlórpomazin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diazepam, </w:t>
      </w:r>
      <w:proofErr w:type="spellStart"/>
      <w:r w:rsidRPr="00EC00B4">
        <w:rPr>
          <w:rFonts w:asciiTheme="majorBidi" w:hAnsiTheme="majorBidi" w:cstheme="majorBidi"/>
          <w:szCs w:val="22"/>
        </w:rPr>
        <w:t>difenyldramin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etylalkohol, </w:t>
      </w:r>
      <w:proofErr w:type="spellStart"/>
      <w:r w:rsidRPr="00EC00B4">
        <w:rPr>
          <w:rFonts w:asciiTheme="majorBidi" w:hAnsiTheme="majorBidi" w:cstheme="majorBidi"/>
          <w:szCs w:val="22"/>
        </w:rPr>
        <w:t>hydrochlórothiazid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imipramin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meperidin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propoxyphen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fentobarbital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sulfisoxazol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tetracyklin a </w:t>
      </w:r>
      <w:proofErr w:type="spellStart"/>
      <w:r w:rsidRPr="00EC00B4">
        <w:rPr>
          <w:rFonts w:asciiTheme="majorBidi" w:hAnsiTheme="majorBidi" w:cstheme="majorBidi"/>
          <w:szCs w:val="22"/>
        </w:rPr>
        <w:t>tolbutamid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. </w:t>
      </w: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i </w:t>
      </w:r>
      <w:proofErr w:type="spellStart"/>
      <w:r w:rsidRPr="00EC00B4">
        <w:rPr>
          <w:rFonts w:asciiTheme="majorBidi" w:hAnsiTheme="majorBidi" w:cstheme="majorBidi"/>
          <w:szCs w:val="22"/>
        </w:rPr>
        <w:t>warfarin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mohou být vázané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ny. Mohou být použit</w:t>
      </w:r>
      <w:r>
        <w:rPr>
          <w:rFonts w:asciiTheme="majorBidi" w:hAnsiTheme="majorBidi" w:cstheme="majorBidi"/>
          <w:szCs w:val="22"/>
        </w:rPr>
        <w:t>y</w:t>
      </w:r>
      <w:r w:rsidRPr="00EC00B4">
        <w:rPr>
          <w:rFonts w:asciiTheme="majorBidi" w:hAnsiTheme="majorBidi" w:cstheme="majorBidi"/>
          <w:szCs w:val="22"/>
        </w:rPr>
        <w:t xml:space="preserve"> současně za předpokladu, že klinický stav je </w:t>
      </w:r>
      <w:r>
        <w:rPr>
          <w:rFonts w:asciiTheme="majorBidi" w:hAnsiTheme="majorBidi" w:cstheme="majorBidi"/>
          <w:szCs w:val="22"/>
        </w:rPr>
        <w:t>pečlivě sledován</w:t>
      </w:r>
      <w:r w:rsidRPr="00EC00B4">
        <w:rPr>
          <w:rFonts w:asciiTheme="majorBidi" w:hAnsiTheme="majorBidi" w:cstheme="majorBidi"/>
          <w:szCs w:val="22"/>
        </w:rPr>
        <w:t xml:space="preserve">, protože bylo </w:t>
      </w:r>
      <w:r>
        <w:rPr>
          <w:rFonts w:asciiTheme="majorBidi" w:hAnsiTheme="majorBidi" w:cstheme="majorBidi"/>
          <w:szCs w:val="22"/>
        </w:rPr>
        <w:t>pr</w:t>
      </w:r>
      <w:r w:rsidRPr="00EC00B4">
        <w:rPr>
          <w:rFonts w:asciiTheme="majorBidi" w:hAnsiTheme="majorBidi" w:cstheme="majorBidi"/>
          <w:szCs w:val="22"/>
        </w:rPr>
        <w:t>okázáno, že se vážou na dvě odlišná místa lidského a bovinního sérového albuminu.</w:t>
      </w:r>
    </w:p>
    <w:bookmarkEnd w:id="5"/>
    <w:p w14:paraId="59D5C09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84B2C69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3.9</w:t>
      </w:r>
      <w:r w:rsidRPr="00C75973">
        <w:rPr>
          <w:rFonts w:asciiTheme="majorBidi" w:hAnsiTheme="majorBidi" w:cstheme="majorBidi"/>
        </w:rPr>
        <w:tab/>
        <w:t>Cesty podání a dávkování</w:t>
      </w:r>
    </w:p>
    <w:p w14:paraId="76F3AF2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3E2D353" w14:textId="77777777" w:rsidR="0086282E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Perorální podání. </w:t>
      </w:r>
    </w:p>
    <w:p w14:paraId="7D926FE8" w14:textId="03E2EE76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Rimadyl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Palatable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tablety jsou ochucené a spontánně přijímané většinou psů. </w:t>
      </w:r>
    </w:p>
    <w:p w14:paraId="75DC1F46" w14:textId="1B60DC24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Počátečn</w:t>
      </w:r>
      <w:r w:rsidR="00AC6EE2">
        <w:rPr>
          <w:rFonts w:asciiTheme="majorBidi" w:hAnsiTheme="majorBidi" w:cstheme="majorBidi"/>
          <w:szCs w:val="22"/>
        </w:rPr>
        <w:t>í</w:t>
      </w:r>
      <w:r w:rsidRPr="00C75973">
        <w:rPr>
          <w:rFonts w:asciiTheme="majorBidi" w:hAnsiTheme="majorBidi" w:cstheme="majorBidi"/>
          <w:szCs w:val="22"/>
        </w:rPr>
        <w:t xml:space="preserve"> denní dávka 2 až 4 mg karprofenu / kg ž.hm. se může podat naráz nebo se může rozdělit na dvě stejné dávky. V závislosti na klinické odezvě může být po 7 dnech tato dávka redukovaná na 2 mg karprofenu / kg ž.hm. / den, podaná v jediné denní dávce.</w:t>
      </w:r>
    </w:p>
    <w:p w14:paraId="18A8B459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Délka léčby je závislá na klinické odezvě. Dlouhodobá léčba by měla být pod pravidelnou kontrolou veterinárního lékaře.</w:t>
      </w:r>
    </w:p>
    <w:p w14:paraId="1B1B6DC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6506FE0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3.10</w:t>
      </w:r>
      <w:r w:rsidRPr="00C75973">
        <w:rPr>
          <w:rFonts w:asciiTheme="majorBidi" w:hAnsiTheme="majorBidi" w:cstheme="majorBidi"/>
        </w:rPr>
        <w:tab/>
        <w:t xml:space="preserve">Příznaky předávkování (a kde je relevantní, první pomoc a antidota) </w:t>
      </w:r>
    </w:p>
    <w:p w14:paraId="56E0976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1D18A6" w14:textId="6DEA169C" w:rsidR="000F3A0B" w:rsidRPr="00C75973" w:rsidRDefault="00EE034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Neexistuje žádné specifické antidotum při předávkování karprofenem; postupuje se podle všeobecných zásad podpůrné terapie při předávkování NSAID.</w:t>
      </w:r>
    </w:p>
    <w:p w14:paraId="54473DB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C16A1A4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3.11</w:t>
      </w:r>
      <w:r w:rsidRPr="00C75973">
        <w:rPr>
          <w:rFonts w:asciiTheme="majorBidi" w:hAnsiTheme="majorBidi" w:cstheme="majorBidi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A49C4AA" w14:textId="77777777" w:rsidR="00AE6801" w:rsidRDefault="00AE6801" w:rsidP="00AE680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D0FC36A" w14:textId="7E86F3F4" w:rsidR="00AE6801" w:rsidRDefault="00AE6801" w:rsidP="00AE680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7E1BDE">
        <w:rPr>
          <w:rFonts w:asciiTheme="majorBidi" w:hAnsiTheme="majorBidi" w:cstheme="majorBidi"/>
          <w:szCs w:val="22"/>
        </w:rPr>
        <w:t>Neuplatňuje se.</w:t>
      </w:r>
    </w:p>
    <w:p w14:paraId="1B43FCE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4FDC4E1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3.12</w:t>
      </w:r>
      <w:r w:rsidRPr="00C75973">
        <w:rPr>
          <w:rFonts w:asciiTheme="majorBidi" w:hAnsiTheme="majorBidi" w:cstheme="majorBidi"/>
        </w:rPr>
        <w:tab/>
        <w:t>Ochranné lhůty</w:t>
      </w:r>
    </w:p>
    <w:p w14:paraId="5676C9C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0BD40EA" w14:textId="642AA617" w:rsidR="00C767E8" w:rsidRPr="00C75973" w:rsidRDefault="00C767E8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528842D8" w14:textId="589005C6" w:rsidR="000F3A0B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3A67C7" w14:textId="77777777" w:rsidR="00FE367E" w:rsidRPr="00C75973" w:rsidRDefault="00FE367E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0794530" w14:textId="77777777" w:rsidR="000F3A0B" w:rsidRPr="00C75973" w:rsidRDefault="00EE0346" w:rsidP="00FE367E">
      <w:pPr>
        <w:pStyle w:val="Style1"/>
        <w:keepNext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4.</w:t>
      </w:r>
      <w:r w:rsidRPr="00C75973">
        <w:rPr>
          <w:rFonts w:asciiTheme="majorBidi" w:hAnsiTheme="majorBidi" w:cstheme="majorBidi"/>
        </w:rPr>
        <w:tab/>
        <w:t>FARMAKOLOGICKÉ INFORMACE</w:t>
      </w:r>
    </w:p>
    <w:p w14:paraId="576031C8" w14:textId="77777777" w:rsidR="000F3A0B" w:rsidRPr="00C75973" w:rsidRDefault="000F3A0B" w:rsidP="00FE367E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0629C5A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4.1</w:t>
      </w:r>
      <w:r w:rsidRPr="00C75973">
        <w:rPr>
          <w:rFonts w:asciiTheme="majorBidi" w:hAnsiTheme="majorBidi" w:cstheme="majorBidi"/>
        </w:rPr>
        <w:tab/>
        <w:t xml:space="preserve">ATCvet kód: </w:t>
      </w:r>
      <w:r w:rsidRPr="00C75973">
        <w:rPr>
          <w:rFonts w:asciiTheme="majorBidi" w:hAnsiTheme="majorBidi" w:cstheme="majorBidi"/>
          <w:b w:val="0"/>
          <w:bCs/>
        </w:rPr>
        <w:t>QM01AE91</w:t>
      </w:r>
    </w:p>
    <w:p w14:paraId="0214E23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382B2E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4.2</w:t>
      </w:r>
      <w:r w:rsidRPr="00C75973">
        <w:rPr>
          <w:rFonts w:asciiTheme="majorBidi" w:hAnsiTheme="majorBidi" w:cstheme="majorBidi"/>
        </w:rPr>
        <w:tab/>
        <w:t>Farmakodynamika</w:t>
      </w:r>
    </w:p>
    <w:p w14:paraId="63DD689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0015FF6" w14:textId="5332A31C" w:rsidR="000F3A0B" w:rsidRPr="00C75973" w:rsidRDefault="0086282E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EC00B4">
        <w:rPr>
          <w:rFonts w:asciiTheme="majorBidi" w:hAnsiTheme="majorBidi" w:cstheme="majorBidi"/>
          <w:szCs w:val="22"/>
        </w:rPr>
        <w:lastRenderedPageBreak/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patří do skupiny 2-arylpropionové kyseliny nesteroidních antiflogistik (NSAID). </w:t>
      </w:r>
      <w:r w:rsidR="00EE0346" w:rsidRPr="00C75973">
        <w:rPr>
          <w:rFonts w:asciiTheme="majorBidi" w:hAnsiTheme="majorBidi" w:cstheme="majorBidi"/>
          <w:szCs w:val="22"/>
        </w:rPr>
        <w:t>Má protizánětlivé, analgetické a antipyretické účinky.</w:t>
      </w:r>
    </w:p>
    <w:p w14:paraId="0FCB3FAE" w14:textId="26827724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Karprofen, jako většina jiných NSAID, je inhibitorem enzymu </w:t>
      </w:r>
      <w:proofErr w:type="spellStart"/>
      <w:r w:rsidRPr="00C75973">
        <w:rPr>
          <w:rFonts w:asciiTheme="majorBidi" w:hAnsiTheme="majorBidi" w:cstheme="majorBidi"/>
          <w:szCs w:val="22"/>
        </w:rPr>
        <w:t>cyklooxygenázy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podílejícím se na kaskádě kyseliny arachidonové. Inhibice syntézy prostaglandinů karprofenem je slabá v porovnání s jeho protizánětlivou a analgetickou účinností. V terapeutických dávkách u psů inhibice produktů </w:t>
      </w:r>
      <w:proofErr w:type="spellStart"/>
      <w:r w:rsidRPr="00C75973">
        <w:rPr>
          <w:rFonts w:asciiTheme="majorBidi" w:hAnsiTheme="majorBidi" w:cstheme="majorBidi"/>
          <w:szCs w:val="22"/>
        </w:rPr>
        <w:t>cyklooxygenázy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(prostaglandinů a </w:t>
      </w:r>
      <w:proofErr w:type="spellStart"/>
      <w:r w:rsidRPr="00C75973">
        <w:rPr>
          <w:rFonts w:asciiTheme="majorBidi" w:hAnsiTheme="majorBidi" w:cstheme="majorBidi"/>
          <w:szCs w:val="22"/>
        </w:rPr>
        <w:t>tromboxináz</w:t>
      </w:r>
      <w:proofErr w:type="spellEnd"/>
      <w:r w:rsidRPr="00C75973">
        <w:rPr>
          <w:rFonts w:asciiTheme="majorBidi" w:hAnsiTheme="majorBidi" w:cstheme="majorBidi"/>
          <w:szCs w:val="22"/>
        </w:rPr>
        <w:t>) nebo lipoxygenázy (leukotr</w:t>
      </w:r>
      <w:r w:rsidR="005807C5">
        <w:rPr>
          <w:rFonts w:asciiTheme="majorBidi" w:hAnsiTheme="majorBidi" w:cstheme="majorBidi"/>
          <w:szCs w:val="22"/>
        </w:rPr>
        <w:t>i</w:t>
      </w:r>
      <w:r w:rsidRPr="00C75973">
        <w:rPr>
          <w:rFonts w:asciiTheme="majorBidi" w:hAnsiTheme="majorBidi" w:cstheme="majorBidi"/>
          <w:szCs w:val="22"/>
        </w:rPr>
        <w:t xml:space="preserve">enů) buď chyběla, nebo byla jen mírná. Inhibice prostaglandinů je zřejmě příčinou vyvolávající toxické </w:t>
      </w:r>
      <w:r w:rsidR="005807C5">
        <w:rPr>
          <w:rFonts w:asciiTheme="majorBidi" w:hAnsiTheme="majorBidi" w:cstheme="majorBidi"/>
          <w:szCs w:val="22"/>
        </w:rPr>
        <w:t>nežádoucí</w:t>
      </w:r>
      <w:r w:rsidR="005807C5" w:rsidRPr="00C75973">
        <w:rPr>
          <w:rFonts w:asciiTheme="majorBidi" w:hAnsiTheme="majorBidi" w:cstheme="majorBidi"/>
          <w:szCs w:val="22"/>
        </w:rPr>
        <w:t xml:space="preserve"> </w:t>
      </w:r>
      <w:r w:rsidRPr="00C75973">
        <w:rPr>
          <w:rFonts w:asciiTheme="majorBidi" w:hAnsiTheme="majorBidi" w:cstheme="majorBidi"/>
          <w:szCs w:val="22"/>
        </w:rPr>
        <w:t xml:space="preserve">účinky NSAID. Proto nepřítomnost inhibice </w:t>
      </w:r>
      <w:proofErr w:type="spellStart"/>
      <w:r w:rsidRPr="00C75973">
        <w:rPr>
          <w:rFonts w:asciiTheme="majorBidi" w:hAnsiTheme="majorBidi" w:cstheme="majorBidi"/>
          <w:szCs w:val="22"/>
        </w:rPr>
        <w:t>cyklooxygenázy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může vysvětlovat výbornou gastro-intestinální a renální snášenlivost </w:t>
      </w:r>
      <w:proofErr w:type="spellStart"/>
      <w:r w:rsidRPr="00C75973">
        <w:rPr>
          <w:rFonts w:asciiTheme="majorBidi" w:hAnsiTheme="majorBidi" w:cstheme="majorBidi"/>
          <w:szCs w:val="22"/>
        </w:rPr>
        <w:t>karprofenu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pozorovanou u </w:t>
      </w:r>
      <w:r w:rsidR="00ED7DDE">
        <w:rPr>
          <w:rFonts w:asciiTheme="majorBidi" w:hAnsiTheme="majorBidi" w:cstheme="majorBidi"/>
          <w:szCs w:val="22"/>
        </w:rPr>
        <w:t>psů</w:t>
      </w:r>
      <w:r w:rsidRPr="00C75973">
        <w:rPr>
          <w:rFonts w:asciiTheme="majorBidi" w:hAnsiTheme="majorBidi" w:cstheme="majorBidi"/>
          <w:szCs w:val="22"/>
        </w:rPr>
        <w:t>. Přesný mechanizmus účinku karprofenu není objasněný.</w:t>
      </w:r>
    </w:p>
    <w:p w14:paraId="0356AB7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EFD9382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Karprofen neprokázal žádný nežádoucí vliv na kloubní chrupavku psů po opakované léčebné dávce během 8 týdnů. Navíc, terapeutické koncentrace karprofenu ukázaly </w:t>
      </w:r>
      <w:r w:rsidRPr="00516231">
        <w:rPr>
          <w:rFonts w:asciiTheme="majorBidi" w:hAnsiTheme="majorBidi" w:cstheme="majorBidi"/>
          <w:i/>
          <w:iCs/>
          <w:szCs w:val="22"/>
        </w:rPr>
        <w:t>in vitro</w:t>
      </w:r>
      <w:r w:rsidRPr="00C75973">
        <w:rPr>
          <w:rFonts w:asciiTheme="majorBidi" w:hAnsiTheme="majorBidi" w:cstheme="majorBidi"/>
          <w:szCs w:val="22"/>
        </w:rPr>
        <w:t xml:space="preserve"> nárůst syntézy glykosaminoglykanů (GAG) v chondrocytech získaných ze psí kloubní chrupavky.</w:t>
      </w:r>
    </w:p>
    <w:p w14:paraId="5110A570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Stimulace syntézy GAG sníží rozdíl mezi podílem degenerace a regenerace kloubní matrix, což má za následek zpomalení procesu ztráty chrupavky.  </w:t>
      </w:r>
    </w:p>
    <w:p w14:paraId="06A790E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56ED83D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4.3</w:t>
      </w:r>
      <w:r w:rsidRPr="00C75973">
        <w:rPr>
          <w:rFonts w:asciiTheme="majorBidi" w:hAnsiTheme="majorBidi" w:cstheme="majorBidi"/>
        </w:rPr>
        <w:tab/>
        <w:t>Farmakokinetika</w:t>
      </w:r>
    </w:p>
    <w:p w14:paraId="686A92B2" w14:textId="77777777" w:rsidR="000F3A0B" w:rsidRPr="00C75973" w:rsidRDefault="000F3A0B" w:rsidP="00C75973">
      <w:pPr>
        <w:pStyle w:val="Style1"/>
        <w:rPr>
          <w:rFonts w:asciiTheme="majorBidi" w:hAnsiTheme="majorBidi" w:cstheme="majorBidi"/>
        </w:rPr>
      </w:pPr>
    </w:p>
    <w:p w14:paraId="0129F72E" w14:textId="77777777" w:rsidR="0086282E" w:rsidRPr="00EC00B4" w:rsidRDefault="0086282E" w:rsidP="0086282E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se rychle absorbuje. </w:t>
      </w: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má malý distribuční objem, pomalou systémovou </w:t>
      </w:r>
      <w:proofErr w:type="spellStart"/>
      <w:r w:rsidRPr="00EC00B4">
        <w:rPr>
          <w:rFonts w:asciiTheme="majorBidi" w:hAnsiTheme="majorBidi" w:cstheme="majorBidi"/>
          <w:szCs w:val="22"/>
        </w:rPr>
        <w:t>clearance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a </w:t>
      </w:r>
      <w:r>
        <w:rPr>
          <w:rFonts w:asciiTheme="majorBidi" w:hAnsiTheme="majorBidi" w:cstheme="majorBidi"/>
          <w:szCs w:val="22"/>
        </w:rPr>
        <w:t xml:space="preserve">biologický </w:t>
      </w:r>
      <w:r w:rsidRPr="00EC00B4">
        <w:rPr>
          <w:rFonts w:asciiTheme="majorBidi" w:hAnsiTheme="majorBidi" w:cstheme="majorBidi"/>
          <w:szCs w:val="22"/>
        </w:rPr>
        <w:t>poločas elimina</w:t>
      </w:r>
      <w:r>
        <w:rPr>
          <w:rFonts w:asciiTheme="majorBidi" w:hAnsiTheme="majorBidi" w:cstheme="majorBidi"/>
          <w:szCs w:val="22"/>
        </w:rPr>
        <w:t>c</w:t>
      </w:r>
      <w:r w:rsidRPr="00EC00B4">
        <w:rPr>
          <w:rFonts w:asciiTheme="majorBidi" w:hAnsiTheme="majorBidi" w:cstheme="majorBidi"/>
          <w:szCs w:val="22"/>
        </w:rPr>
        <w:t>e je 3,2 – 11,77 hod.</w:t>
      </w:r>
    </w:p>
    <w:p w14:paraId="6FE19EFF" w14:textId="1A1CE4F7" w:rsidR="000F3A0B" w:rsidRPr="00C75973" w:rsidRDefault="00EE034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Hlavními produkty biotransformace u psů jsou estery glukuronidů a následuje oxidace na C-</w:t>
      </w:r>
      <w:smartTag w:uri="urn:schemas-microsoft-com:office:smarttags" w:element="metricconverter">
        <w:smartTagPr>
          <w:attr w:name="ProductID" w:val="7 a"/>
        </w:smartTagPr>
        <w:r w:rsidRPr="00C75973">
          <w:rPr>
            <w:rFonts w:asciiTheme="majorBidi" w:hAnsiTheme="majorBidi" w:cstheme="majorBidi"/>
            <w:szCs w:val="22"/>
          </w:rPr>
          <w:t>7 a</w:t>
        </w:r>
      </w:smartTag>
      <w:r w:rsidRPr="00C75973">
        <w:rPr>
          <w:rFonts w:asciiTheme="majorBidi" w:hAnsiTheme="majorBidi" w:cstheme="majorBidi"/>
          <w:szCs w:val="22"/>
        </w:rPr>
        <w:t xml:space="preserve"> C-8 fenolových jader. Převažuje biliární sekrece, 70 % se vyloučí trusem, cca 8–15 % se vyloučí močí.</w:t>
      </w:r>
    </w:p>
    <w:p w14:paraId="3D9D8743" w14:textId="63AC17E1" w:rsidR="000F3A0B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1D03BB" w14:textId="77777777" w:rsidR="00FE367E" w:rsidRPr="00C75973" w:rsidRDefault="00FE367E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942C0B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5.</w:t>
      </w:r>
      <w:r w:rsidRPr="00C75973">
        <w:rPr>
          <w:rFonts w:asciiTheme="majorBidi" w:hAnsiTheme="majorBidi" w:cstheme="majorBidi"/>
        </w:rPr>
        <w:tab/>
        <w:t>FARMACEUTICKÉ ÚDAJE</w:t>
      </w:r>
    </w:p>
    <w:p w14:paraId="3E6A734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4D5E129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5.1</w:t>
      </w:r>
      <w:r w:rsidRPr="00C75973">
        <w:rPr>
          <w:rFonts w:asciiTheme="majorBidi" w:hAnsiTheme="majorBidi" w:cstheme="majorBidi"/>
        </w:rPr>
        <w:tab/>
        <w:t>Hlavní inkompatibility</w:t>
      </w:r>
    </w:p>
    <w:p w14:paraId="6C2B9E5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0671FAA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Nejsou známy.</w:t>
      </w:r>
    </w:p>
    <w:p w14:paraId="6F369A7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D1B688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5.2</w:t>
      </w:r>
      <w:r w:rsidRPr="00C75973">
        <w:rPr>
          <w:rFonts w:asciiTheme="majorBidi" w:hAnsiTheme="majorBidi" w:cstheme="majorBidi"/>
        </w:rPr>
        <w:tab/>
        <w:t>Doba použitelnosti</w:t>
      </w:r>
    </w:p>
    <w:p w14:paraId="3454427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F86BEE0" w14:textId="77777777" w:rsidR="000F3A0B" w:rsidRPr="00C75973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Doba použitelnosti veterinárního léčivého přípravku v neporušeném obalu: 3 roky</w:t>
      </w:r>
    </w:p>
    <w:p w14:paraId="0F556395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9D9F430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5.3</w:t>
      </w:r>
      <w:r w:rsidRPr="00C75973">
        <w:rPr>
          <w:rFonts w:asciiTheme="majorBidi" w:hAnsiTheme="majorBidi" w:cstheme="majorBidi"/>
        </w:rPr>
        <w:tab/>
        <w:t>Zvláštní opatření pro uchovávání</w:t>
      </w:r>
    </w:p>
    <w:p w14:paraId="1979C3F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F5F64C5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Uchovávejte při teplotě do 25 </w:t>
      </w:r>
      <w:r w:rsidRPr="00C75973">
        <w:rPr>
          <w:rFonts w:asciiTheme="majorBidi" w:hAnsiTheme="majorBidi" w:cstheme="majorBidi"/>
          <w:szCs w:val="22"/>
        </w:rPr>
        <w:sym w:font="Symbol" w:char="F0B0"/>
      </w:r>
      <w:r w:rsidRPr="00C75973">
        <w:rPr>
          <w:rFonts w:asciiTheme="majorBidi" w:hAnsiTheme="majorBidi" w:cstheme="majorBidi"/>
          <w:szCs w:val="22"/>
        </w:rPr>
        <w:t>C.</w:t>
      </w:r>
    </w:p>
    <w:p w14:paraId="39A9C072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Chraňte před světlem.</w:t>
      </w:r>
    </w:p>
    <w:p w14:paraId="40489807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Uchovávejte v suchu.</w:t>
      </w:r>
    </w:p>
    <w:p w14:paraId="3BFD0A6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583E9CD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5.4</w:t>
      </w:r>
      <w:r w:rsidRPr="00C75973">
        <w:rPr>
          <w:rFonts w:asciiTheme="majorBidi" w:hAnsiTheme="majorBidi" w:cstheme="majorBidi"/>
        </w:rPr>
        <w:tab/>
        <w:t>Druh a složení vnitřního obalu</w:t>
      </w:r>
    </w:p>
    <w:p w14:paraId="60AD5103" w14:textId="77777777" w:rsidR="000F3A0B" w:rsidRPr="00C75973" w:rsidRDefault="000F3A0B" w:rsidP="00C75973">
      <w:pPr>
        <w:pStyle w:val="Style1"/>
        <w:rPr>
          <w:rFonts w:asciiTheme="majorBidi" w:hAnsiTheme="majorBidi" w:cstheme="majorBidi"/>
        </w:rPr>
      </w:pPr>
    </w:p>
    <w:p w14:paraId="7409BD86" w14:textId="77777777" w:rsidR="000F3A0B" w:rsidRPr="00C75973" w:rsidRDefault="00EE0346" w:rsidP="00C75973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Hranatá lahvička z polyetylénu (HDPE) uzavřená bezpečnostním uzávěrem z polypropylénu. Bez vnějšího přebalu.</w:t>
      </w:r>
    </w:p>
    <w:p w14:paraId="34B8AAED" w14:textId="77777777" w:rsidR="000F3A0B" w:rsidRPr="00C75973" w:rsidRDefault="00EE0346" w:rsidP="00C75973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Velikosti balení: 14, 20, 30, 50, 60, </w:t>
      </w:r>
      <w:smartTag w:uri="urn:schemas-microsoft-com:office:smarttags" w:element="metricconverter">
        <w:smartTagPr>
          <w:attr w:name="ProductID" w:val="100 a"/>
        </w:smartTagPr>
        <w:r w:rsidRPr="00C75973">
          <w:rPr>
            <w:rFonts w:asciiTheme="majorBidi" w:hAnsiTheme="majorBidi" w:cstheme="majorBidi"/>
            <w:szCs w:val="22"/>
          </w:rPr>
          <w:t>100 a</w:t>
        </w:r>
      </w:smartTag>
      <w:r w:rsidRPr="00C75973">
        <w:rPr>
          <w:rFonts w:asciiTheme="majorBidi" w:hAnsiTheme="majorBidi" w:cstheme="majorBidi"/>
          <w:szCs w:val="22"/>
        </w:rPr>
        <w:t xml:space="preserve"> 180 tablet</w:t>
      </w:r>
    </w:p>
    <w:p w14:paraId="2B8219A5" w14:textId="77777777" w:rsidR="000F3A0B" w:rsidRPr="00C75973" w:rsidRDefault="000F3A0B" w:rsidP="00C75973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391E96B9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Na trhu nemusí být všechny velikosti balení.</w:t>
      </w:r>
    </w:p>
    <w:p w14:paraId="6589117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6710A41" w14:textId="77777777" w:rsidR="000F3A0B" w:rsidRPr="00C75973" w:rsidRDefault="00EE0346" w:rsidP="00FE367E">
      <w:pPr>
        <w:pStyle w:val="Style1"/>
        <w:keepNext/>
        <w:jc w:val="both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5.5</w:t>
      </w:r>
      <w:r w:rsidRPr="00C75973">
        <w:rPr>
          <w:rFonts w:asciiTheme="majorBidi" w:hAnsiTheme="majorBidi" w:cstheme="majorBidi"/>
        </w:rPr>
        <w:tab/>
        <w:t>Zvláštní opatření pro likvidaci nepoužitých veterinárních léčivých přípravků nebo odpadů, které pochází z těchto přípravků</w:t>
      </w:r>
    </w:p>
    <w:p w14:paraId="49A346A4" w14:textId="77777777" w:rsidR="000F3A0B" w:rsidRPr="00C75973" w:rsidRDefault="000F3A0B" w:rsidP="00FE367E">
      <w:pPr>
        <w:keepNext/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7D9D20E" w14:textId="515F1EC0" w:rsidR="000F3A0B" w:rsidRDefault="00EE0346" w:rsidP="00FE367E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574DD602" w14:textId="77777777" w:rsidR="00FE367E" w:rsidRPr="00C75973" w:rsidRDefault="00FE367E" w:rsidP="00FE367E">
      <w:pPr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5A531E8D" w14:textId="77777777" w:rsidR="000F3A0B" w:rsidRPr="00C75973" w:rsidRDefault="00EE0346" w:rsidP="00FE367E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49D614C" w14:textId="77777777" w:rsidR="00FE367E" w:rsidRPr="00C75973" w:rsidRDefault="00FE367E" w:rsidP="00C75973">
      <w:pPr>
        <w:spacing w:line="240" w:lineRule="auto"/>
        <w:ind w:right="-318"/>
        <w:rPr>
          <w:rFonts w:asciiTheme="majorBidi" w:hAnsiTheme="majorBidi" w:cstheme="majorBidi"/>
          <w:i/>
          <w:szCs w:val="22"/>
        </w:rPr>
      </w:pPr>
    </w:p>
    <w:p w14:paraId="62F9FFC2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BD59264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6.</w:t>
      </w:r>
      <w:r w:rsidRPr="00C75973">
        <w:rPr>
          <w:rFonts w:asciiTheme="majorBidi" w:hAnsiTheme="majorBidi" w:cstheme="majorBidi"/>
        </w:rPr>
        <w:tab/>
        <w:t>JMÉNO DRŽITELE ROZHODNUTÍ O REGISTRACI</w:t>
      </w:r>
    </w:p>
    <w:p w14:paraId="3B5DC2C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706D5FE" w14:textId="6017E6F6" w:rsidR="000F3A0B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Zoetis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Česká republika, s.r.o.</w:t>
      </w:r>
    </w:p>
    <w:p w14:paraId="10045C36" w14:textId="77777777" w:rsidR="00FE367E" w:rsidRPr="00C75973" w:rsidRDefault="00FE367E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10BA64F5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9BFD628" w14:textId="77777777" w:rsidR="000F3A0B" w:rsidRPr="00C75973" w:rsidRDefault="00EE0346" w:rsidP="00516231">
      <w:pPr>
        <w:pStyle w:val="Style1"/>
        <w:keepNext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7.</w:t>
      </w:r>
      <w:r w:rsidRPr="00C75973">
        <w:rPr>
          <w:rFonts w:asciiTheme="majorBidi" w:hAnsiTheme="majorBidi" w:cstheme="majorBidi"/>
        </w:rPr>
        <w:tab/>
        <w:t>REGISTRAČNÍ ČÍSLO(A)</w:t>
      </w:r>
    </w:p>
    <w:p w14:paraId="2F879D7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0B19FE7" w14:textId="12524C3A" w:rsidR="000F3A0B" w:rsidRDefault="00EE0346" w:rsidP="00C75973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  <w:r w:rsidRPr="00C75973">
        <w:rPr>
          <w:rFonts w:asciiTheme="majorBidi" w:hAnsiTheme="majorBidi" w:cstheme="majorBidi"/>
          <w:caps/>
          <w:szCs w:val="22"/>
        </w:rPr>
        <w:t>96/024/03-C</w:t>
      </w:r>
    </w:p>
    <w:p w14:paraId="7A4300EB" w14:textId="77777777" w:rsidR="00FE367E" w:rsidRPr="00C75973" w:rsidRDefault="00FE367E" w:rsidP="00C75973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</w:p>
    <w:p w14:paraId="39500C1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9642C6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8.</w:t>
      </w:r>
      <w:r w:rsidRPr="00C75973">
        <w:rPr>
          <w:rFonts w:asciiTheme="majorBidi" w:hAnsiTheme="majorBidi" w:cstheme="majorBidi"/>
        </w:rPr>
        <w:tab/>
        <w:t>DATUM PRVNÍ REGISTRACE</w:t>
      </w:r>
    </w:p>
    <w:p w14:paraId="238C8F4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2617F77" w14:textId="184B50A1" w:rsidR="000F3A0B" w:rsidRDefault="0090640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>
        <w:rPr>
          <w:szCs w:val="22"/>
        </w:rPr>
        <w:t xml:space="preserve">Datum první registrace: </w:t>
      </w:r>
      <w:r w:rsidR="00EE0346" w:rsidRPr="00C75973">
        <w:rPr>
          <w:rFonts w:asciiTheme="majorBidi" w:hAnsiTheme="majorBidi" w:cstheme="majorBidi"/>
          <w:szCs w:val="22"/>
        </w:rPr>
        <w:t>20</w:t>
      </w:r>
      <w:r>
        <w:rPr>
          <w:rFonts w:asciiTheme="majorBidi" w:hAnsiTheme="majorBidi" w:cstheme="majorBidi"/>
          <w:szCs w:val="22"/>
        </w:rPr>
        <w:t xml:space="preserve">. </w:t>
      </w:r>
      <w:r w:rsidR="00EE0346" w:rsidRPr="00C75973">
        <w:rPr>
          <w:rFonts w:asciiTheme="majorBidi" w:hAnsiTheme="majorBidi" w:cstheme="majorBidi"/>
          <w:szCs w:val="22"/>
        </w:rPr>
        <w:t>3</w:t>
      </w:r>
      <w:r>
        <w:rPr>
          <w:rFonts w:asciiTheme="majorBidi" w:hAnsiTheme="majorBidi" w:cstheme="majorBidi"/>
          <w:szCs w:val="22"/>
        </w:rPr>
        <w:t xml:space="preserve">. </w:t>
      </w:r>
      <w:r w:rsidR="00EE0346" w:rsidRPr="00C75973">
        <w:rPr>
          <w:rFonts w:asciiTheme="majorBidi" w:hAnsiTheme="majorBidi" w:cstheme="majorBidi"/>
          <w:szCs w:val="22"/>
        </w:rPr>
        <w:t>2003</w:t>
      </w:r>
    </w:p>
    <w:p w14:paraId="17AB6854" w14:textId="77777777" w:rsidR="00FE367E" w:rsidRPr="00C75973" w:rsidRDefault="00FE367E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01D17C6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9F06E9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9.</w:t>
      </w:r>
      <w:r w:rsidRPr="00C75973">
        <w:rPr>
          <w:rFonts w:asciiTheme="majorBidi" w:hAnsiTheme="majorBidi" w:cstheme="majorBidi"/>
        </w:rPr>
        <w:tab/>
        <w:t>DATUM POSLEDNÍ AKTUALIZACE SOUHRNU ÚDAJŮ O PŘÍPRAVKU</w:t>
      </w:r>
    </w:p>
    <w:p w14:paraId="5BD90405" w14:textId="77777777" w:rsidR="000F3A0B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3C2466" w14:textId="3751A2C0" w:rsidR="004E76A9" w:rsidRDefault="00DC59B3" w:rsidP="004E76A9">
      <w:pPr>
        <w:spacing w:line="240" w:lineRule="auto"/>
        <w:jc w:val="both"/>
        <w:rPr>
          <w:szCs w:val="22"/>
        </w:rPr>
      </w:pPr>
      <w:bookmarkStart w:id="6" w:name="_Hlk176450819"/>
      <w:r>
        <w:rPr>
          <w:szCs w:val="22"/>
        </w:rPr>
        <w:t>0</w:t>
      </w:r>
      <w:r w:rsidR="00F96450">
        <w:rPr>
          <w:szCs w:val="22"/>
        </w:rPr>
        <w:t>2</w:t>
      </w:r>
      <w:r>
        <w:rPr>
          <w:szCs w:val="22"/>
        </w:rPr>
        <w:t>/2025</w:t>
      </w:r>
    </w:p>
    <w:p w14:paraId="6D2D9399" w14:textId="77777777" w:rsidR="00FE367E" w:rsidRPr="00B22FC6" w:rsidRDefault="00FE367E" w:rsidP="004E76A9">
      <w:pPr>
        <w:spacing w:line="240" w:lineRule="auto"/>
        <w:jc w:val="both"/>
        <w:rPr>
          <w:szCs w:val="22"/>
        </w:rPr>
      </w:pPr>
    </w:p>
    <w:bookmarkEnd w:id="6"/>
    <w:p w14:paraId="56E93976" w14:textId="77777777" w:rsidR="004E76A9" w:rsidRDefault="004E76A9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483BEF2" w14:textId="77777777" w:rsidR="000F3A0B" w:rsidRPr="00C75973" w:rsidRDefault="00EE0346" w:rsidP="00C75973">
      <w:pPr>
        <w:pStyle w:val="Style1"/>
        <w:tabs>
          <w:tab w:val="clear" w:pos="0"/>
        </w:tabs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</w:rPr>
        <w:t>10.</w:t>
      </w:r>
      <w:r w:rsidRPr="00C75973">
        <w:rPr>
          <w:rFonts w:asciiTheme="majorBidi" w:hAnsiTheme="majorBidi" w:cstheme="majorBidi"/>
        </w:rPr>
        <w:tab/>
        <w:t>KLASIFIKACE VETERINÁRNÍCH LÉČIVÝCH PŘÍPRAVKŮ</w:t>
      </w:r>
    </w:p>
    <w:p w14:paraId="0D4123E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70B3487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Veterinární léčivý přípravek je vydáván pouze na předpis.</w:t>
      </w:r>
    </w:p>
    <w:p w14:paraId="23EAF031" w14:textId="77777777" w:rsidR="000F3A0B" w:rsidRPr="00C75973" w:rsidRDefault="000F3A0B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070D56C7" w14:textId="77777777" w:rsidR="000F3A0B" w:rsidRPr="00C75973" w:rsidRDefault="00EE0346" w:rsidP="00DF44BC">
      <w:pPr>
        <w:spacing w:line="240" w:lineRule="auto"/>
        <w:ind w:right="1"/>
        <w:rPr>
          <w:rFonts w:asciiTheme="majorBidi" w:hAnsiTheme="majorBidi" w:cstheme="majorBidi"/>
          <w:szCs w:val="22"/>
        </w:rPr>
      </w:pPr>
      <w:bookmarkStart w:id="7" w:name="_Hlk73467306"/>
      <w:r w:rsidRPr="00C75973">
        <w:rPr>
          <w:rFonts w:asciiTheme="majorBidi" w:hAnsiTheme="majorBidi" w:cstheme="majorBidi"/>
          <w:szCs w:val="22"/>
        </w:rPr>
        <w:t>Podrobné informace o tomto veterinárním léčivém přípravku jsou k dispozici v databázi příprav</w:t>
      </w:r>
      <w:bookmarkStart w:id="8" w:name="_GoBack"/>
      <w:bookmarkEnd w:id="8"/>
      <w:r w:rsidRPr="00C75973">
        <w:rPr>
          <w:rFonts w:asciiTheme="majorBidi" w:hAnsiTheme="majorBidi" w:cstheme="majorBidi"/>
          <w:szCs w:val="22"/>
        </w:rPr>
        <w:t>ků Unie (</w:t>
      </w:r>
      <w:hyperlink r:id="rId8" w:history="1">
        <w:r w:rsidRPr="00C75973">
          <w:rPr>
            <w:rStyle w:val="Hypertextovodkaz"/>
            <w:rFonts w:asciiTheme="majorBidi" w:hAnsiTheme="majorBidi" w:cstheme="majorBidi"/>
            <w:szCs w:val="22"/>
          </w:rPr>
          <w:t>https://medicines.health.europa.eu/veterinary</w:t>
        </w:r>
      </w:hyperlink>
      <w:r w:rsidRPr="00C75973">
        <w:rPr>
          <w:rFonts w:asciiTheme="majorBidi" w:hAnsiTheme="majorBidi" w:cstheme="majorBidi"/>
          <w:szCs w:val="22"/>
        </w:rPr>
        <w:t>)</w:t>
      </w:r>
      <w:r w:rsidRPr="00C75973">
        <w:rPr>
          <w:rFonts w:asciiTheme="majorBidi" w:hAnsiTheme="majorBidi" w:cstheme="majorBidi"/>
          <w:i/>
          <w:szCs w:val="22"/>
        </w:rPr>
        <w:t>.</w:t>
      </w:r>
    </w:p>
    <w:bookmarkEnd w:id="7"/>
    <w:p w14:paraId="25C6D501" w14:textId="77777777" w:rsidR="000F3A0B" w:rsidRPr="00C75973" w:rsidRDefault="000F3A0B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30D3F641" w14:textId="77777777" w:rsidR="00E37AEF" w:rsidRPr="00C50EDC" w:rsidRDefault="00E37AEF" w:rsidP="00E37AEF">
      <w:pPr>
        <w:jc w:val="both"/>
        <w:rPr>
          <w:szCs w:val="22"/>
        </w:rPr>
      </w:pPr>
      <w:r w:rsidRPr="00C50EDC">
        <w:t>Podrobné informace o tomto veterinárním léčivém přípravku naleznete také v národní databázi (</w:t>
      </w:r>
      <w:hyperlink r:id="rId9" w:history="1">
        <w:r w:rsidRPr="00C50EDC">
          <w:rPr>
            <w:rStyle w:val="Hypertextovodkaz"/>
          </w:rPr>
          <w:t>https://www.uskvbl.cz</w:t>
        </w:r>
      </w:hyperlink>
      <w:r w:rsidRPr="00C50EDC">
        <w:t>).</w:t>
      </w:r>
    </w:p>
    <w:p w14:paraId="525A1598" w14:textId="77777777" w:rsidR="000F3A0B" w:rsidRPr="00C75973" w:rsidRDefault="000F3A0B" w:rsidP="008017B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0F3A0B" w:rsidRPr="00C75973" w:rsidSect="00DF44BC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68B5B" w16cex:dateUtc="2024-10-01T12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201A" w14:textId="77777777" w:rsidR="00076356" w:rsidRDefault="00076356">
      <w:pPr>
        <w:spacing w:line="240" w:lineRule="auto"/>
      </w:pPr>
      <w:r>
        <w:separator/>
      </w:r>
    </w:p>
  </w:endnote>
  <w:endnote w:type="continuationSeparator" w:id="0">
    <w:p w14:paraId="4EA26958" w14:textId="77777777" w:rsidR="00076356" w:rsidRDefault="00076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58FD" w14:textId="77777777" w:rsidR="000F3A0B" w:rsidRDefault="00EE03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3CDA" w14:textId="77777777" w:rsidR="000F3A0B" w:rsidRDefault="00EE03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747B" w14:textId="77777777" w:rsidR="00076356" w:rsidRDefault="00076356">
      <w:pPr>
        <w:spacing w:line="240" w:lineRule="auto"/>
      </w:pPr>
      <w:r>
        <w:separator/>
      </w:r>
    </w:p>
  </w:footnote>
  <w:footnote w:type="continuationSeparator" w:id="0">
    <w:p w14:paraId="0F497E9B" w14:textId="77777777" w:rsidR="00076356" w:rsidRDefault="00076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2A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8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46A5A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BA4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3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B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6ED6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4864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7CC4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E4C17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F438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EE72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086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760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60F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E66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9E7C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E38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CA87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784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EE65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228B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C0A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166E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6F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E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0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4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0F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F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A2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A2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6A3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D4B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4CC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14C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D426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4C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BAD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8E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2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9C42C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A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8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4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267E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DABF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C488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D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C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EC852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C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4A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2209B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61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C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F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C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E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CB665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28B9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2005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398F8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D8B5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EEF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3CA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1AA1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225B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B2EA2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60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7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4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4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526EEC">
      <w:start w:val="1"/>
      <w:numFmt w:val="upperLetter"/>
      <w:pStyle w:val="Style3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C8920658" w:tentative="1">
      <w:start w:val="1"/>
      <w:numFmt w:val="lowerLetter"/>
      <w:lvlText w:val="%2."/>
      <w:lvlJc w:val="left"/>
      <w:pPr>
        <w:ind w:left="1440" w:hanging="360"/>
      </w:pPr>
    </w:lvl>
    <w:lvl w:ilvl="2" w:tplc="C5723EC4" w:tentative="1">
      <w:start w:val="1"/>
      <w:numFmt w:val="lowerRoman"/>
      <w:lvlText w:val="%3."/>
      <w:lvlJc w:val="right"/>
      <w:pPr>
        <w:ind w:left="2160" w:hanging="180"/>
      </w:pPr>
    </w:lvl>
    <w:lvl w:ilvl="3" w:tplc="7A38222E" w:tentative="1">
      <w:start w:val="1"/>
      <w:numFmt w:val="decimal"/>
      <w:lvlText w:val="%4."/>
      <w:lvlJc w:val="left"/>
      <w:pPr>
        <w:ind w:left="2880" w:hanging="360"/>
      </w:pPr>
    </w:lvl>
    <w:lvl w:ilvl="4" w:tplc="B12EB34C" w:tentative="1">
      <w:start w:val="1"/>
      <w:numFmt w:val="lowerLetter"/>
      <w:lvlText w:val="%5."/>
      <w:lvlJc w:val="left"/>
      <w:pPr>
        <w:ind w:left="3600" w:hanging="360"/>
      </w:pPr>
    </w:lvl>
    <w:lvl w:ilvl="5" w:tplc="0C08EBE2" w:tentative="1">
      <w:start w:val="1"/>
      <w:numFmt w:val="lowerRoman"/>
      <w:lvlText w:val="%6."/>
      <w:lvlJc w:val="right"/>
      <w:pPr>
        <w:ind w:left="4320" w:hanging="180"/>
      </w:pPr>
    </w:lvl>
    <w:lvl w:ilvl="6" w:tplc="F8BAAEA8" w:tentative="1">
      <w:start w:val="1"/>
      <w:numFmt w:val="decimal"/>
      <w:lvlText w:val="%7."/>
      <w:lvlJc w:val="left"/>
      <w:pPr>
        <w:ind w:left="5040" w:hanging="360"/>
      </w:pPr>
    </w:lvl>
    <w:lvl w:ilvl="7" w:tplc="0A56C59C" w:tentative="1">
      <w:start w:val="1"/>
      <w:numFmt w:val="lowerLetter"/>
      <w:lvlText w:val="%8."/>
      <w:lvlJc w:val="left"/>
      <w:pPr>
        <w:ind w:left="5760" w:hanging="360"/>
      </w:pPr>
    </w:lvl>
    <w:lvl w:ilvl="8" w:tplc="97C0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388F4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AC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2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4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B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830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6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45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0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D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2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AEF5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A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0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6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C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6AA905C">
      <w:start w:val="1"/>
      <w:numFmt w:val="decimal"/>
      <w:lvlText w:val="%1."/>
      <w:lvlJc w:val="left"/>
      <w:pPr>
        <w:ind w:left="720" w:hanging="360"/>
      </w:pPr>
    </w:lvl>
    <w:lvl w:ilvl="1" w:tplc="83D28130" w:tentative="1">
      <w:start w:val="1"/>
      <w:numFmt w:val="lowerLetter"/>
      <w:lvlText w:val="%2."/>
      <w:lvlJc w:val="left"/>
      <w:pPr>
        <w:ind w:left="1440" w:hanging="360"/>
      </w:pPr>
    </w:lvl>
    <w:lvl w:ilvl="2" w:tplc="7108C9EA" w:tentative="1">
      <w:start w:val="1"/>
      <w:numFmt w:val="lowerRoman"/>
      <w:lvlText w:val="%3."/>
      <w:lvlJc w:val="right"/>
      <w:pPr>
        <w:ind w:left="2160" w:hanging="180"/>
      </w:pPr>
    </w:lvl>
    <w:lvl w:ilvl="3" w:tplc="9D30EB38" w:tentative="1">
      <w:start w:val="1"/>
      <w:numFmt w:val="decimal"/>
      <w:lvlText w:val="%4."/>
      <w:lvlJc w:val="left"/>
      <w:pPr>
        <w:ind w:left="2880" w:hanging="360"/>
      </w:pPr>
    </w:lvl>
    <w:lvl w:ilvl="4" w:tplc="4DBA67D8" w:tentative="1">
      <w:start w:val="1"/>
      <w:numFmt w:val="lowerLetter"/>
      <w:lvlText w:val="%5."/>
      <w:lvlJc w:val="left"/>
      <w:pPr>
        <w:ind w:left="3600" w:hanging="360"/>
      </w:pPr>
    </w:lvl>
    <w:lvl w:ilvl="5" w:tplc="4804422A" w:tentative="1">
      <w:start w:val="1"/>
      <w:numFmt w:val="lowerRoman"/>
      <w:lvlText w:val="%6."/>
      <w:lvlJc w:val="right"/>
      <w:pPr>
        <w:ind w:left="4320" w:hanging="180"/>
      </w:pPr>
    </w:lvl>
    <w:lvl w:ilvl="6" w:tplc="C0C6F246" w:tentative="1">
      <w:start w:val="1"/>
      <w:numFmt w:val="decimal"/>
      <w:lvlText w:val="%7."/>
      <w:lvlJc w:val="left"/>
      <w:pPr>
        <w:ind w:left="5040" w:hanging="360"/>
      </w:pPr>
    </w:lvl>
    <w:lvl w:ilvl="7" w:tplc="FAAEA6E4" w:tentative="1">
      <w:start w:val="1"/>
      <w:numFmt w:val="lowerLetter"/>
      <w:lvlText w:val="%8."/>
      <w:lvlJc w:val="left"/>
      <w:pPr>
        <w:ind w:left="5760" w:hanging="360"/>
      </w:pPr>
    </w:lvl>
    <w:lvl w:ilvl="8" w:tplc="FFF63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5667A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246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A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B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8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A8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0F3A0B"/>
    <w:rsid w:val="00003025"/>
    <w:rsid w:val="00035384"/>
    <w:rsid w:val="0004554F"/>
    <w:rsid w:val="00076356"/>
    <w:rsid w:val="000C1AEB"/>
    <w:rsid w:val="000C799F"/>
    <w:rsid w:val="000F3A0B"/>
    <w:rsid w:val="00123BB2"/>
    <w:rsid w:val="00135E78"/>
    <w:rsid w:val="00154FAD"/>
    <w:rsid w:val="001569ED"/>
    <w:rsid w:val="00164ABD"/>
    <w:rsid w:val="001754C8"/>
    <w:rsid w:val="001C207E"/>
    <w:rsid w:val="001E6055"/>
    <w:rsid w:val="001E7484"/>
    <w:rsid w:val="00200446"/>
    <w:rsid w:val="00226A98"/>
    <w:rsid w:val="00230B74"/>
    <w:rsid w:val="00262F3C"/>
    <w:rsid w:val="00270991"/>
    <w:rsid w:val="00274F2C"/>
    <w:rsid w:val="002841BC"/>
    <w:rsid w:val="002D6583"/>
    <w:rsid w:val="00333290"/>
    <w:rsid w:val="00380AC3"/>
    <w:rsid w:val="003848EC"/>
    <w:rsid w:val="003A5EFD"/>
    <w:rsid w:val="003E5BE6"/>
    <w:rsid w:val="004815AA"/>
    <w:rsid w:val="004A5674"/>
    <w:rsid w:val="004D3D9D"/>
    <w:rsid w:val="004D5301"/>
    <w:rsid w:val="004E76A9"/>
    <w:rsid w:val="004F6674"/>
    <w:rsid w:val="00516231"/>
    <w:rsid w:val="00542B81"/>
    <w:rsid w:val="005807C5"/>
    <w:rsid w:val="005E6D72"/>
    <w:rsid w:val="006349E0"/>
    <w:rsid w:val="006623E5"/>
    <w:rsid w:val="00684294"/>
    <w:rsid w:val="006E43AD"/>
    <w:rsid w:val="00711A41"/>
    <w:rsid w:val="0072363B"/>
    <w:rsid w:val="007658F2"/>
    <w:rsid w:val="007B3DDD"/>
    <w:rsid w:val="007E727A"/>
    <w:rsid w:val="008017B3"/>
    <w:rsid w:val="008526DC"/>
    <w:rsid w:val="0086282E"/>
    <w:rsid w:val="00866B06"/>
    <w:rsid w:val="008974BA"/>
    <w:rsid w:val="008C77D4"/>
    <w:rsid w:val="008E4230"/>
    <w:rsid w:val="008E6E21"/>
    <w:rsid w:val="0090441F"/>
    <w:rsid w:val="00906406"/>
    <w:rsid w:val="00975732"/>
    <w:rsid w:val="009A0DF2"/>
    <w:rsid w:val="009F1346"/>
    <w:rsid w:val="00A65A16"/>
    <w:rsid w:val="00A679A6"/>
    <w:rsid w:val="00AB2032"/>
    <w:rsid w:val="00AB7580"/>
    <w:rsid w:val="00AC6EE2"/>
    <w:rsid w:val="00AE6801"/>
    <w:rsid w:val="00B25354"/>
    <w:rsid w:val="00B33A5E"/>
    <w:rsid w:val="00B43358"/>
    <w:rsid w:val="00B47DEA"/>
    <w:rsid w:val="00B87147"/>
    <w:rsid w:val="00B873F5"/>
    <w:rsid w:val="00B917F7"/>
    <w:rsid w:val="00C24E9F"/>
    <w:rsid w:val="00C34983"/>
    <w:rsid w:val="00C579AB"/>
    <w:rsid w:val="00C75973"/>
    <w:rsid w:val="00C767E8"/>
    <w:rsid w:val="00C91367"/>
    <w:rsid w:val="00D13C06"/>
    <w:rsid w:val="00D24763"/>
    <w:rsid w:val="00D40A10"/>
    <w:rsid w:val="00D63BA1"/>
    <w:rsid w:val="00D92907"/>
    <w:rsid w:val="00DC59B3"/>
    <w:rsid w:val="00DF44BC"/>
    <w:rsid w:val="00DF7F13"/>
    <w:rsid w:val="00E037CB"/>
    <w:rsid w:val="00E37AEF"/>
    <w:rsid w:val="00E40723"/>
    <w:rsid w:val="00E555B0"/>
    <w:rsid w:val="00E62CEE"/>
    <w:rsid w:val="00E97181"/>
    <w:rsid w:val="00EA2E9E"/>
    <w:rsid w:val="00EC60A1"/>
    <w:rsid w:val="00EC659A"/>
    <w:rsid w:val="00ED7DDE"/>
    <w:rsid w:val="00EE0346"/>
    <w:rsid w:val="00EF2F33"/>
    <w:rsid w:val="00F04FFF"/>
    <w:rsid w:val="00F11711"/>
    <w:rsid w:val="00F30757"/>
    <w:rsid w:val="00F43CF1"/>
    <w:rsid w:val="00F96450"/>
    <w:rsid w:val="00FB1925"/>
    <w:rsid w:val="00FC2FE9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4BDC9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AB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ind w:left="0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16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5BED-EB0A-4EDB-A58B-26A6AF39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1358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Nepejchalová Leona</dc:creator>
  <cp:lastModifiedBy>Nepejchalová Leona</cp:lastModifiedBy>
  <cp:revision>88</cp:revision>
  <cp:lastPrinted>2025-02-06T17:02:00Z</cp:lastPrinted>
  <dcterms:created xsi:type="dcterms:W3CDTF">2024-07-25T10:06:00Z</dcterms:created>
  <dcterms:modified xsi:type="dcterms:W3CDTF">2025-02-06T17:02:00Z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