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991" w:rsidRDefault="00CB4991" w:rsidP="00CB4991">
      <w:pPr>
        <w:jc w:val="center"/>
        <w:rPr>
          <w:bCs/>
        </w:rPr>
      </w:pPr>
    </w:p>
    <w:p w:rsidR="00CB4991" w:rsidRDefault="00CB4991" w:rsidP="00CB4991">
      <w:pPr>
        <w:jc w:val="center"/>
        <w:rPr>
          <w:bCs/>
        </w:rPr>
      </w:pPr>
    </w:p>
    <w:p w:rsidR="00CB4991" w:rsidRDefault="00CB4991" w:rsidP="00CB4991">
      <w:pPr>
        <w:jc w:val="center"/>
        <w:rPr>
          <w:bCs/>
          <w:sz w:val="32"/>
        </w:rPr>
      </w:pPr>
      <w:r>
        <w:rPr>
          <w:bCs/>
          <w:sz w:val="32"/>
        </w:rPr>
        <w:t>SOUHRN ÚDAJŮ O PŘÍPRAVKU</w:t>
      </w:r>
    </w:p>
    <w:p w:rsidR="00CB4991" w:rsidRDefault="00CB4991" w:rsidP="00CB4991">
      <w:pPr>
        <w:jc w:val="center"/>
        <w:rPr>
          <w:bCs/>
          <w:sz w:val="32"/>
        </w:rPr>
      </w:pPr>
    </w:p>
    <w:p w:rsidR="00CB4991" w:rsidRDefault="00CB4991" w:rsidP="00CB4991">
      <w:pPr>
        <w:ind w:left="567" w:hanging="567"/>
        <w:rPr>
          <w:bCs/>
          <w:szCs w:val="20"/>
          <w:lang w:eastAsia="en-US"/>
        </w:rPr>
      </w:pPr>
      <w:r>
        <w:rPr>
          <w:b w:val="0"/>
          <w:szCs w:val="20"/>
          <w:lang w:eastAsia="en-US"/>
        </w:rPr>
        <w:br w:type="page"/>
      </w:r>
      <w:r>
        <w:rPr>
          <w:bCs/>
          <w:szCs w:val="20"/>
          <w:lang w:eastAsia="en-US"/>
        </w:rPr>
        <w:lastRenderedPageBreak/>
        <w:t>1.</w:t>
      </w:r>
      <w:r>
        <w:rPr>
          <w:bCs/>
          <w:szCs w:val="20"/>
          <w:lang w:eastAsia="en-US"/>
        </w:rPr>
        <w:tab/>
        <w:t>NÁZEV VETERINÁRNÍHO LÉČIVÉHO PŘÍPRAVKU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BETAMOX LA 150 mg/ml injekční suspenze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2.</w:t>
      </w:r>
      <w:r>
        <w:rPr>
          <w:bCs/>
        </w:rPr>
        <w:tab/>
        <w:t>KVALITATIVNÍ A KVANTITATIVNÍ SLOŽENÍ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Každý ml suspenze obsahuje: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szCs w:val="22"/>
        </w:rPr>
      </w:pPr>
    </w:p>
    <w:p w:rsidR="00CB4991" w:rsidRDefault="00CB4991" w:rsidP="00CB499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Léčivá látka</w:t>
      </w:r>
    </w:p>
    <w:p w:rsidR="00CB4991" w:rsidRDefault="00CB4991" w:rsidP="00CB4991">
      <w:pPr>
        <w:tabs>
          <w:tab w:val="left" w:pos="3544"/>
        </w:tabs>
        <w:autoSpaceDE w:val="0"/>
        <w:autoSpaceDN w:val="0"/>
        <w:adjustRightInd w:val="0"/>
        <w:rPr>
          <w:b w:val="0"/>
          <w:szCs w:val="22"/>
        </w:rPr>
      </w:pPr>
      <w:proofErr w:type="spellStart"/>
      <w:proofErr w:type="gramStart"/>
      <w:r>
        <w:rPr>
          <w:b w:val="0"/>
          <w:szCs w:val="22"/>
        </w:rPr>
        <w:t>Amoxicillinum</w:t>
      </w:r>
      <w:proofErr w:type="spellEnd"/>
      <w:r>
        <w:rPr>
          <w:b w:val="0"/>
          <w:szCs w:val="22"/>
        </w:rPr>
        <w:t xml:space="preserve">  </w:t>
      </w:r>
      <w:r>
        <w:rPr>
          <w:b w:val="0"/>
          <w:szCs w:val="22"/>
        </w:rPr>
        <w:tab/>
      </w:r>
      <w:proofErr w:type="gramEnd"/>
      <w:r>
        <w:rPr>
          <w:b w:val="0"/>
          <w:szCs w:val="22"/>
        </w:rPr>
        <w:t>150 mg</w:t>
      </w:r>
    </w:p>
    <w:p w:rsidR="00CB4991" w:rsidRDefault="00CB4991" w:rsidP="00CB4991">
      <w:pPr>
        <w:tabs>
          <w:tab w:val="left" w:pos="3544"/>
        </w:tabs>
        <w:autoSpaceDE w:val="0"/>
        <w:autoSpaceDN w:val="0"/>
        <w:adjustRightInd w:val="0"/>
        <w:rPr>
          <w:b w:val="0"/>
          <w:szCs w:val="22"/>
        </w:rPr>
      </w:pPr>
      <w:r>
        <w:rPr>
          <w:b w:val="0"/>
          <w:szCs w:val="22"/>
        </w:rPr>
        <w:t xml:space="preserve">(jako </w:t>
      </w:r>
      <w:proofErr w:type="spellStart"/>
      <w:r>
        <w:rPr>
          <w:b w:val="0"/>
          <w:szCs w:val="22"/>
        </w:rPr>
        <w:t>Amoxicillinum</w:t>
      </w:r>
      <w:proofErr w:type="spellEnd"/>
      <w:r>
        <w:rPr>
          <w:b w:val="0"/>
          <w:szCs w:val="22"/>
        </w:rPr>
        <w:t xml:space="preserve"> </w:t>
      </w:r>
      <w:proofErr w:type="spellStart"/>
      <w:r>
        <w:rPr>
          <w:b w:val="0"/>
          <w:szCs w:val="22"/>
        </w:rPr>
        <w:t>trihydricum</w:t>
      </w:r>
      <w:proofErr w:type="spellEnd"/>
      <w:r>
        <w:rPr>
          <w:b w:val="0"/>
          <w:szCs w:val="22"/>
        </w:rPr>
        <w:t>)</w:t>
      </w:r>
    </w:p>
    <w:p w:rsidR="00CB4991" w:rsidRDefault="00CB4991" w:rsidP="00CB4991">
      <w:pPr>
        <w:tabs>
          <w:tab w:val="left" w:pos="3544"/>
        </w:tabs>
        <w:autoSpaceDE w:val="0"/>
        <w:autoSpaceDN w:val="0"/>
        <w:adjustRightInd w:val="0"/>
        <w:rPr>
          <w:b w:val="0"/>
          <w:szCs w:val="22"/>
        </w:rPr>
      </w:pPr>
    </w:p>
    <w:p w:rsidR="00CB4991" w:rsidRDefault="00CB4991" w:rsidP="00CB4991">
      <w:pPr>
        <w:tabs>
          <w:tab w:val="left" w:pos="3544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Pomocné látky:</w:t>
      </w:r>
    </w:p>
    <w:p w:rsidR="00CB4991" w:rsidRDefault="00CB4991" w:rsidP="00CB4991">
      <w:pPr>
        <w:tabs>
          <w:tab w:val="left" w:pos="3544"/>
          <w:tab w:val="left" w:pos="3686"/>
        </w:tabs>
        <w:autoSpaceDE w:val="0"/>
        <w:autoSpaceDN w:val="0"/>
        <w:adjustRightInd w:val="0"/>
        <w:rPr>
          <w:b w:val="0"/>
          <w:szCs w:val="22"/>
        </w:rPr>
      </w:pPr>
      <w:proofErr w:type="spellStart"/>
      <w:r>
        <w:rPr>
          <w:b w:val="0"/>
          <w:szCs w:val="22"/>
        </w:rPr>
        <w:t>Butylhydroxyanisol</w:t>
      </w:r>
      <w:proofErr w:type="spellEnd"/>
      <w:r>
        <w:rPr>
          <w:b w:val="0"/>
          <w:szCs w:val="22"/>
        </w:rPr>
        <w:t xml:space="preserve"> (E320)</w:t>
      </w:r>
      <w:r>
        <w:rPr>
          <w:b w:val="0"/>
          <w:szCs w:val="22"/>
        </w:rPr>
        <w:tab/>
        <w:t>0,08 mg</w:t>
      </w:r>
    </w:p>
    <w:p w:rsidR="00CB4991" w:rsidRDefault="00CB4991" w:rsidP="00CB4991">
      <w:pPr>
        <w:tabs>
          <w:tab w:val="left" w:pos="3544"/>
          <w:tab w:val="left" w:pos="3686"/>
        </w:tabs>
        <w:autoSpaceDE w:val="0"/>
        <w:autoSpaceDN w:val="0"/>
        <w:adjustRightInd w:val="0"/>
        <w:rPr>
          <w:b w:val="0"/>
          <w:szCs w:val="22"/>
        </w:rPr>
      </w:pPr>
      <w:proofErr w:type="spellStart"/>
      <w:r>
        <w:rPr>
          <w:b w:val="0"/>
          <w:szCs w:val="22"/>
        </w:rPr>
        <w:t>Butylhydroxytoluen</w:t>
      </w:r>
      <w:proofErr w:type="spellEnd"/>
      <w:r>
        <w:rPr>
          <w:b w:val="0"/>
          <w:szCs w:val="22"/>
        </w:rPr>
        <w:t xml:space="preserve"> (E321)</w:t>
      </w:r>
      <w:r>
        <w:rPr>
          <w:b w:val="0"/>
          <w:szCs w:val="22"/>
        </w:rPr>
        <w:tab/>
        <w:t>0,08 mg</w:t>
      </w:r>
    </w:p>
    <w:p w:rsidR="00CB4991" w:rsidRDefault="00CB4991" w:rsidP="00CB4991">
      <w:pPr>
        <w:jc w:val="both"/>
        <w:rPr>
          <w:b w:val="0"/>
          <w:szCs w:val="22"/>
        </w:rPr>
      </w:pPr>
    </w:p>
    <w:p w:rsidR="00CB4991" w:rsidRDefault="00CB4991" w:rsidP="00CB4991">
      <w:pPr>
        <w:jc w:val="both"/>
        <w:rPr>
          <w:b w:val="0"/>
          <w:szCs w:val="22"/>
        </w:rPr>
      </w:pPr>
      <w:r>
        <w:rPr>
          <w:b w:val="0"/>
          <w:szCs w:val="22"/>
        </w:rPr>
        <w:t>Úplný seznam pomocných látek viz bod 6.1.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3.</w:t>
      </w:r>
      <w:r>
        <w:rPr>
          <w:bCs/>
        </w:rPr>
        <w:tab/>
        <w:t>LÉKOVÁ FORMA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Injekční suspenze.</w:t>
      </w: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Bílá až našedlá olejovitá suspenze.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</w:t>
      </w:r>
      <w:r>
        <w:rPr>
          <w:bCs/>
        </w:rPr>
        <w:tab/>
        <w:t>KLINICKÉ ÚDAJE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4.1</w:t>
      </w:r>
      <w:r>
        <w:rPr>
          <w:bCs/>
        </w:rPr>
        <w:tab/>
        <w:t>Cílové druhy zvířat</w:t>
      </w:r>
    </w:p>
    <w:p w:rsidR="00CB4991" w:rsidRDefault="00CB4991" w:rsidP="00CB4991">
      <w:pPr>
        <w:rPr>
          <w:sz w:val="28"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Skot, ovce, prasata, psi, kočky.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4.2</w:t>
      </w:r>
      <w:r>
        <w:rPr>
          <w:bCs/>
        </w:rPr>
        <w:tab/>
        <w:t>Indikace s upřesněním pro cílový druh zvířat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 xml:space="preserve">Léčba infekčních onemocnění vyvolaných mikroorganismy citlivými na amoxicilin u skotu, ovcí, prasat, psů a koček, kdy je vyžadována prolongovaná účinnost po jednorázovém podání. Onemocnění alimentárního, respiračního a urogenitálního traktu, dermatitidy. Prevence pooperačních infekcí. 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4.3</w:t>
      </w:r>
      <w:r>
        <w:rPr>
          <w:bCs/>
        </w:rPr>
        <w:tab/>
        <w:t>Kontraindikace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rPr>
          <w:b w:val="0"/>
          <w:szCs w:val="22"/>
        </w:rPr>
      </w:pPr>
      <w:r>
        <w:rPr>
          <w:b w:val="0"/>
          <w:szCs w:val="22"/>
        </w:rPr>
        <w:t xml:space="preserve">Nepodávat nitrožilně nebo </w:t>
      </w:r>
      <w:proofErr w:type="spellStart"/>
      <w:r>
        <w:rPr>
          <w:b w:val="0"/>
          <w:szCs w:val="22"/>
        </w:rPr>
        <w:t>intratekálně</w:t>
      </w:r>
      <w:proofErr w:type="spellEnd"/>
      <w:r>
        <w:rPr>
          <w:b w:val="0"/>
          <w:szCs w:val="22"/>
        </w:rPr>
        <w:t>.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iCs/>
          <w:szCs w:val="22"/>
        </w:rPr>
      </w:pPr>
      <w:r>
        <w:rPr>
          <w:b w:val="0"/>
          <w:szCs w:val="22"/>
        </w:rPr>
        <w:t xml:space="preserve">Nepoužívat v případě infekcí vyvolaných </w:t>
      </w:r>
      <w:r>
        <w:rPr>
          <w:b w:val="0"/>
          <w:iCs/>
          <w:szCs w:val="22"/>
        </w:rPr>
        <w:t>mikroorganismy produkujícími beta-</w:t>
      </w:r>
      <w:proofErr w:type="spellStart"/>
      <w:r>
        <w:rPr>
          <w:b w:val="0"/>
          <w:iCs/>
          <w:szCs w:val="22"/>
        </w:rPr>
        <w:t>laktamázy</w:t>
      </w:r>
      <w:proofErr w:type="spellEnd"/>
      <w:r>
        <w:rPr>
          <w:b w:val="0"/>
          <w:iCs/>
          <w:szCs w:val="22"/>
        </w:rPr>
        <w:t>.</w:t>
      </w:r>
    </w:p>
    <w:p w:rsidR="00CB4991" w:rsidRDefault="00CB4991" w:rsidP="00CB4991">
      <w:pPr>
        <w:autoSpaceDE w:val="0"/>
        <w:autoSpaceDN w:val="0"/>
        <w:adjustRightInd w:val="0"/>
        <w:jc w:val="both"/>
        <w:rPr>
          <w:b w:val="0"/>
          <w:szCs w:val="22"/>
        </w:rPr>
      </w:pPr>
      <w:r>
        <w:rPr>
          <w:b w:val="0"/>
          <w:szCs w:val="22"/>
        </w:rPr>
        <w:t xml:space="preserve">Nepoužívat pro perorální nebo parenterální podání u králíků, činčil, morčat, křečků a </w:t>
      </w:r>
      <w:proofErr w:type="spellStart"/>
      <w:r>
        <w:rPr>
          <w:b w:val="0"/>
          <w:szCs w:val="22"/>
        </w:rPr>
        <w:t>pískomilů</w:t>
      </w:r>
      <w:proofErr w:type="spellEnd"/>
      <w:r>
        <w:rPr>
          <w:b w:val="0"/>
          <w:szCs w:val="22"/>
        </w:rPr>
        <w:t>.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szCs w:val="22"/>
        </w:rPr>
      </w:pPr>
      <w:r>
        <w:rPr>
          <w:b w:val="0"/>
          <w:szCs w:val="22"/>
        </w:rPr>
        <w:t>Nepoužívat v případě přecitlivělosti na amoxicilin.</w:t>
      </w: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 xml:space="preserve">Nepoužívat u ovcí, jejichž mléko je určeno pro lidský konzum. 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4.4</w:t>
      </w:r>
      <w:r>
        <w:rPr>
          <w:bCs/>
        </w:rPr>
        <w:tab/>
        <w:t>Zvláštní upozornění pro každý cílový druh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Není.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4.5</w:t>
      </w:r>
      <w:r>
        <w:rPr>
          <w:bCs/>
        </w:rPr>
        <w:tab/>
        <w:t>Zvláštní opatření pro použití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keepNext/>
        <w:outlineLvl w:val="1"/>
        <w:rPr>
          <w:bCs/>
        </w:rPr>
      </w:pPr>
      <w:r>
        <w:rPr>
          <w:bCs/>
        </w:rPr>
        <w:t>Zvláštní opatření pro použití u zvířat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jc w:val="both"/>
        <w:rPr>
          <w:b w:val="0"/>
          <w:szCs w:val="22"/>
        </w:rPr>
      </w:pPr>
      <w:r>
        <w:rPr>
          <w:b w:val="0"/>
          <w:bCs/>
        </w:rPr>
        <w:t xml:space="preserve">Před použitím protřepat. </w:t>
      </w:r>
      <w:r>
        <w:rPr>
          <w:b w:val="0"/>
          <w:szCs w:val="22"/>
        </w:rPr>
        <w:t>Před odběrem každé dávky očistěte zátku tampónem. Během podání dodržujte běžná aseptická opatření (používejte suché sterilní jehly a injekční stříkačky pro odebrání suspenze).</w:t>
      </w:r>
    </w:p>
    <w:p w:rsidR="00CB4991" w:rsidRDefault="00CB4991" w:rsidP="00CB4991">
      <w:pPr>
        <w:jc w:val="both"/>
        <w:rPr>
          <w:b w:val="0"/>
          <w:szCs w:val="22"/>
        </w:rPr>
      </w:pPr>
      <w:r>
        <w:rPr>
          <w:b w:val="0"/>
          <w:szCs w:val="22"/>
        </w:rPr>
        <w:t xml:space="preserve">Je správnou klinickou praxí založit léčbu na testu citlivosti bakterií izolovaných ze zvířete. Pokud toto není možné, měla by být léčba založena na místní (regionální, farmové) </w:t>
      </w:r>
      <w:proofErr w:type="spellStart"/>
      <w:r>
        <w:rPr>
          <w:b w:val="0"/>
          <w:szCs w:val="22"/>
        </w:rPr>
        <w:t>epizootologické</w:t>
      </w:r>
      <w:proofErr w:type="spellEnd"/>
      <w:r>
        <w:rPr>
          <w:b w:val="0"/>
          <w:szCs w:val="22"/>
        </w:rPr>
        <w:t xml:space="preserve"> informaci o citlivosti cílové bakterie.</w:t>
      </w:r>
    </w:p>
    <w:p w:rsidR="00CB4991" w:rsidRDefault="00CB4991" w:rsidP="00CB4991">
      <w:pPr>
        <w:jc w:val="both"/>
        <w:rPr>
          <w:b w:val="0"/>
          <w:szCs w:val="22"/>
        </w:rPr>
      </w:pPr>
      <w:r>
        <w:rPr>
          <w:b w:val="0"/>
          <w:szCs w:val="22"/>
        </w:rPr>
        <w:t>Pro podání při prevenci pooperačních infekcí podávejte před chirurgickým zásahem.</w:t>
      </w:r>
    </w:p>
    <w:p w:rsidR="00CB4991" w:rsidRDefault="00CB4991" w:rsidP="00CB4991">
      <w:pPr>
        <w:jc w:val="both"/>
        <w:rPr>
          <w:b w:val="0"/>
          <w:szCs w:val="22"/>
        </w:rPr>
      </w:pPr>
      <w:r>
        <w:rPr>
          <w:b w:val="0"/>
          <w:szCs w:val="22"/>
        </w:rPr>
        <w:lastRenderedPageBreak/>
        <w:t xml:space="preserve">V případě překročení objemu podaného do jednoho místa injekčního podání (viz bod 4.9) může dojít k perzistenci reziduí v místě injekčního podání. 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keepNext/>
        <w:outlineLvl w:val="1"/>
        <w:rPr>
          <w:bCs/>
        </w:rPr>
      </w:pPr>
      <w:r>
        <w:rPr>
          <w:bCs/>
        </w:rPr>
        <w:t>Zvláštní opatření určené osobám, které podávají veterinární léčivý přípravek zvířatům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jc w:val="both"/>
        <w:rPr>
          <w:b w:val="0"/>
          <w:bCs/>
        </w:rPr>
      </w:pPr>
      <w:r>
        <w:rPr>
          <w:b w:val="0"/>
          <w:bCs/>
        </w:rPr>
        <w:t xml:space="preserve">Peniciliny a cefalosporiny mohou po injekci, inhalaci, požití nebo po kontaktu s kůží vyvolat přecitlivělost (alergii). Přecitlivělost na peniciliny může vést ke zkříženým reakcím s cefalosporiny </w:t>
      </w:r>
      <w:r>
        <w:rPr>
          <w:b w:val="0"/>
          <w:bCs/>
        </w:rPr>
        <w:br/>
        <w:t>a naopak. Alergické reakce na tyto látky mohou být v některých případech vážné.</w:t>
      </w:r>
    </w:p>
    <w:p w:rsidR="00CB4991" w:rsidRDefault="00CB4991" w:rsidP="00CB4991">
      <w:pPr>
        <w:jc w:val="both"/>
        <w:rPr>
          <w:b w:val="0"/>
          <w:bCs/>
        </w:rPr>
      </w:pPr>
      <w:r>
        <w:rPr>
          <w:b w:val="0"/>
          <w:bCs/>
        </w:rPr>
        <w:t xml:space="preserve">Lidé se známou přecitlivělostí na peniciliny a/nebo cefalosporiny by se měli vyhnout kontaktu s veterinárním léčivým přípravkem. Pokud se rozvinou </w:t>
      </w:r>
      <w:proofErr w:type="spellStart"/>
      <w:r>
        <w:rPr>
          <w:b w:val="0"/>
          <w:bCs/>
        </w:rPr>
        <w:t>postexpoziční</w:t>
      </w:r>
      <w:proofErr w:type="spellEnd"/>
      <w:r>
        <w:rPr>
          <w:b w:val="0"/>
          <w:bCs/>
        </w:rPr>
        <w:t xml:space="preserve"> příznaky jako kožní vyrážka, vyhledejte lékařskou pomoc a ukažte příbalovou informaci nebo etiketu praktickému lékaři. Otok obličeje, rtů, očí nebo potíže s dýcháním jsou vážné příznaky a vyžadují okamžité lékařské ošetření. V případě náhodného </w:t>
      </w:r>
      <w:proofErr w:type="spellStart"/>
      <w:r>
        <w:rPr>
          <w:b w:val="0"/>
          <w:bCs/>
        </w:rPr>
        <w:t>samopodání</w:t>
      </w:r>
      <w:proofErr w:type="spellEnd"/>
      <w:r>
        <w:rPr>
          <w:b w:val="0"/>
          <w:bCs/>
        </w:rPr>
        <w:t xml:space="preserve"> injekčně aplikovaným přípravkem vyhledejte ihned lékařskou pomoc a ukažte příbalovou informaci nebo etiketu praktickému lékaři.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4.6</w:t>
      </w:r>
      <w:r>
        <w:rPr>
          <w:bCs/>
        </w:rPr>
        <w:tab/>
        <w:t>Nežádoucí účinky (frekvence a závažnost)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Amoxic</w:t>
      </w:r>
      <w:r w:rsidR="005056AE">
        <w:rPr>
          <w:b w:val="0"/>
          <w:bCs/>
        </w:rPr>
        <w:t>i</w:t>
      </w:r>
      <w:r>
        <w:rPr>
          <w:b w:val="0"/>
          <w:bCs/>
        </w:rPr>
        <w:t>lin patří mezi dobře snášená antibiotika. Zřídka se mohou vyskytnout mírné reakce přechodného charakteru v místě injekčního podání.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4.7</w:t>
      </w:r>
      <w:r>
        <w:rPr>
          <w:bCs/>
        </w:rPr>
        <w:tab/>
        <w:t>Použití v průběhu březosti a laktace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Přípravek je bezpečný pro použití během gravidity a laktace.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4.8</w:t>
      </w:r>
      <w:r>
        <w:rPr>
          <w:bCs/>
        </w:rPr>
        <w:tab/>
        <w:t>Interakce s dalšími léčivými přípravky a další formy interakce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Nejsou známy.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4.9</w:t>
      </w:r>
      <w:r>
        <w:rPr>
          <w:bCs/>
        </w:rPr>
        <w:tab/>
        <w:t>Podávané množství a způsob podání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Skot, ovce a prasata: pouze intramuskulární podání.</w:t>
      </w: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Psi a kočky: intramuskulární nebo subkutánní podání.</w:t>
      </w:r>
    </w:p>
    <w:p w:rsidR="00CB4991" w:rsidRDefault="00CB4991" w:rsidP="00CB4991">
      <w:pPr>
        <w:autoSpaceDE w:val="0"/>
        <w:autoSpaceDN w:val="0"/>
        <w:adjustRightInd w:val="0"/>
        <w:jc w:val="both"/>
        <w:rPr>
          <w:b w:val="0"/>
          <w:bCs/>
        </w:rPr>
      </w:pPr>
      <w:r>
        <w:rPr>
          <w:b w:val="0"/>
          <w:bCs/>
        </w:rPr>
        <w:t xml:space="preserve">Doporučená </w:t>
      </w:r>
      <w:r>
        <w:rPr>
          <w:b w:val="0"/>
        </w:rPr>
        <w:t xml:space="preserve">dávka je 15 mg </w:t>
      </w:r>
      <w:proofErr w:type="spellStart"/>
      <w:r>
        <w:rPr>
          <w:b w:val="0"/>
        </w:rPr>
        <w:t>amoxicillinu</w:t>
      </w:r>
      <w:proofErr w:type="spellEnd"/>
      <w:r>
        <w:rPr>
          <w:b w:val="0"/>
        </w:rPr>
        <w:t xml:space="preserve"> na 1 kg živé hmotnosti (</w:t>
      </w:r>
      <w:proofErr w:type="gramStart"/>
      <w:r>
        <w:rPr>
          <w:b w:val="0"/>
        </w:rPr>
        <w:t>t.j.</w:t>
      </w:r>
      <w:proofErr w:type="gramEnd"/>
      <w:r>
        <w:rPr>
          <w:b w:val="0"/>
        </w:rPr>
        <w:t xml:space="preserve"> 1 ml přípravku na 10 kg živé hmotnosti).</w:t>
      </w:r>
      <w:r w:rsidR="005056AE">
        <w:rPr>
          <w:b w:val="0"/>
        </w:rPr>
        <w:t xml:space="preserve"> </w:t>
      </w:r>
      <w:r>
        <w:rPr>
          <w:b w:val="0"/>
        </w:rPr>
        <w:t xml:space="preserve">V případě nutnosti opakovat po 48 hodinách. </w:t>
      </w:r>
      <w:r>
        <w:rPr>
          <w:b w:val="0"/>
          <w:bCs/>
        </w:rPr>
        <w:t>Přesáhne-li objem dávky do jednoho místa injekčního podání 15 ml u skotu a 4 ml u ovcí a prasat, měl by se rozdělit a aplikovat do dvou a více různých míst.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Stanovte živou hmotnost zvířete co možná nejpřesněji, abyste zajistili správné dávkování.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 w:val="0"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4.10</w:t>
      </w:r>
      <w:r>
        <w:rPr>
          <w:bCs/>
        </w:rPr>
        <w:tab/>
        <w:t xml:space="preserve">Předávkování (symptomy, první pomoc, </w:t>
      </w:r>
      <w:proofErr w:type="spellStart"/>
      <w:r>
        <w:rPr>
          <w:bCs/>
        </w:rPr>
        <w:t>antidota</w:t>
      </w:r>
      <w:proofErr w:type="spellEnd"/>
      <w:r>
        <w:rPr>
          <w:bCs/>
        </w:rPr>
        <w:t>) (pokud je to nutné)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Amoxicilin je velmi málo toxický a je velmi dobře tolerován při parenterálním podání. Příležitostně se mohou po podání přípravku objevit lokální tkáňové reakce i při doporučených dávkách.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4.11</w:t>
      </w:r>
      <w:r>
        <w:rPr>
          <w:bCs/>
        </w:rPr>
        <w:tab/>
        <w:t>Ochranná(é) lhůta(y)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 xml:space="preserve">Skot: 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Maso: 39 dnů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Mléko: 108 hodin (4,5 dne)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Prasata: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Maso: 42 dnů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Ovce: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Maso: 29 dnů</w:t>
      </w:r>
    </w:p>
    <w:p w:rsidR="00CB4991" w:rsidRDefault="00CB4991" w:rsidP="00CB4991">
      <w:pPr>
        <w:autoSpaceDE w:val="0"/>
        <w:autoSpaceDN w:val="0"/>
        <w:adjustRightInd w:val="0"/>
        <w:rPr>
          <w:b w:val="0"/>
        </w:rPr>
      </w:pPr>
      <w:r>
        <w:rPr>
          <w:b w:val="0"/>
        </w:rPr>
        <w:t xml:space="preserve">Mléko: Nepoužívat u ovcí, jejichž mléko je určeno pro lidskou spotřebu. 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5.</w:t>
      </w:r>
      <w:r>
        <w:rPr>
          <w:bCs/>
        </w:rPr>
        <w:tab/>
        <w:t>FARMAKOLOGICKÉ VLASTNOSTI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  <w:szCs w:val="22"/>
        </w:rPr>
      </w:pPr>
      <w:r>
        <w:rPr>
          <w:bCs/>
          <w:szCs w:val="22"/>
        </w:rPr>
        <w:t>Farmakoterapeutická skupina:</w:t>
      </w:r>
      <w:r>
        <w:rPr>
          <w:b w:val="0"/>
          <w:bCs/>
          <w:szCs w:val="22"/>
        </w:rPr>
        <w:t xml:space="preserve"> antibakteriální léčiva pro systémovou aplikaci, beta-</w:t>
      </w:r>
      <w:proofErr w:type="spellStart"/>
      <w:r>
        <w:rPr>
          <w:b w:val="0"/>
          <w:bCs/>
          <w:szCs w:val="22"/>
        </w:rPr>
        <w:t>laktamová</w:t>
      </w:r>
      <w:proofErr w:type="spellEnd"/>
      <w:r>
        <w:rPr>
          <w:b w:val="0"/>
          <w:bCs/>
          <w:szCs w:val="22"/>
        </w:rPr>
        <w:t xml:space="preserve"> antibiotika, peniciliny</w:t>
      </w:r>
    </w:p>
    <w:p w:rsidR="00CB4991" w:rsidRDefault="00CB4991" w:rsidP="00CB4991">
      <w:pPr>
        <w:rPr>
          <w:b w:val="0"/>
          <w:bCs/>
          <w:szCs w:val="22"/>
        </w:rPr>
      </w:pPr>
      <w:proofErr w:type="spellStart"/>
      <w:r>
        <w:rPr>
          <w:bCs/>
          <w:szCs w:val="22"/>
        </w:rPr>
        <w:t>ATCvet</w:t>
      </w:r>
      <w:proofErr w:type="spellEnd"/>
      <w:r>
        <w:rPr>
          <w:bCs/>
          <w:szCs w:val="22"/>
        </w:rPr>
        <w:t xml:space="preserve"> kód:</w:t>
      </w:r>
      <w:r>
        <w:rPr>
          <w:b w:val="0"/>
          <w:bCs/>
          <w:szCs w:val="22"/>
        </w:rPr>
        <w:t xml:space="preserve"> QJ01CA04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5.1</w:t>
      </w:r>
      <w:r>
        <w:rPr>
          <w:bCs/>
        </w:rPr>
        <w:tab/>
        <w:t>Farmakodynamické vlastnosti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jc w:val="both"/>
        <w:rPr>
          <w:rFonts w:eastAsia="Calibri"/>
          <w:b w:val="0"/>
          <w:szCs w:val="22"/>
          <w:lang w:eastAsia="en-US"/>
        </w:rPr>
      </w:pPr>
      <w:r>
        <w:rPr>
          <w:rFonts w:eastAsia="Calibri"/>
          <w:b w:val="0"/>
          <w:szCs w:val="22"/>
          <w:lang w:eastAsia="en-US"/>
        </w:rPr>
        <w:t xml:space="preserve">Amoxicilin je širokospektrální </w:t>
      </w:r>
      <w:proofErr w:type="spellStart"/>
      <w:r>
        <w:rPr>
          <w:rFonts w:eastAsia="Calibri"/>
          <w:b w:val="0"/>
          <w:szCs w:val="22"/>
          <w:lang w:eastAsia="en-US"/>
        </w:rPr>
        <w:t>semisyntetický</w:t>
      </w:r>
      <w:proofErr w:type="spellEnd"/>
      <w:r>
        <w:rPr>
          <w:rFonts w:eastAsia="Calibri"/>
          <w:b w:val="0"/>
          <w:szCs w:val="22"/>
          <w:lang w:eastAsia="en-US"/>
        </w:rPr>
        <w:t xml:space="preserve"> penicilin s baktericidním antibakteriálním působením. </w:t>
      </w:r>
      <w:r>
        <w:rPr>
          <w:rFonts w:eastAsia="Calibri"/>
          <w:b w:val="0"/>
          <w:i/>
          <w:szCs w:val="22"/>
          <w:lang w:eastAsia="en-US"/>
        </w:rPr>
        <w:t>In vitro</w:t>
      </w:r>
      <w:r>
        <w:rPr>
          <w:rFonts w:eastAsia="Calibri"/>
          <w:b w:val="0"/>
          <w:szCs w:val="22"/>
          <w:lang w:eastAsia="en-US"/>
        </w:rPr>
        <w:t xml:space="preserve"> je účinný vůči široké škále </w:t>
      </w:r>
      <w:proofErr w:type="spellStart"/>
      <w:r>
        <w:rPr>
          <w:rFonts w:eastAsia="Calibri"/>
          <w:b w:val="0"/>
          <w:szCs w:val="22"/>
          <w:lang w:eastAsia="en-US"/>
        </w:rPr>
        <w:t>grampozitivních</w:t>
      </w:r>
      <w:proofErr w:type="spellEnd"/>
      <w:r>
        <w:rPr>
          <w:rFonts w:eastAsia="Calibri"/>
          <w:b w:val="0"/>
          <w:szCs w:val="22"/>
          <w:lang w:eastAsia="en-US"/>
        </w:rPr>
        <w:t xml:space="preserve"> a gramnegativních bakterií.</w:t>
      </w:r>
    </w:p>
    <w:p w:rsidR="00CB4991" w:rsidRDefault="00CB4991" w:rsidP="00CB4991">
      <w:pPr>
        <w:rPr>
          <w:rFonts w:eastAsia="Calibri"/>
          <w:b w:val="0"/>
          <w:szCs w:val="22"/>
          <w:lang w:eastAsia="en-US"/>
        </w:rPr>
      </w:pPr>
      <w:r>
        <w:rPr>
          <w:rFonts w:eastAsia="Calibri"/>
          <w:b w:val="0"/>
          <w:szCs w:val="22"/>
          <w:lang w:eastAsia="en-US"/>
        </w:rPr>
        <w:t xml:space="preserve">Amoxicilin inhibuje jeden nebo více enzymů PBP (proteiny vázající penicilin) účastnících se biosyntetické tvorby bakteriálního </w:t>
      </w:r>
      <w:proofErr w:type="spellStart"/>
      <w:r>
        <w:rPr>
          <w:rFonts w:eastAsia="Calibri"/>
          <w:b w:val="0"/>
          <w:szCs w:val="22"/>
          <w:lang w:eastAsia="en-US"/>
        </w:rPr>
        <w:t>peptidoglykanu</w:t>
      </w:r>
      <w:proofErr w:type="spellEnd"/>
      <w:r>
        <w:rPr>
          <w:rFonts w:eastAsia="Calibri"/>
          <w:b w:val="0"/>
          <w:szCs w:val="22"/>
          <w:lang w:eastAsia="en-US"/>
        </w:rPr>
        <w:t xml:space="preserve">, který je nedílnou strukturální součástí bakteriální buněčné stěny. Inhibice syntézy </w:t>
      </w:r>
      <w:proofErr w:type="spellStart"/>
      <w:r>
        <w:rPr>
          <w:rFonts w:eastAsia="Calibri"/>
          <w:b w:val="0"/>
          <w:szCs w:val="22"/>
          <w:lang w:eastAsia="en-US"/>
        </w:rPr>
        <w:t>peptidoglykanu</w:t>
      </w:r>
      <w:proofErr w:type="spellEnd"/>
      <w:r>
        <w:rPr>
          <w:rFonts w:eastAsia="Calibri"/>
          <w:b w:val="0"/>
          <w:szCs w:val="22"/>
          <w:lang w:eastAsia="en-US"/>
        </w:rPr>
        <w:t xml:space="preserve"> způsobuje oslabení buněčné stěny, obvykle následované rozpadem bakteriální buňky.</w:t>
      </w:r>
    </w:p>
    <w:p w:rsidR="00CB4991" w:rsidRDefault="00CB4991" w:rsidP="00CB4991">
      <w:pPr>
        <w:rPr>
          <w:rFonts w:eastAsia="Calibri"/>
          <w:b w:val="0"/>
          <w:szCs w:val="22"/>
          <w:lang w:eastAsia="en-US"/>
        </w:rPr>
      </w:pPr>
      <w:r>
        <w:rPr>
          <w:rFonts w:eastAsia="Calibri"/>
          <w:b w:val="0"/>
          <w:szCs w:val="22"/>
          <w:lang w:eastAsia="en-US"/>
        </w:rPr>
        <w:t xml:space="preserve">    </w:t>
      </w:r>
    </w:p>
    <w:p w:rsidR="00CB4991" w:rsidRDefault="00CB4991" w:rsidP="00CB4991">
      <w:pPr>
        <w:jc w:val="both"/>
        <w:rPr>
          <w:rFonts w:eastAsia="Calibri"/>
          <w:b w:val="0"/>
          <w:szCs w:val="22"/>
          <w:lang w:eastAsia="en-US"/>
        </w:rPr>
      </w:pPr>
      <w:r>
        <w:rPr>
          <w:rFonts w:eastAsia="Calibri"/>
          <w:b w:val="0"/>
          <w:szCs w:val="22"/>
          <w:lang w:eastAsia="en-US"/>
        </w:rPr>
        <w:t>Existují tři hlavní mechanizmy rezistence na beta-</w:t>
      </w:r>
      <w:proofErr w:type="spellStart"/>
      <w:r>
        <w:rPr>
          <w:rFonts w:eastAsia="Calibri"/>
          <w:b w:val="0"/>
          <w:szCs w:val="22"/>
          <w:lang w:eastAsia="en-US"/>
        </w:rPr>
        <w:t>laktamová</w:t>
      </w:r>
      <w:proofErr w:type="spellEnd"/>
      <w:r>
        <w:rPr>
          <w:rFonts w:eastAsia="Calibri"/>
          <w:b w:val="0"/>
          <w:szCs w:val="22"/>
          <w:lang w:eastAsia="en-US"/>
        </w:rPr>
        <w:t xml:space="preserve"> antibiotika: produkce beta-</w:t>
      </w:r>
      <w:proofErr w:type="spellStart"/>
      <w:r>
        <w:rPr>
          <w:rFonts w:eastAsia="Calibri"/>
          <w:b w:val="0"/>
          <w:szCs w:val="22"/>
          <w:lang w:eastAsia="en-US"/>
        </w:rPr>
        <w:t>laktamáz</w:t>
      </w:r>
      <w:proofErr w:type="spellEnd"/>
      <w:r>
        <w:rPr>
          <w:rFonts w:eastAsia="Calibri"/>
          <w:b w:val="0"/>
          <w:szCs w:val="22"/>
          <w:lang w:eastAsia="en-US"/>
        </w:rPr>
        <w:t>, změna PBP (penicilin vázajících proteinů), snížená propustnost vnější membrány. Jedním z nejdůležitějších je inaktivace penicilinového antibiotika beta-</w:t>
      </w:r>
      <w:proofErr w:type="spellStart"/>
      <w:r>
        <w:rPr>
          <w:rFonts w:eastAsia="Calibri"/>
          <w:b w:val="0"/>
          <w:szCs w:val="22"/>
          <w:lang w:eastAsia="en-US"/>
        </w:rPr>
        <w:t>laktamovými</w:t>
      </w:r>
      <w:proofErr w:type="spellEnd"/>
      <w:r>
        <w:rPr>
          <w:rFonts w:eastAsia="Calibri"/>
          <w:b w:val="0"/>
          <w:szCs w:val="22"/>
          <w:lang w:eastAsia="en-US"/>
        </w:rPr>
        <w:t xml:space="preserve"> enzymy produkovanými některými bakteriemi. Tyto enzymy štěpí beta-</w:t>
      </w:r>
      <w:proofErr w:type="spellStart"/>
      <w:r>
        <w:rPr>
          <w:rFonts w:eastAsia="Calibri"/>
          <w:b w:val="0"/>
          <w:szCs w:val="22"/>
          <w:lang w:eastAsia="en-US"/>
        </w:rPr>
        <w:t>laktamový</w:t>
      </w:r>
      <w:proofErr w:type="spellEnd"/>
      <w:r>
        <w:rPr>
          <w:rFonts w:eastAsia="Calibri"/>
          <w:b w:val="0"/>
          <w:szCs w:val="22"/>
          <w:lang w:eastAsia="en-US"/>
        </w:rPr>
        <w:t xml:space="preserve"> kruh penicilinu a tím činí penicilinové antibiotikum neaktivní.</w:t>
      </w:r>
    </w:p>
    <w:p w:rsidR="00CB4991" w:rsidRDefault="00CB4991" w:rsidP="00CB4991">
      <w:pPr>
        <w:tabs>
          <w:tab w:val="left" w:pos="284"/>
        </w:tabs>
        <w:rPr>
          <w:rFonts w:eastAsia="Calibri"/>
          <w:b w:val="0"/>
          <w:szCs w:val="22"/>
          <w:lang w:eastAsia="en-US"/>
        </w:rPr>
      </w:pPr>
      <w:r>
        <w:rPr>
          <w:rFonts w:eastAsia="Calibri"/>
          <w:b w:val="0"/>
          <w:szCs w:val="22"/>
          <w:lang w:eastAsia="en-US"/>
        </w:rPr>
        <w:t xml:space="preserve">Je-li prokázána rezistence na amoxicilin, pak s ostatními peniciliny je úplná zkřížená rezistence, částečná s ostatními </w:t>
      </w:r>
      <w:proofErr w:type="spellStart"/>
      <w:r>
        <w:rPr>
          <w:rFonts w:eastAsia="Calibri"/>
          <w:b w:val="0"/>
          <w:szCs w:val="22"/>
          <w:lang w:eastAsia="en-US"/>
        </w:rPr>
        <w:t>aminopeniciliny</w:t>
      </w:r>
      <w:proofErr w:type="spellEnd"/>
      <w:r>
        <w:rPr>
          <w:rFonts w:eastAsia="Calibri"/>
          <w:b w:val="0"/>
          <w:szCs w:val="22"/>
          <w:lang w:eastAsia="en-US"/>
        </w:rPr>
        <w:t xml:space="preserve"> (ampicilin), případně je možná i rezistence na cefalosporiny.  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5.2</w:t>
      </w:r>
      <w:r>
        <w:rPr>
          <w:bCs/>
        </w:rPr>
        <w:tab/>
        <w:t>Farmakokinetické údaje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jc w:val="both"/>
        <w:rPr>
          <w:rFonts w:eastAsia="Calibri"/>
          <w:b w:val="0"/>
          <w:szCs w:val="22"/>
          <w:lang w:eastAsia="en-US"/>
        </w:rPr>
      </w:pPr>
      <w:r>
        <w:rPr>
          <w:rFonts w:eastAsia="Calibri"/>
          <w:b w:val="0"/>
          <w:szCs w:val="22"/>
          <w:lang w:eastAsia="en-US"/>
        </w:rPr>
        <w:t>Přípravek je po podání relativně rychle absorbován. V cílových tkáních postižených infekčním procesem dochází následně k výraznému antibakteriálnímu působení a relativně rychlému zlepšení celkového stavu organismu. Vylučuje se močí převážně v nezměněné formě. Menší množství amoxicilinu se vylučuje prostřednictvím žluči a mléka.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6.</w:t>
      </w:r>
      <w:r>
        <w:rPr>
          <w:bCs/>
        </w:rPr>
        <w:tab/>
        <w:t>FARMACEUTICKÉ ÚDAJE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6.1</w:t>
      </w:r>
      <w:r>
        <w:rPr>
          <w:bCs/>
        </w:rPr>
        <w:tab/>
        <w:t>Seznam pomocných látek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autoSpaceDE w:val="0"/>
        <w:autoSpaceDN w:val="0"/>
        <w:adjustRightInd w:val="0"/>
        <w:rPr>
          <w:b w:val="0"/>
          <w:szCs w:val="22"/>
        </w:rPr>
      </w:pPr>
      <w:proofErr w:type="spellStart"/>
      <w:r>
        <w:rPr>
          <w:b w:val="0"/>
          <w:szCs w:val="22"/>
        </w:rPr>
        <w:t>Butylhydroxyanisol</w:t>
      </w:r>
      <w:proofErr w:type="spellEnd"/>
      <w:r>
        <w:rPr>
          <w:b w:val="0"/>
          <w:szCs w:val="22"/>
        </w:rPr>
        <w:t xml:space="preserve"> (E320)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szCs w:val="22"/>
        </w:rPr>
      </w:pPr>
      <w:proofErr w:type="spellStart"/>
      <w:r>
        <w:rPr>
          <w:b w:val="0"/>
          <w:szCs w:val="22"/>
        </w:rPr>
        <w:t>Butylhydroxytoluen</w:t>
      </w:r>
      <w:proofErr w:type="spellEnd"/>
      <w:r>
        <w:rPr>
          <w:b w:val="0"/>
          <w:szCs w:val="22"/>
        </w:rPr>
        <w:t xml:space="preserve"> (E321)</w:t>
      </w:r>
    </w:p>
    <w:p w:rsidR="00CB4991" w:rsidRDefault="00CB4991" w:rsidP="00CB4991">
      <w:pPr>
        <w:autoSpaceDE w:val="0"/>
        <w:autoSpaceDN w:val="0"/>
        <w:adjustRightInd w:val="0"/>
        <w:rPr>
          <w:b w:val="0"/>
          <w:szCs w:val="22"/>
        </w:rPr>
      </w:pPr>
      <w:r>
        <w:rPr>
          <w:b w:val="0"/>
          <w:szCs w:val="22"/>
        </w:rPr>
        <w:t>Aluminium-</w:t>
      </w:r>
      <w:proofErr w:type="spellStart"/>
      <w:r>
        <w:rPr>
          <w:b w:val="0"/>
          <w:szCs w:val="22"/>
        </w:rPr>
        <w:t>distearát</w:t>
      </w:r>
      <w:proofErr w:type="spellEnd"/>
    </w:p>
    <w:p w:rsidR="00CB4991" w:rsidRDefault="00CB4991" w:rsidP="00CB4991">
      <w:pPr>
        <w:autoSpaceDE w:val="0"/>
        <w:autoSpaceDN w:val="0"/>
        <w:adjustRightInd w:val="0"/>
        <w:rPr>
          <w:b w:val="0"/>
          <w:szCs w:val="22"/>
        </w:rPr>
      </w:pPr>
      <w:proofErr w:type="spellStart"/>
      <w:r>
        <w:rPr>
          <w:b w:val="0"/>
          <w:szCs w:val="22"/>
        </w:rPr>
        <w:t>Propylenglykol-dioktano-didekanoát</w:t>
      </w:r>
      <w:proofErr w:type="spellEnd"/>
    </w:p>
    <w:p w:rsidR="00CB4991" w:rsidRDefault="00CB4991" w:rsidP="00CB4991">
      <w:pPr>
        <w:rPr>
          <w:b w:val="0"/>
        </w:rPr>
      </w:pPr>
    </w:p>
    <w:p w:rsidR="00CB4991" w:rsidRDefault="00CB4991" w:rsidP="00CB4991">
      <w:pPr>
        <w:rPr>
          <w:bCs/>
        </w:rPr>
      </w:pPr>
      <w:r>
        <w:rPr>
          <w:bCs/>
        </w:rPr>
        <w:t>6.2</w:t>
      </w:r>
      <w:r>
        <w:rPr>
          <w:bCs/>
        </w:rPr>
        <w:tab/>
        <w:t>Hlavní inkompatibility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</w:rPr>
      </w:pPr>
      <w:r>
        <w:rPr>
          <w:b w:val="0"/>
        </w:rPr>
        <w:t>Nejsou známy.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6.3</w:t>
      </w:r>
      <w:r>
        <w:rPr>
          <w:bCs/>
        </w:rPr>
        <w:tab/>
        <w:t>Doba použitelnosti</w:t>
      </w:r>
    </w:p>
    <w:p w:rsidR="00CB4991" w:rsidRDefault="00CB4991" w:rsidP="00CB4991">
      <w:pPr>
        <w:ind w:right="-318"/>
        <w:rPr>
          <w:bCs/>
        </w:rPr>
      </w:pPr>
    </w:p>
    <w:p w:rsidR="00CB4991" w:rsidRDefault="00CB4991" w:rsidP="00CB4991">
      <w:pPr>
        <w:ind w:right="-318"/>
        <w:rPr>
          <w:b w:val="0"/>
          <w:bCs/>
        </w:rPr>
      </w:pPr>
      <w:r>
        <w:rPr>
          <w:b w:val="0"/>
          <w:bCs/>
        </w:rPr>
        <w:t xml:space="preserve">Doba použitelnosti veterinárního léčivého přípravku v neporušeném obalu: </w:t>
      </w:r>
      <w:r w:rsidR="00ED1344">
        <w:rPr>
          <w:b w:val="0"/>
          <w:bCs/>
        </w:rPr>
        <w:t>18 měsíců</w:t>
      </w:r>
      <w:r>
        <w:rPr>
          <w:b w:val="0"/>
          <w:bCs/>
        </w:rPr>
        <w:t xml:space="preserve">. </w:t>
      </w:r>
    </w:p>
    <w:p w:rsidR="00CB4991" w:rsidRDefault="00CB4991" w:rsidP="00CB4991">
      <w:pPr>
        <w:ind w:right="-318"/>
        <w:rPr>
          <w:b w:val="0"/>
          <w:bCs/>
        </w:rPr>
      </w:pPr>
      <w:r>
        <w:rPr>
          <w:b w:val="0"/>
          <w:bCs/>
        </w:rPr>
        <w:t>Doba použitelnosti po prvním otevření vnitřního obalu: 28 dní.</w:t>
      </w:r>
    </w:p>
    <w:p w:rsidR="00CB4991" w:rsidRDefault="00CB4991" w:rsidP="00CB4991">
      <w:pPr>
        <w:ind w:right="-318"/>
        <w:rPr>
          <w:bCs/>
        </w:rPr>
      </w:pPr>
    </w:p>
    <w:p w:rsidR="00CB4991" w:rsidRDefault="00CB4991" w:rsidP="00CB4991">
      <w:pPr>
        <w:ind w:right="-318"/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6.4</w:t>
      </w:r>
      <w:r>
        <w:rPr>
          <w:bCs/>
        </w:rPr>
        <w:tab/>
        <w:t>Zvláštní opatření pro uchovávání</w:t>
      </w:r>
    </w:p>
    <w:p w:rsidR="00CB4991" w:rsidRDefault="00CB4991" w:rsidP="00CB4991">
      <w:pPr>
        <w:ind w:right="-318"/>
        <w:rPr>
          <w:bCs/>
        </w:rPr>
      </w:pPr>
    </w:p>
    <w:p w:rsidR="00CB4991" w:rsidRDefault="00CB4991" w:rsidP="00CB4991">
      <w:pPr>
        <w:ind w:right="-318"/>
        <w:rPr>
          <w:b w:val="0"/>
        </w:rPr>
      </w:pPr>
      <w:r>
        <w:rPr>
          <w:b w:val="0"/>
        </w:rPr>
        <w:t>Uchovávejte při teplotě do 25 °C.</w:t>
      </w:r>
    </w:p>
    <w:p w:rsidR="00CB4991" w:rsidRDefault="00CB4991" w:rsidP="00CB4991">
      <w:pPr>
        <w:ind w:right="-318"/>
        <w:rPr>
          <w:b w:val="0"/>
          <w:bCs/>
        </w:rPr>
      </w:pPr>
      <w:r>
        <w:rPr>
          <w:b w:val="0"/>
          <w:bCs/>
        </w:rPr>
        <w:t>Chraňte před světlem.</w:t>
      </w:r>
    </w:p>
    <w:p w:rsidR="00CB4991" w:rsidRDefault="00CB4991" w:rsidP="00CB4991">
      <w:pPr>
        <w:ind w:right="-318"/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6.5</w:t>
      </w:r>
      <w:r>
        <w:rPr>
          <w:bCs/>
        </w:rPr>
        <w:tab/>
        <w:t>Druh a složení vnitřního obalu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 xml:space="preserve">Injekční lahvička ze skla typu II uzavřená propichovací gumovou zátkou a hliníkovou </w:t>
      </w:r>
      <w:proofErr w:type="spellStart"/>
      <w:r>
        <w:rPr>
          <w:b w:val="0"/>
          <w:bCs/>
        </w:rPr>
        <w:t>pertlí</w:t>
      </w:r>
      <w:proofErr w:type="spellEnd"/>
      <w:r>
        <w:rPr>
          <w:b w:val="0"/>
          <w:bCs/>
        </w:rPr>
        <w:t>. Lahvička je vložena do papírové krabičky.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Velikost balení: 1 x 50 ml, 1 x 100 ml, 1 x 250 ml.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rPr>
          <w:b w:val="0"/>
          <w:bCs/>
        </w:rPr>
      </w:pPr>
      <w:r>
        <w:rPr>
          <w:b w:val="0"/>
          <w:bCs/>
        </w:rPr>
        <w:t>Na trhu nemusí být všechny velikosti balení.</w:t>
      </w:r>
    </w:p>
    <w:p w:rsidR="00CB4991" w:rsidRDefault="00CB4991" w:rsidP="00CB4991">
      <w:pPr>
        <w:ind w:right="-318"/>
        <w:rPr>
          <w:b w:val="0"/>
          <w:bCs/>
        </w:rPr>
      </w:pPr>
      <w:bookmarkStart w:id="0" w:name="_GoBack"/>
      <w:bookmarkEnd w:id="0"/>
    </w:p>
    <w:p w:rsidR="00CB4991" w:rsidRDefault="00CB4991" w:rsidP="00CB4991">
      <w:pPr>
        <w:rPr>
          <w:bCs/>
        </w:rPr>
      </w:pPr>
      <w:r>
        <w:rPr>
          <w:bCs/>
        </w:rPr>
        <w:t>6.6</w:t>
      </w:r>
      <w:r>
        <w:rPr>
          <w:bCs/>
        </w:rPr>
        <w:tab/>
        <w:t>Zvláštní opatření pro zneškodňování nepoužitého veterinárního léčivého přípravku nebo odpadu, který pochází z tohoto přípravku</w:t>
      </w:r>
    </w:p>
    <w:p w:rsidR="00CB4991" w:rsidRDefault="00CB4991" w:rsidP="00CB4991">
      <w:pPr>
        <w:ind w:right="-318"/>
        <w:rPr>
          <w:bCs/>
        </w:rPr>
      </w:pPr>
    </w:p>
    <w:p w:rsidR="00CB4991" w:rsidRDefault="00CB4991" w:rsidP="00CB4991">
      <w:pPr>
        <w:ind w:right="-318"/>
        <w:rPr>
          <w:b w:val="0"/>
        </w:rPr>
      </w:pPr>
      <w:r>
        <w:rPr>
          <w:b w:val="0"/>
        </w:rPr>
        <w:t xml:space="preserve">Všechen nepoužitý veterinární léčivý přípravek nebo odpad, který pochází z tohoto přípravku, </w:t>
      </w:r>
    </w:p>
    <w:p w:rsidR="00CB4991" w:rsidRDefault="00CB4991" w:rsidP="00CB4991">
      <w:pPr>
        <w:ind w:right="-318"/>
        <w:rPr>
          <w:b w:val="0"/>
          <w:i/>
        </w:rPr>
      </w:pPr>
      <w:r>
        <w:rPr>
          <w:b w:val="0"/>
        </w:rPr>
        <w:t xml:space="preserve">musí být likvidován podle místních právních předpisů. </w:t>
      </w:r>
    </w:p>
    <w:p w:rsidR="00CB4991" w:rsidRDefault="00CB4991" w:rsidP="00CB4991">
      <w:pPr>
        <w:ind w:right="-318"/>
        <w:rPr>
          <w:bCs/>
        </w:rPr>
      </w:pPr>
    </w:p>
    <w:p w:rsidR="00CB4991" w:rsidRDefault="00CB4991" w:rsidP="00CB4991">
      <w:pPr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DRŽITEL ROZHODNUTÍ O REGISTRACI </w:t>
      </w:r>
    </w:p>
    <w:p w:rsidR="00CB4991" w:rsidRDefault="00CB4991" w:rsidP="00CB4991">
      <w:pPr>
        <w:rPr>
          <w:bCs/>
        </w:rPr>
      </w:pPr>
    </w:p>
    <w:p w:rsidR="00CB4991" w:rsidRDefault="00CB4991" w:rsidP="00CB4991">
      <w:pPr>
        <w:pStyle w:val="Zkladntext"/>
      </w:pPr>
      <w:proofErr w:type="spellStart"/>
      <w:r>
        <w:t>Norbrook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(</w:t>
      </w:r>
      <w:proofErr w:type="spellStart"/>
      <w:r>
        <w:t>Ireland</w:t>
      </w:r>
      <w:proofErr w:type="spellEnd"/>
      <w:r>
        <w:t xml:space="preserve">) Limited, </w:t>
      </w:r>
      <w:proofErr w:type="spellStart"/>
      <w:r>
        <w:t>Rossmore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, </w:t>
      </w:r>
      <w:proofErr w:type="spellStart"/>
      <w:r>
        <w:t>Monaghan</w:t>
      </w:r>
      <w:proofErr w:type="spellEnd"/>
      <w:r>
        <w:t>, Irsko.</w:t>
      </w:r>
    </w:p>
    <w:p w:rsidR="00CB4991" w:rsidRDefault="00CB4991" w:rsidP="00CB4991">
      <w:pPr>
        <w:rPr>
          <w:b w:val="0"/>
          <w:bCs/>
        </w:rPr>
      </w:pPr>
    </w:p>
    <w:p w:rsidR="00CB4991" w:rsidRDefault="00CB4991" w:rsidP="00CB4991">
      <w:pPr>
        <w:ind w:right="-318"/>
        <w:rPr>
          <w:bCs/>
          <w:caps/>
        </w:rPr>
      </w:pPr>
      <w:r>
        <w:rPr>
          <w:bCs/>
        </w:rPr>
        <w:t>8.</w:t>
      </w:r>
      <w:r>
        <w:rPr>
          <w:bCs/>
        </w:rPr>
        <w:tab/>
      </w:r>
      <w:r>
        <w:rPr>
          <w:bCs/>
          <w:caps/>
        </w:rPr>
        <w:t>Registrační číslo</w:t>
      </w:r>
    </w:p>
    <w:p w:rsidR="00CB4991" w:rsidRDefault="00CB4991" w:rsidP="00CB4991">
      <w:pPr>
        <w:ind w:right="-318"/>
        <w:rPr>
          <w:b w:val="0"/>
          <w:caps/>
        </w:rPr>
      </w:pPr>
    </w:p>
    <w:p w:rsidR="00CB4991" w:rsidRDefault="00CB4991" w:rsidP="00CB4991">
      <w:pPr>
        <w:rPr>
          <w:b w:val="0"/>
        </w:rPr>
      </w:pPr>
      <w:r>
        <w:rPr>
          <w:b w:val="0"/>
        </w:rPr>
        <w:t>96/517/</w:t>
      </w:r>
      <w:proofErr w:type="gramStart"/>
      <w:r>
        <w:rPr>
          <w:b w:val="0"/>
        </w:rPr>
        <w:t>94-C</w:t>
      </w:r>
      <w:proofErr w:type="gramEnd"/>
    </w:p>
    <w:p w:rsidR="00CB4991" w:rsidRDefault="00CB4991" w:rsidP="00CB4991">
      <w:pPr>
        <w:ind w:right="-318"/>
        <w:rPr>
          <w:b w:val="0"/>
          <w:caps/>
        </w:rPr>
      </w:pPr>
    </w:p>
    <w:p w:rsidR="00CB4991" w:rsidRDefault="00CB4991" w:rsidP="00CB4991">
      <w:pPr>
        <w:ind w:right="-318"/>
        <w:rPr>
          <w:bCs/>
          <w:caps/>
        </w:rPr>
      </w:pPr>
      <w:r>
        <w:rPr>
          <w:bCs/>
          <w:caps/>
        </w:rPr>
        <w:t>9.</w:t>
      </w:r>
      <w:r>
        <w:rPr>
          <w:bCs/>
          <w:caps/>
        </w:rPr>
        <w:tab/>
        <w:t>Datum registrace/ prodloužení registrace</w:t>
      </w:r>
    </w:p>
    <w:p w:rsidR="00CB4991" w:rsidRDefault="00CB4991" w:rsidP="00CB4991">
      <w:pPr>
        <w:ind w:right="-318"/>
        <w:rPr>
          <w:b w:val="0"/>
          <w:caps/>
        </w:rPr>
      </w:pPr>
    </w:p>
    <w:p w:rsidR="00CB4991" w:rsidRDefault="00CB4991" w:rsidP="00CB4991">
      <w:pPr>
        <w:ind w:right="-318"/>
        <w:rPr>
          <w:b w:val="0"/>
          <w:caps/>
        </w:rPr>
      </w:pPr>
      <w:r>
        <w:rPr>
          <w:b w:val="0"/>
          <w:caps/>
        </w:rPr>
        <w:t>13.4.1994, 1.12.2000, 25.6.2008, 9.12.2014</w:t>
      </w:r>
    </w:p>
    <w:p w:rsidR="00CB4991" w:rsidRDefault="00CB4991" w:rsidP="00CB4991">
      <w:pPr>
        <w:ind w:right="-318"/>
      </w:pPr>
    </w:p>
    <w:p w:rsidR="00CB4991" w:rsidRDefault="00CB4991" w:rsidP="00CB4991">
      <w:pPr>
        <w:ind w:right="-318"/>
        <w:rPr>
          <w:bCs/>
        </w:rPr>
      </w:pPr>
      <w:r>
        <w:rPr>
          <w:bCs/>
        </w:rPr>
        <w:t xml:space="preserve">10. </w:t>
      </w:r>
      <w:r>
        <w:rPr>
          <w:bCs/>
        </w:rPr>
        <w:tab/>
        <w:t>DATUM REVIZE TEXTU</w:t>
      </w:r>
    </w:p>
    <w:p w:rsidR="00CB4991" w:rsidRDefault="00CB4991" w:rsidP="00CB4991">
      <w:pPr>
        <w:ind w:right="-318"/>
        <w:rPr>
          <w:b w:val="0"/>
        </w:rPr>
      </w:pPr>
    </w:p>
    <w:p w:rsidR="00CB4991" w:rsidRDefault="00ED1344" w:rsidP="00CB4991">
      <w:pPr>
        <w:autoSpaceDE w:val="0"/>
        <w:autoSpaceDN w:val="0"/>
        <w:adjustRightInd w:val="0"/>
        <w:rPr>
          <w:bCs/>
          <w:szCs w:val="20"/>
          <w:lang w:eastAsia="en-US"/>
        </w:rPr>
      </w:pPr>
      <w:proofErr w:type="gramStart"/>
      <w:r>
        <w:rPr>
          <w:b w:val="0"/>
        </w:rPr>
        <w:t>Květen</w:t>
      </w:r>
      <w:proofErr w:type="gramEnd"/>
      <w:r>
        <w:rPr>
          <w:b w:val="0"/>
        </w:rPr>
        <w:t xml:space="preserve"> </w:t>
      </w:r>
      <w:r w:rsidR="00CB4991">
        <w:rPr>
          <w:b w:val="0"/>
        </w:rPr>
        <w:t>202</w:t>
      </w:r>
      <w:r>
        <w:rPr>
          <w:b w:val="0"/>
        </w:rPr>
        <w:t>5</w:t>
      </w:r>
    </w:p>
    <w:p w:rsidR="00CB4991" w:rsidRDefault="00CB4991" w:rsidP="00CB4991">
      <w:pPr>
        <w:rPr>
          <w:szCs w:val="22"/>
        </w:rPr>
      </w:pPr>
    </w:p>
    <w:p w:rsidR="00CB4991" w:rsidRDefault="00CB4991" w:rsidP="00CB4991">
      <w:pPr>
        <w:rPr>
          <w:szCs w:val="22"/>
        </w:rPr>
      </w:pPr>
      <w:r>
        <w:rPr>
          <w:szCs w:val="22"/>
        </w:rPr>
        <w:t>DALŠÍ INFORMACE</w:t>
      </w:r>
    </w:p>
    <w:p w:rsidR="00CB4991" w:rsidRDefault="00CB4991" w:rsidP="00CB4991">
      <w:pPr>
        <w:rPr>
          <w:b w:val="0"/>
          <w:szCs w:val="22"/>
        </w:rPr>
      </w:pPr>
    </w:p>
    <w:p w:rsidR="00CB4991" w:rsidRDefault="00CB4991" w:rsidP="00CB4991">
      <w:pPr>
        <w:rPr>
          <w:b w:val="0"/>
          <w:szCs w:val="22"/>
        </w:rPr>
      </w:pPr>
      <w:r>
        <w:rPr>
          <w:b w:val="0"/>
          <w:szCs w:val="22"/>
        </w:rPr>
        <w:t>Veterinární léčivý přípravek je vydáván pouze na předpis.</w:t>
      </w:r>
    </w:p>
    <w:p w:rsidR="00CB4991" w:rsidRDefault="00CB4991" w:rsidP="00CB4991">
      <w:pPr>
        <w:autoSpaceDE w:val="0"/>
        <w:autoSpaceDN w:val="0"/>
        <w:adjustRightInd w:val="0"/>
        <w:jc w:val="both"/>
        <w:rPr>
          <w:b w:val="0"/>
          <w:szCs w:val="22"/>
        </w:rPr>
      </w:pPr>
    </w:p>
    <w:p w:rsidR="00CB4991" w:rsidRDefault="00CB4991" w:rsidP="00CB4991">
      <w:pPr>
        <w:rPr>
          <w:bCs/>
        </w:rPr>
      </w:pPr>
    </w:p>
    <w:p w:rsidR="00CB4991" w:rsidRDefault="00CB4991" w:rsidP="00CB4991">
      <w:pPr>
        <w:jc w:val="center"/>
        <w:rPr>
          <w:bCs/>
        </w:rPr>
      </w:pPr>
    </w:p>
    <w:p w:rsidR="00CB4991" w:rsidRDefault="00CB4991" w:rsidP="00CB4991"/>
    <w:p w:rsidR="00CB4991" w:rsidRDefault="00CB4991" w:rsidP="00CB4991"/>
    <w:p w:rsidR="002A6EB2" w:rsidRPr="00CB4991" w:rsidRDefault="002A6EB2" w:rsidP="00CB4991"/>
    <w:sectPr w:rsidR="002A6EB2" w:rsidRPr="00CB49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C013F"/>
    <w:multiLevelType w:val="hybridMultilevel"/>
    <w:tmpl w:val="D870C0DC"/>
    <w:lvl w:ilvl="0" w:tplc="FFFFFFFF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7437D54"/>
    <w:multiLevelType w:val="singleLevel"/>
    <w:tmpl w:val="AF68C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1" w15:restartNumberingAfterBreak="0">
    <w:nsid w:val="30543B17"/>
    <w:multiLevelType w:val="hybridMultilevel"/>
    <w:tmpl w:val="4A868C62"/>
    <w:lvl w:ilvl="0" w:tplc="6E0C271C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52E"/>
    <w:multiLevelType w:val="multilevel"/>
    <w:tmpl w:val="C38EB9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19" w15:restartNumberingAfterBreak="0">
    <w:nsid w:val="5B591D47"/>
    <w:multiLevelType w:val="hybridMultilevel"/>
    <w:tmpl w:val="E8ACA836"/>
    <w:lvl w:ilvl="0" w:tplc="FFFFFFFF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77C2D"/>
    <w:multiLevelType w:val="hybridMultilevel"/>
    <w:tmpl w:val="37E4A0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23"/>
  </w:num>
  <w:num w:numId="6">
    <w:abstractNumId w:val="9"/>
  </w:num>
  <w:num w:numId="7">
    <w:abstractNumId w:val="17"/>
  </w:num>
  <w:num w:numId="8">
    <w:abstractNumId w:val="16"/>
  </w:num>
  <w:num w:numId="9">
    <w:abstractNumId w:val="5"/>
  </w:num>
  <w:num w:numId="10">
    <w:abstractNumId w:val="21"/>
  </w:num>
  <w:num w:numId="11">
    <w:abstractNumId w:val="22"/>
  </w:num>
  <w:num w:numId="12">
    <w:abstractNumId w:val="13"/>
  </w:num>
  <w:num w:numId="13">
    <w:abstractNumId w:val="10"/>
  </w:num>
  <w:num w:numId="14">
    <w:abstractNumId w:val="2"/>
  </w:num>
  <w:num w:numId="15">
    <w:abstractNumId w:val="20"/>
  </w:num>
  <w:num w:numId="16">
    <w:abstractNumId w:val="15"/>
  </w:num>
  <w:num w:numId="17">
    <w:abstractNumId w:val="25"/>
  </w:num>
  <w:num w:numId="18">
    <w:abstractNumId w:val="6"/>
  </w:num>
  <w:num w:numId="19">
    <w:abstractNumId w:val="1"/>
  </w:num>
  <w:num w:numId="20">
    <w:abstractNumId w:val="14"/>
  </w:num>
  <w:num w:numId="21">
    <w:abstractNumId w:val="3"/>
  </w:num>
  <w:num w:numId="22">
    <w:abstractNumId w:val="4"/>
  </w:num>
  <w:num w:numId="23">
    <w:abstractNumId w:val="18"/>
  </w:num>
  <w:num w:numId="24">
    <w:abstractNumId w:val="7"/>
  </w:num>
  <w:num w:numId="25">
    <w:abstractNumId w:val="26"/>
  </w:num>
  <w:num w:numId="26">
    <w:abstractNumId w:val="12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AB"/>
    <w:rsid w:val="000E4D45"/>
    <w:rsid w:val="0023241D"/>
    <w:rsid w:val="002A6EB2"/>
    <w:rsid w:val="00330C28"/>
    <w:rsid w:val="005056AE"/>
    <w:rsid w:val="00B711AB"/>
    <w:rsid w:val="00CB4991"/>
    <w:rsid w:val="00CE1F3E"/>
    <w:rsid w:val="00E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DD72-FCB0-4F4B-B6D9-884B91DE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b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 w:val="0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basedOn w:val="Normln"/>
    <w:pPr>
      <w:numPr>
        <w:numId w:val="2"/>
      </w:numPr>
    </w:pPr>
    <w:rPr>
      <w:b w:val="0"/>
      <w:szCs w:val="20"/>
      <w:lang w:eastAsia="en-US"/>
    </w:rPr>
  </w:style>
  <w:style w:type="paragraph" w:styleId="Zkladntext">
    <w:name w:val="Body Text"/>
    <w:basedOn w:val="Normln"/>
    <w:link w:val="ZkladntextChar"/>
    <w:semiHidden/>
    <w:rPr>
      <w:b w:val="0"/>
      <w:bCs/>
    </w:rPr>
  </w:style>
  <w:style w:type="paragraph" w:styleId="Zkladntext2">
    <w:name w:val="Body Text 2"/>
    <w:basedOn w:val="Normln"/>
    <w:semiHidden/>
    <w:pPr>
      <w:ind w:right="-318"/>
    </w:pPr>
    <w:rPr>
      <w:b w:val="0"/>
    </w:rPr>
  </w:style>
  <w:style w:type="paragraph" w:styleId="Textvysvtlivek">
    <w:name w:val="endnote text"/>
    <w:basedOn w:val="Normln"/>
    <w:semiHidden/>
    <w:pPr>
      <w:ind w:left="567" w:hanging="567"/>
    </w:pPr>
    <w:rPr>
      <w:b w:val="0"/>
      <w:szCs w:val="20"/>
      <w:lang w:eastAsia="en-US"/>
    </w:rPr>
  </w:style>
  <w:style w:type="paragraph" w:styleId="Zkladntextodsazen">
    <w:name w:val="Body Text Indent"/>
    <w:basedOn w:val="Normln"/>
    <w:semiHidden/>
    <w:pPr>
      <w:ind w:left="360"/>
    </w:pPr>
    <w:rPr>
      <w:b w:val="0"/>
      <w:color w:val="FF0000"/>
    </w:rPr>
  </w:style>
  <w:style w:type="character" w:customStyle="1" w:styleId="ZkladntextChar">
    <w:name w:val="Základní text Char"/>
    <w:link w:val="Zkladntext"/>
    <w:semiHidden/>
    <w:rsid w:val="00330C28"/>
    <w:rPr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1067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Samohýl a spol., v.o.s.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Petr Petráš</dc:creator>
  <cp:keywords/>
  <dc:description/>
  <cp:lastModifiedBy>Kubová Petra</cp:lastModifiedBy>
  <cp:revision>5</cp:revision>
  <cp:lastPrinted>2008-06-25T06:27:00Z</cp:lastPrinted>
  <dcterms:created xsi:type="dcterms:W3CDTF">2025-05-07T13:17:00Z</dcterms:created>
  <dcterms:modified xsi:type="dcterms:W3CDTF">2025-05-07T13:27:00Z</dcterms:modified>
</cp:coreProperties>
</file>