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53405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53405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53405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EF113" w14:textId="77777777" w:rsidR="00545142" w:rsidRDefault="00545142" w:rsidP="00545142">
      <w:pPr>
        <w:tabs>
          <w:tab w:val="clear" w:pos="567"/>
        </w:tabs>
        <w:spacing w:line="240" w:lineRule="auto"/>
      </w:pPr>
      <w:bookmarkStart w:id="0" w:name="_Hlk196726639"/>
      <w:r>
        <w:t>Procamidor 20 mg/ml injekční roztok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53405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71A92" w14:textId="012D0265" w:rsidR="00545142" w:rsidRPr="00545142" w:rsidRDefault="007F740B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545142">
        <w:rPr>
          <w:bCs/>
          <w:szCs w:val="22"/>
        </w:rPr>
        <w:t>Každý</w:t>
      </w:r>
      <w:r>
        <w:t xml:space="preserve"> </w:t>
      </w:r>
      <w:r w:rsidR="00545142" w:rsidRPr="00545142">
        <w:rPr>
          <w:bCs/>
          <w:szCs w:val="22"/>
        </w:rPr>
        <w:t>ml obsahuje:</w:t>
      </w:r>
    </w:p>
    <w:p w14:paraId="531CE7FF" w14:textId="77777777" w:rsidR="00545142" w:rsidRDefault="00545142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7459335B" w:rsidR="00C114FF" w:rsidRDefault="0053405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6FC13BE0" w14:textId="77777777" w:rsidR="00545142" w:rsidRDefault="00545142" w:rsidP="00545142">
      <w:pPr>
        <w:tabs>
          <w:tab w:val="clear" w:pos="567"/>
          <w:tab w:val="left" w:pos="1701"/>
          <w:tab w:val="left" w:pos="4962"/>
          <w:tab w:val="right" w:pos="5245"/>
        </w:tabs>
        <w:spacing w:line="240" w:lineRule="auto"/>
        <w:rPr>
          <w:iCs/>
        </w:rPr>
      </w:pPr>
      <w:r>
        <w:t>Procaini hydrochloridum</w:t>
      </w:r>
      <w:r>
        <w:tab/>
        <w:t>20 mg</w:t>
      </w:r>
    </w:p>
    <w:p w14:paraId="6322E587" w14:textId="77777777" w:rsidR="00545142" w:rsidRDefault="00545142" w:rsidP="00545142">
      <w:pPr>
        <w:tabs>
          <w:tab w:val="clear" w:pos="567"/>
          <w:tab w:val="left" w:pos="1701"/>
          <w:tab w:val="left" w:pos="4962"/>
          <w:tab w:val="right" w:pos="5245"/>
        </w:tabs>
        <w:spacing w:line="240" w:lineRule="auto"/>
        <w:rPr>
          <w:iCs/>
        </w:rPr>
      </w:pPr>
      <w:r>
        <w:t>(odpovídá procainum 17,3 mg)</w:t>
      </w:r>
    </w:p>
    <w:p w14:paraId="4CCC4E46" w14:textId="77777777" w:rsidR="00545142" w:rsidRPr="00D97973" w:rsidRDefault="00545142" w:rsidP="00545142">
      <w:pPr>
        <w:tabs>
          <w:tab w:val="clear" w:pos="567"/>
          <w:tab w:val="left" w:pos="1701"/>
          <w:tab w:val="left" w:pos="4962"/>
          <w:tab w:val="right" w:pos="5245"/>
        </w:tabs>
        <w:spacing w:line="240" w:lineRule="auto"/>
        <w:rPr>
          <w:iCs/>
        </w:rPr>
      </w:pPr>
    </w:p>
    <w:p w14:paraId="54E3B24A" w14:textId="77777777" w:rsidR="00545142" w:rsidRPr="000067B1" w:rsidRDefault="00545142" w:rsidP="00545142">
      <w:pPr>
        <w:tabs>
          <w:tab w:val="clear" w:pos="567"/>
          <w:tab w:val="left" w:pos="4962"/>
          <w:tab w:val="right" w:pos="5245"/>
        </w:tabs>
        <w:spacing w:line="240" w:lineRule="auto"/>
      </w:pPr>
      <w:r>
        <w:rPr>
          <w:b/>
        </w:rPr>
        <w:t>Pomocné látky:</w:t>
      </w:r>
    </w:p>
    <w:p w14:paraId="46D58388" w14:textId="77777777" w:rsidR="00545142" w:rsidRPr="000067B1" w:rsidRDefault="00545142" w:rsidP="00545142">
      <w:pPr>
        <w:tabs>
          <w:tab w:val="clear" w:pos="567"/>
          <w:tab w:val="right" w:pos="5245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533486" w14:paraId="0B4C76E3" w14:textId="77777777" w:rsidTr="00545142">
        <w:tc>
          <w:tcPr>
            <w:tcW w:w="4528" w:type="dxa"/>
            <w:shd w:val="clear" w:color="auto" w:fill="auto"/>
            <w:vAlign w:val="center"/>
          </w:tcPr>
          <w:p w14:paraId="6D45EB6D" w14:textId="341D116E" w:rsidR="00872C48" w:rsidRPr="00B41D57" w:rsidRDefault="0053405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4AC8717F" w:rsidR="00872C48" w:rsidRPr="00B41D57" w:rsidRDefault="0053405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33486" w14:paraId="7D5263D3" w14:textId="77777777" w:rsidTr="00545142">
        <w:tc>
          <w:tcPr>
            <w:tcW w:w="4528" w:type="dxa"/>
            <w:shd w:val="clear" w:color="auto" w:fill="auto"/>
            <w:vAlign w:val="center"/>
          </w:tcPr>
          <w:p w14:paraId="0F798F46" w14:textId="3BA88639" w:rsidR="00872C48" w:rsidRPr="00B41D57" w:rsidRDefault="0054514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Sodná sůl methylparabenu (E 219)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52BD1963" w:rsidR="00872C48" w:rsidRPr="00B41D57" w:rsidRDefault="00545142" w:rsidP="00BF00EF">
            <w:pPr>
              <w:spacing w:before="60" w:after="60"/>
              <w:rPr>
                <w:iCs/>
                <w:szCs w:val="22"/>
              </w:rPr>
            </w:pPr>
            <w:r>
              <w:t>1,14 mg</w:t>
            </w:r>
          </w:p>
        </w:tc>
      </w:tr>
      <w:tr w:rsidR="00533486" w14:paraId="6A4C5E50" w14:textId="77777777" w:rsidTr="00545142">
        <w:tc>
          <w:tcPr>
            <w:tcW w:w="4528" w:type="dxa"/>
            <w:shd w:val="clear" w:color="auto" w:fill="auto"/>
            <w:vAlign w:val="center"/>
          </w:tcPr>
          <w:p w14:paraId="5CCC8F42" w14:textId="1F88F712" w:rsidR="00872C48" w:rsidRPr="00B41D57" w:rsidRDefault="00545142" w:rsidP="00617B81">
            <w:pPr>
              <w:spacing w:before="60" w:after="60"/>
              <w:rPr>
                <w:iCs/>
                <w:szCs w:val="22"/>
              </w:rPr>
            </w:pPr>
            <w:r>
              <w:t>Disiřičitan sodný (E 223)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634B20C3" w:rsidR="00872C48" w:rsidRPr="00B41D57" w:rsidRDefault="00545142" w:rsidP="00BF00EF">
            <w:pPr>
              <w:spacing w:before="60" w:after="60"/>
              <w:rPr>
                <w:iCs/>
                <w:szCs w:val="22"/>
              </w:rPr>
            </w:pPr>
            <w:r>
              <w:t>1,00 mg</w:t>
            </w:r>
          </w:p>
        </w:tc>
      </w:tr>
      <w:tr w:rsidR="00533486" w14:paraId="1E235C5B" w14:textId="77777777" w:rsidTr="00545142">
        <w:tc>
          <w:tcPr>
            <w:tcW w:w="4528" w:type="dxa"/>
            <w:shd w:val="clear" w:color="auto" w:fill="auto"/>
            <w:vAlign w:val="center"/>
          </w:tcPr>
          <w:p w14:paraId="0ECB18EE" w14:textId="3ACDB6D1" w:rsidR="00872C48" w:rsidRPr="00B41D57" w:rsidRDefault="002A5992" w:rsidP="0054514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Dinatrium-edetát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33486" w14:paraId="726979DE" w14:textId="77777777" w:rsidTr="00545142">
        <w:tc>
          <w:tcPr>
            <w:tcW w:w="4528" w:type="dxa"/>
            <w:shd w:val="clear" w:color="auto" w:fill="auto"/>
            <w:vAlign w:val="center"/>
          </w:tcPr>
          <w:p w14:paraId="4D9ACFF2" w14:textId="5B747332" w:rsidR="00872C48" w:rsidRPr="00545142" w:rsidRDefault="00545142" w:rsidP="00545142">
            <w:pPr>
              <w:spacing w:before="60" w:after="60"/>
              <w:rPr>
                <w:iCs/>
                <w:szCs w:val="22"/>
              </w:rPr>
            </w:pPr>
            <w:r w:rsidRPr="00545142">
              <w:rPr>
                <w:iCs/>
                <w:szCs w:val="22"/>
              </w:rPr>
              <w:t>Chlorid sodn</w:t>
            </w:r>
            <w:r>
              <w:rPr>
                <w:iCs/>
                <w:szCs w:val="22"/>
              </w:rPr>
              <w:t>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33486" w14:paraId="7E2051F5" w14:textId="77777777" w:rsidTr="00545142">
        <w:tc>
          <w:tcPr>
            <w:tcW w:w="4528" w:type="dxa"/>
            <w:shd w:val="clear" w:color="auto" w:fill="auto"/>
            <w:vAlign w:val="center"/>
          </w:tcPr>
          <w:p w14:paraId="53752492" w14:textId="246B7BD5" w:rsidR="00872C48" w:rsidRPr="00B41D57" w:rsidRDefault="00545142" w:rsidP="00617B81">
            <w:pPr>
              <w:spacing w:before="60" w:after="60"/>
              <w:rPr>
                <w:iCs/>
                <w:szCs w:val="22"/>
              </w:rPr>
            </w:pPr>
            <w:r w:rsidRPr="00545142">
              <w:rPr>
                <w:iCs/>
                <w:szCs w:val="22"/>
              </w:rPr>
              <w:t>Kyselina chlorovodíková (</w:t>
            </w:r>
            <w:r w:rsidR="002A5992">
              <w:rPr>
                <w:iCs/>
                <w:szCs w:val="22"/>
              </w:rPr>
              <w:t xml:space="preserve">k úpravě </w:t>
            </w:r>
            <w:r w:rsidRPr="00545142">
              <w:rPr>
                <w:iCs/>
                <w:szCs w:val="22"/>
              </w:rPr>
              <w:t>pH)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45142" w14:paraId="30E53E89" w14:textId="77777777" w:rsidTr="00545142">
        <w:tc>
          <w:tcPr>
            <w:tcW w:w="4528" w:type="dxa"/>
            <w:shd w:val="clear" w:color="auto" w:fill="auto"/>
            <w:vAlign w:val="center"/>
          </w:tcPr>
          <w:p w14:paraId="3FC7CC9F" w14:textId="36C18F88" w:rsidR="00545142" w:rsidRPr="00545142" w:rsidRDefault="00545142" w:rsidP="00545142">
            <w:pPr>
              <w:spacing w:before="60" w:after="60"/>
              <w:rPr>
                <w:iCs/>
                <w:szCs w:val="22"/>
              </w:rPr>
            </w:pPr>
            <w:r w:rsidRPr="00545142">
              <w:rPr>
                <w:iCs/>
                <w:szCs w:val="22"/>
              </w:rPr>
              <w:t xml:space="preserve">Voda </w:t>
            </w:r>
            <w:r w:rsidR="006E5ADB">
              <w:rPr>
                <w:iCs/>
                <w:szCs w:val="22"/>
              </w:rPr>
              <w:t>pro</w:t>
            </w:r>
            <w:r w:rsidRPr="00545142">
              <w:rPr>
                <w:iCs/>
                <w:szCs w:val="22"/>
              </w:rPr>
              <w:t xml:space="preserve"> injekc</w:t>
            </w:r>
            <w:r w:rsidR="002A5992">
              <w:rPr>
                <w:iCs/>
                <w:szCs w:val="22"/>
              </w:rPr>
              <w:t>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F01BE0F" w14:textId="77777777" w:rsidR="00545142" w:rsidRPr="00B41D57" w:rsidRDefault="00545142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D9309E" w14:textId="6F941264" w:rsidR="007F740B" w:rsidRPr="00D97973" w:rsidRDefault="007F740B" w:rsidP="007F740B">
      <w:pPr>
        <w:tabs>
          <w:tab w:val="clear" w:pos="567"/>
        </w:tabs>
        <w:spacing w:line="240" w:lineRule="auto"/>
      </w:pPr>
      <w:r>
        <w:t>Čirý bezbarvý až světle žlutý roztok</w:t>
      </w:r>
      <w:r w:rsidR="004A47B0">
        <w:t>.</w:t>
      </w:r>
    </w:p>
    <w:p w14:paraId="2E6CA329" w14:textId="31F5C79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6F041" w14:textId="77777777" w:rsidR="00144229" w:rsidRPr="00B41D57" w:rsidRDefault="001442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53405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53405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98A8110" w14:textId="77777777" w:rsidR="002A5992" w:rsidRDefault="002A5992" w:rsidP="00B13B6D">
      <w:pPr>
        <w:pStyle w:val="Style1"/>
        <w:rPr>
          <w:b w:val="0"/>
          <w:bCs/>
        </w:rPr>
      </w:pPr>
    </w:p>
    <w:p w14:paraId="18E774DE" w14:textId="07606EE2" w:rsidR="002A5992" w:rsidRPr="002A5992" w:rsidRDefault="002A5992" w:rsidP="00B13B6D">
      <w:pPr>
        <w:pStyle w:val="Style1"/>
        <w:rPr>
          <w:b w:val="0"/>
          <w:bCs/>
        </w:rPr>
      </w:pPr>
      <w:r w:rsidRPr="002A5992">
        <w:rPr>
          <w:b w:val="0"/>
          <w:bCs/>
        </w:rPr>
        <w:t>Koně, skot, prasata, ovce, psi a kočky.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53405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3CA145" w14:textId="3AAC2465" w:rsidR="002A5992" w:rsidRPr="00D97973" w:rsidRDefault="002A5992" w:rsidP="002A5992">
      <w:pPr>
        <w:spacing w:line="240" w:lineRule="auto"/>
      </w:pPr>
      <w:r>
        <w:t>Použití při</w:t>
      </w:r>
    </w:p>
    <w:p w14:paraId="7A03AF53" w14:textId="77777777" w:rsidR="002A5992" w:rsidRDefault="002A5992" w:rsidP="002A5992">
      <w:pPr>
        <w:numPr>
          <w:ilvl w:val="0"/>
          <w:numId w:val="41"/>
        </w:numPr>
        <w:spacing w:line="240" w:lineRule="auto"/>
      </w:pPr>
      <w:r>
        <w:t>infiltrační anestezii u koní, skotu, prasat, ovcí, psů a koček</w:t>
      </w:r>
    </w:p>
    <w:p w14:paraId="7A6A0C7E" w14:textId="77777777" w:rsidR="002A5992" w:rsidRDefault="002A5992" w:rsidP="002A5992">
      <w:pPr>
        <w:numPr>
          <w:ilvl w:val="0"/>
          <w:numId w:val="41"/>
        </w:numPr>
        <w:spacing w:line="240" w:lineRule="auto"/>
      </w:pPr>
      <w:r>
        <w:t>svodné anestezii u psů a koček</w:t>
      </w:r>
    </w:p>
    <w:p w14:paraId="516E3C07" w14:textId="77777777" w:rsidR="002A5992" w:rsidRDefault="002A5992" w:rsidP="002A5992">
      <w:pPr>
        <w:numPr>
          <w:ilvl w:val="0"/>
          <w:numId w:val="41"/>
        </w:numPr>
        <w:spacing w:line="240" w:lineRule="auto"/>
      </w:pPr>
      <w:r>
        <w:t>epidurální anestezii u skotu, ovcí, prasat a psů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53405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EF2C3A" w14:textId="77777777" w:rsidR="002A5992" w:rsidRDefault="002A5992" w:rsidP="002A5992">
      <w:pPr>
        <w:tabs>
          <w:tab w:val="clear" w:pos="567"/>
        </w:tabs>
        <w:spacing w:line="240" w:lineRule="auto"/>
      </w:pPr>
      <w:r>
        <w:t>Nepoužívat:</w:t>
      </w:r>
    </w:p>
    <w:p w14:paraId="098056A9" w14:textId="77777777" w:rsidR="002A5992" w:rsidRDefault="002A5992" w:rsidP="002A5992">
      <w:pPr>
        <w:tabs>
          <w:tab w:val="clear" w:pos="567"/>
        </w:tabs>
        <w:spacing w:line="240" w:lineRule="auto"/>
      </w:pPr>
      <w:r>
        <w:t>- ve stavech šoku</w:t>
      </w:r>
    </w:p>
    <w:p w14:paraId="1B893D9B" w14:textId="77777777" w:rsidR="002A5992" w:rsidRDefault="002A5992" w:rsidP="002A5992">
      <w:pPr>
        <w:tabs>
          <w:tab w:val="clear" w:pos="567"/>
        </w:tabs>
        <w:spacing w:line="240" w:lineRule="auto"/>
      </w:pPr>
      <w:r>
        <w:t xml:space="preserve">- u zvířat s kardiovaskulárními onemocněními </w:t>
      </w:r>
    </w:p>
    <w:p w14:paraId="7B0D1D3A" w14:textId="77777777" w:rsidR="002A5992" w:rsidRDefault="002A5992" w:rsidP="002A5992">
      <w:pPr>
        <w:tabs>
          <w:tab w:val="clear" w:pos="567"/>
        </w:tabs>
        <w:spacing w:line="240" w:lineRule="auto"/>
      </w:pPr>
      <w:r>
        <w:t>- u zvířat, která jsou léčena sulfonamidy</w:t>
      </w:r>
    </w:p>
    <w:p w14:paraId="41272392" w14:textId="78FD0510" w:rsidR="002A5992" w:rsidRDefault="002A5992" w:rsidP="002A5992">
      <w:pPr>
        <w:tabs>
          <w:tab w:val="clear" w:pos="567"/>
        </w:tabs>
        <w:spacing w:line="240" w:lineRule="auto"/>
      </w:pPr>
      <w:r>
        <w:t xml:space="preserve">- u zvířat léčených fenothiaziny (viz rovněž bod </w:t>
      </w:r>
      <w:r w:rsidR="008D3EDA">
        <w:t>3</w:t>
      </w:r>
      <w:r>
        <w:t>.8)</w:t>
      </w:r>
    </w:p>
    <w:p w14:paraId="158C684A" w14:textId="1DB836DE" w:rsidR="002A5992" w:rsidRPr="00AE7629" w:rsidRDefault="002A5992" w:rsidP="002A5992">
      <w:pPr>
        <w:tabs>
          <w:tab w:val="clear" w:pos="567"/>
        </w:tabs>
        <w:spacing w:line="240" w:lineRule="auto"/>
      </w:pPr>
      <w:r>
        <w:t xml:space="preserve">- při zánětlivých změnách tkáně v místě </w:t>
      </w:r>
      <w:r w:rsidR="007F4280">
        <w:t>podání</w:t>
      </w:r>
    </w:p>
    <w:p w14:paraId="4689A6F7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29D72188" w14:textId="77777777" w:rsidR="002A5992" w:rsidRDefault="002A5992" w:rsidP="002A5992">
      <w:pPr>
        <w:tabs>
          <w:tab w:val="clear" w:pos="567"/>
        </w:tabs>
        <w:spacing w:line="240" w:lineRule="auto"/>
      </w:pPr>
      <w:r>
        <w:t xml:space="preserve">Nepoužívat </w:t>
      </w:r>
      <w:r w:rsidRPr="00DB2664">
        <w:t xml:space="preserve">v </w:t>
      </w:r>
      <w:r>
        <w:t>případě přecitlivělosti na léčivou látku nebo na některou z pomocných látek.</w:t>
      </w:r>
    </w:p>
    <w:p w14:paraId="3D2E230B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Nepoužívat v případě přecitlivělosti na lokální anestetika ze skupiny esterů, nebo v případě možných alergických křížových reakcí na deriváty kyseliny p-aminobenzoové a sulfonamidů.</w:t>
      </w:r>
    </w:p>
    <w:p w14:paraId="54C2FA76" w14:textId="04C6C352" w:rsidR="00C114FF" w:rsidRPr="002A5992" w:rsidRDefault="002A5992" w:rsidP="00A9226B">
      <w:pPr>
        <w:tabs>
          <w:tab w:val="clear" w:pos="567"/>
        </w:tabs>
        <w:spacing w:line="240" w:lineRule="auto"/>
      </w:pPr>
      <w:r>
        <w:lastRenderedPageBreak/>
        <w:t>Nepodávat intraartikulárně.</w:t>
      </w:r>
    </w:p>
    <w:p w14:paraId="09932188" w14:textId="77777777" w:rsidR="00144229" w:rsidRDefault="00144229" w:rsidP="00B13B6D">
      <w:pPr>
        <w:pStyle w:val="Style1"/>
      </w:pPr>
    </w:p>
    <w:p w14:paraId="570F6F03" w14:textId="686BC5E0" w:rsidR="00C114FF" w:rsidRPr="00B41D57" w:rsidRDefault="0053405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830013" w14:textId="3F1DA675" w:rsidR="008D3EDA" w:rsidRDefault="008D3EDA" w:rsidP="002A5992">
      <w:pPr>
        <w:spacing w:line="240" w:lineRule="auto"/>
      </w:pPr>
      <w:r w:rsidRPr="008D3EDA">
        <w:t>Lokální anestetický účinek prokainu nastupuje po 5 až 10 minutách (u epidurální</w:t>
      </w:r>
      <w:r w:rsidR="007F4280">
        <w:t>ho podání</w:t>
      </w:r>
      <w:r w:rsidRPr="008D3EDA">
        <w:t xml:space="preserve"> po 15 až 20 minutách). Doba trvání účinku je krátká (max. 30 až 60 minut). Nástup anestetického účinku závisí také na cílovém druhu a věku zvířete.</w:t>
      </w:r>
    </w:p>
    <w:p w14:paraId="2D26BBAE" w14:textId="45BB382A" w:rsidR="002A5992" w:rsidRPr="00D97973" w:rsidRDefault="002A5992" w:rsidP="002A5992">
      <w:pPr>
        <w:spacing w:line="240" w:lineRule="auto"/>
      </w:pPr>
      <w:r>
        <w:t xml:space="preserve">V jednotlivých případech může vést epidurální </w:t>
      </w:r>
      <w:r w:rsidR="007F4280">
        <w:t xml:space="preserve">podání </w:t>
      </w:r>
      <w:r>
        <w:t xml:space="preserve">lokálního anestetika k nedostatečné anestezii u skotu. Možnou příčinou mohou být nedostatečně uzavřené meziobratlové otvory, což umožňuje únik anestetika do peritoneální dutiny. Významná akumulace tuku v místě </w:t>
      </w:r>
      <w:r w:rsidR="007F4280">
        <w:t xml:space="preserve">podání </w:t>
      </w:r>
      <w:r>
        <w:t>může být také příčinou nedostatečné anestezie, způsobené sníženou difuzí lokálního anestetika do epidurálního prostoru.</w:t>
      </w:r>
    </w:p>
    <w:p w14:paraId="7D798E15" w14:textId="41FAC366" w:rsidR="00E86CEE" w:rsidRPr="00B41D57" w:rsidRDefault="00E86CEE" w:rsidP="002A5992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53405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53405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39A263" w14:textId="77777777" w:rsidR="002A5992" w:rsidRPr="0085728B" w:rsidRDefault="002A5992" w:rsidP="002A5992">
      <w:r w:rsidRPr="00386117">
        <w:t>Tento veterinární léčivý přípravek neobsahuje vazokonstriktory, proto je trvání účinku krátké.</w:t>
      </w:r>
    </w:p>
    <w:p w14:paraId="1D178D67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Pro vyloučení intravaskulární aplikace je třeba ověřit správné umístění jehly aspirací.</w:t>
      </w:r>
    </w:p>
    <w:p w14:paraId="2B986F60" w14:textId="77777777" w:rsidR="002A5992" w:rsidRDefault="002A5992" w:rsidP="002A5992">
      <w:pPr>
        <w:tabs>
          <w:tab w:val="clear" w:pos="567"/>
        </w:tabs>
        <w:spacing w:line="240" w:lineRule="auto"/>
      </w:pPr>
      <w:r>
        <w:t>Při epidurální anestezii je třeba umístit hlavu zvířete do správné polohy.</w:t>
      </w:r>
    </w:p>
    <w:p w14:paraId="11F5903E" w14:textId="77777777" w:rsidR="002A5992" w:rsidRPr="00DE6779" w:rsidRDefault="002A5992" w:rsidP="002A5992">
      <w:r>
        <w:t>Jako všechna ostatní lokální anestetika je třeba používat prokain s opatrností u zvířat trpících epilepsií, poruchami vodivosti srdce, bradykardií, hypovolemickým šokem, změnami respirační funkce a renální funkce.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534056" w:rsidP="0014422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42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2577A5" w14:textId="5502C15D" w:rsidR="002A5992" w:rsidRPr="00D97973" w:rsidRDefault="002A5992" w:rsidP="002A5992">
      <w:pPr>
        <w:tabs>
          <w:tab w:val="clear" w:pos="567"/>
        </w:tabs>
        <w:spacing w:line="240" w:lineRule="auto"/>
      </w:pPr>
      <w:r>
        <w:t>Zabraňte přímému kontaktu injekčního roztoku s kůží.</w:t>
      </w:r>
    </w:p>
    <w:p w14:paraId="016BE7BC" w14:textId="77777777" w:rsidR="002A5992" w:rsidRDefault="002A5992" w:rsidP="002A5992">
      <w:pPr>
        <w:tabs>
          <w:tab w:val="clear" w:pos="567"/>
        </w:tabs>
        <w:spacing w:line="240" w:lineRule="auto"/>
      </w:pPr>
      <w:r>
        <w:t xml:space="preserve">Lidé se známou přecitlivělostí na prokain hydrochlorid by se měli vyhnout kontaktu s veterinárním léčivým přípravkem. V případě náhodného zasažení kůže nebo očí ihned omyjte </w:t>
      </w:r>
      <w:r>
        <w:rPr>
          <w:u w:color="1F497D"/>
        </w:rPr>
        <w:t>postižená místa</w:t>
      </w:r>
      <w:r>
        <w:t xml:space="preserve"> velkým množstvím vody. Dojde-li k podráždění, vyhledejte ihned lékařskou pomoc.</w:t>
      </w:r>
    </w:p>
    <w:p w14:paraId="4C8F4D6D" w14:textId="3A667681" w:rsidR="00295140" w:rsidRPr="002A5992" w:rsidRDefault="002A5992" w:rsidP="00A9226B">
      <w:pPr>
        <w:tabs>
          <w:tab w:val="clear" w:pos="567"/>
        </w:tabs>
        <w:spacing w:line="240" w:lineRule="auto"/>
      </w:pPr>
      <w:r>
        <w:t xml:space="preserve">V případě náhodného sebepoškození injekčně </w:t>
      </w:r>
      <w:r w:rsidR="00E42131">
        <w:t xml:space="preserve">podaným </w:t>
      </w:r>
      <w:r>
        <w:t>přípravkem vyhledejte ihned lékařskou pomoc a ukažte příbalovou informaci nebo etiketu praktickému lékaři.</w:t>
      </w:r>
    </w:p>
    <w:p w14:paraId="309A1DB9" w14:textId="77777777" w:rsidR="0029514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0AE4E" w14:textId="77777777" w:rsidR="008D3EDA" w:rsidRDefault="008D3EDA" w:rsidP="008D3ED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D3EDA">
        <w:rPr>
          <w:szCs w:val="22"/>
          <w:u w:val="single"/>
        </w:rPr>
        <w:t>Zvláštní opatření pro ochranu životního prostředí:</w:t>
      </w:r>
    </w:p>
    <w:p w14:paraId="07D768A4" w14:textId="77777777" w:rsidR="00AA388F" w:rsidRPr="008D3EDA" w:rsidRDefault="00AA388F" w:rsidP="008D3ED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DB1D7D6" w14:textId="1FA514D2" w:rsidR="008D3EDA" w:rsidRPr="008D3EDA" w:rsidRDefault="008D3EDA" w:rsidP="008D3EDA">
      <w:pPr>
        <w:tabs>
          <w:tab w:val="clear" w:pos="567"/>
        </w:tabs>
        <w:spacing w:line="240" w:lineRule="auto"/>
        <w:rPr>
          <w:szCs w:val="22"/>
        </w:rPr>
      </w:pPr>
      <w:r w:rsidRPr="008D3EDA">
        <w:rPr>
          <w:szCs w:val="22"/>
        </w:rPr>
        <w:t>Neuplatňuje se.</w:t>
      </w:r>
    </w:p>
    <w:p w14:paraId="61E39445" w14:textId="77777777" w:rsidR="008D3EDA" w:rsidRPr="00B41D57" w:rsidRDefault="008D3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53405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A93444E" w14:textId="46BF9A36" w:rsidR="0056482C" w:rsidRPr="002A5992" w:rsidRDefault="0056482C" w:rsidP="0056482C">
      <w:pPr>
        <w:pStyle w:val="Style1"/>
        <w:rPr>
          <w:b w:val="0"/>
          <w:bCs/>
        </w:rPr>
      </w:pPr>
      <w:r w:rsidRPr="002A5992">
        <w:rPr>
          <w:b w:val="0"/>
          <w:bCs/>
        </w:rPr>
        <w:t>Koně, skot, prasata, ovce, psi a kočky</w:t>
      </w:r>
      <w:r>
        <w:rPr>
          <w:b w:val="0"/>
          <w:bCs/>
        </w:rPr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33486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534056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534056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55ACAA51" w:rsidR="00295140" w:rsidRPr="00B41D57" w:rsidRDefault="008D3ED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Alergická reakce</w:t>
            </w:r>
            <w:r w:rsidR="00097E5A" w:rsidRPr="000C7395">
              <w:rPr>
                <w:iCs/>
                <w:szCs w:val="22"/>
                <w:vertAlign w:val="superscript"/>
              </w:rPr>
              <w:t>1</w:t>
            </w:r>
          </w:p>
        </w:tc>
      </w:tr>
      <w:tr w:rsidR="00533486" w14:paraId="7A4C549F" w14:textId="77777777" w:rsidTr="00617B81">
        <w:tc>
          <w:tcPr>
            <w:tcW w:w="1957" w:type="pct"/>
          </w:tcPr>
          <w:p w14:paraId="7E717D40" w14:textId="77777777" w:rsidR="00082200" w:rsidRPr="00B41D57" w:rsidRDefault="00534056" w:rsidP="00617B8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2DEE9F9" w14:textId="77777777" w:rsidR="00295140" w:rsidRPr="00B41D57" w:rsidRDefault="00534056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CC2DAB0" w14:textId="3103F9AC" w:rsidR="00295140" w:rsidRPr="00B41D57" w:rsidRDefault="008D3ED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Anafylaxe</w:t>
            </w:r>
            <w:r w:rsidR="00097E5A" w:rsidRPr="000C7395">
              <w:rPr>
                <w:iCs/>
                <w:szCs w:val="22"/>
                <w:vertAlign w:val="superscript"/>
              </w:rPr>
              <w:t>2</w:t>
            </w:r>
          </w:p>
        </w:tc>
      </w:tr>
      <w:tr w:rsidR="00533486" w14:paraId="2A97D209" w14:textId="77777777" w:rsidTr="00617B81">
        <w:tc>
          <w:tcPr>
            <w:tcW w:w="1957" w:type="pct"/>
          </w:tcPr>
          <w:p w14:paraId="78E246FA" w14:textId="6FD4D297" w:rsidR="00295140" w:rsidRPr="00B41D57" w:rsidRDefault="008D3EDA" w:rsidP="00617B81">
            <w:pPr>
              <w:spacing w:before="60" w:after="60"/>
              <w:rPr>
                <w:szCs w:val="22"/>
              </w:rPr>
            </w:pPr>
            <w:r w:rsidRPr="008D3EDA">
              <w:t>Neurčená četnost (nelze odhadnout z dostupných údajů):</w:t>
            </w:r>
          </w:p>
        </w:tc>
        <w:tc>
          <w:tcPr>
            <w:tcW w:w="3043" w:type="pct"/>
            <w:hideMark/>
          </w:tcPr>
          <w:p w14:paraId="5CD98E1B" w14:textId="6C8F9A18" w:rsidR="0056482C" w:rsidRDefault="0056482C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</w:t>
            </w:r>
            <w:r w:rsidR="008D3EDA">
              <w:rPr>
                <w:iCs/>
                <w:szCs w:val="22"/>
              </w:rPr>
              <w:t>ypotenze</w:t>
            </w:r>
            <w:r w:rsidR="005377D1">
              <w:rPr>
                <w:iCs/>
                <w:szCs w:val="22"/>
                <w:vertAlign w:val="superscript"/>
              </w:rPr>
              <w:t>3</w:t>
            </w:r>
          </w:p>
          <w:p w14:paraId="1BC9DFB5" w14:textId="61035CC2" w:rsidR="00295140" w:rsidRPr="0056482C" w:rsidRDefault="0056482C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D3EDA">
              <w:rPr>
                <w:iCs/>
                <w:szCs w:val="22"/>
              </w:rPr>
              <w:t>eklid</w:t>
            </w:r>
            <w:r w:rsidR="005377D1">
              <w:rPr>
                <w:iCs/>
                <w:szCs w:val="22"/>
                <w:vertAlign w:val="superscript"/>
              </w:rPr>
              <w:t>4,5</w:t>
            </w:r>
            <w:r w:rsidR="008D3EDA">
              <w:rPr>
                <w:iCs/>
                <w:szCs w:val="22"/>
              </w:rPr>
              <w:t>, třes</w:t>
            </w:r>
            <w:r w:rsidR="005377D1">
              <w:rPr>
                <w:iCs/>
                <w:szCs w:val="22"/>
                <w:vertAlign w:val="superscript"/>
              </w:rPr>
              <w:t>4,5</w:t>
            </w:r>
            <w:r w:rsidR="008D3EDA">
              <w:rPr>
                <w:iCs/>
                <w:szCs w:val="22"/>
              </w:rPr>
              <w:t>, křeče</w:t>
            </w:r>
            <w:r w:rsidR="005377D1">
              <w:rPr>
                <w:iCs/>
                <w:szCs w:val="22"/>
                <w:vertAlign w:val="superscript"/>
              </w:rPr>
              <w:t>4,5</w:t>
            </w:r>
            <w:r w:rsidR="008D3EDA">
              <w:rPr>
                <w:iCs/>
                <w:szCs w:val="22"/>
              </w:rPr>
              <w:t>, útlum</w:t>
            </w:r>
            <w:r w:rsidR="005377D1">
              <w:rPr>
                <w:iCs/>
                <w:szCs w:val="22"/>
                <w:vertAlign w:val="superscript"/>
              </w:rPr>
              <w:t>5</w:t>
            </w:r>
            <w:r w:rsidR="008D3EDA">
              <w:rPr>
                <w:iCs/>
                <w:szCs w:val="22"/>
              </w:rPr>
              <w:t>, smrt</w:t>
            </w:r>
            <w:r w:rsidR="005377D1">
              <w:rPr>
                <w:iCs/>
                <w:szCs w:val="22"/>
                <w:vertAlign w:val="superscript"/>
              </w:rPr>
              <w:t>5,6</w:t>
            </w:r>
            <w:r>
              <w:rPr>
                <w:iCs/>
                <w:szCs w:val="22"/>
              </w:rPr>
              <w:t>.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96A20DB" w14:textId="43E4CFF5" w:rsidR="00EB60BB" w:rsidRDefault="00EB60BB" w:rsidP="00EB60BB">
      <w:bookmarkStart w:id="1" w:name="_Hlk66891708"/>
      <w:r w:rsidRPr="000C7395">
        <w:rPr>
          <w:vertAlign w:val="superscript"/>
        </w:rPr>
        <w:t xml:space="preserve">1 </w:t>
      </w:r>
      <w:r w:rsidR="00835F76">
        <w:t>K </w:t>
      </w:r>
      <w:r w:rsidR="005377D1" w:rsidRPr="005377D1">
        <w:t>prokain</w:t>
      </w:r>
      <w:r w:rsidR="00835F76">
        <w:t>u:</w:t>
      </w:r>
      <w:r w:rsidR="005377D1" w:rsidRPr="005377D1">
        <w:t xml:space="preserve"> </w:t>
      </w:r>
      <w:r w:rsidR="00835F76">
        <w:t>P</w:t>
      </w:r>
      <w:r w:rsidR="005377D1" w:rsidRPr="005377D1">
        <w:t>řecitlivělost na lokální anestetika patřící do podskupiny esterů</w:t>
      </w:r>
      <w:r w:rsidR="00835F76">
        <w:t xml:space="preserve"> je známá</w:t>
      </w:r>
      <w:r w:rsidR="005377D1" w:rsidRPr="005377D1">
        <w:t>. Měl</w:t>
      </w:r>
      <w:r w:rsidR="00DB21C5">
        <w:t>a</w:t>
      </w:r>
      <w:r w:rsidR="005377D1" w:rsidRPr="005377D1">
        <w:t xml:space="preserve"> by</w:t>
      </w:r>
      <w:r w:rsidR="00835F76">
        <w:t xml:space="preserve"> </w:t>
      </w:r>
      <w:proofErr w:type="gramStart"/>
      <w:r w:rsidR="00835F76">
        <w:t xml:space="preserve">být </w:t>
      </w:r>
      <w:r w:rsidR="005377D1" w:rsidRPr="005377D1">
        <w:t xml:space="preserve"> </w:t>
      </w:r>
      <w:r w:rsidR="00835F76">
        <w:t>léčen</w:t>
      </w:r>
      <w:r w:rsidR="00DB21C5">
        <w:t>a</w:t>
      </w:r>
      <w:proofErr w:type="gramEnd"/>
      <w:r w:rsidR="005377D1" w:rsidRPr="005377D1">
        <w:t xml:space="preserve"> antihistaminiky nebo kortikoidy.</w:t>
      </w:r>
    </w:p>
    <w:p w14:paraId="077B3E84" w14:textId="02C055E3" w:rsidR="00EB60BB" w:rsidRDefault="00EB60BB" w:rsidP="00EB60BB">
      <w:r w:rsidRPr="000C7395">
        <w:rPr>
          <w:vertAlign w:val="superscript"/>
        </w:rPr>
        <w:t xml:space="preserve">2 </w:t>
      </w:r>
      <w:r w:rsidR="00DF067F">
        <w:rPr>
          <w:szCs w:val="22"/>
          <w:lang w:val="cs"/>
        </w:rPr>
        <w:t>Ve vzácných případech byly pozorovány anafylaktické reakce</w:t>
      </w:r>
      <w:r w:rsidR="005377D1" w:rsidRPr="005377D1">
        <w:t xml:space="preserve">. </w:t>
      </w:r>
      <w:r w:rsidR="00835F76">
        <w:t>Anafylaktický</w:t>
      </w:r>
      <w:r w:rsidR="005377D1" w:rsidRPr="005377D1">
        <w:t xml:space="preserve"> šok by měl být léčen epinefrinem.</w:t>
      </w:r>
    </w:p>
    <w:p w14:paraId="6417E8C4" w14:textId="5EFE9DB0" w:rsidR="00EB60BB" w:rsidRDefault="005377D1" w:rsidP="00EB60BB">
      <w:r>
        <w:rPr>
          <w:vertAlign w:val="superscript"/>
        </w:rPr>
        <w:t>3</w:t>
      </w:r>
      <w:r w:rsidR="00EB60BB">
        <w:t xml:space="preserve"> Vyskytuje se častěji při epidurální anestezii než při infiltrační anestezii.</w:t>
      </w:r>
    </w:p>
    <w:p w14:paraId="044981B8" w14:textId="6D14EEFF" w:rsidR="00EB60BB" w:rsidRDefault="005377D1" w:rsidP="00EB60BB">
      <w:r>
        <w:rPr>
          <w:vertAlign w:val="superscript"/>
        </w:rPr>
        <w:lastRenderedPageBreak/>
        <w:t>4</w:t>
      </w:r>
      <w:r w:rsidR="00EB60BB" w:rsidRPr="000C7395">
        <w:rPr>
          <w:vertAlign w:val="superscript"/>
        </w:rPr>
        <w:t xml:space="preserve"> </w:t>
      </w:r>
      <w:r w:rsidR="00EB60BB">
        <w:t xml:space="preserve">Zejména u koní. Po podání prokainu </w:t>
      </w:r>
      <w:r w:rsidR="002C27B4">
        <w:t>může</w:t>
      </w:r>
      <w:r w:rsidR="00EB60BB">
        <w:t xml:space="preserve"> </w:t>
      </w:r>
      <w:r w:rsidR="002C27B4">
        <w:t>dojít k podráždění centrálního nervového systému</w:t>
      </w:r>
      <w:r w:rsidR="00EB60BB">
        <w:t>.</w:t>
      </w:r>
    </w:p>
    <w:p w14:paraId="13023382" w14:textId="27ABA1EF" w:rsidR="00EB60BB" w:rsidRDefault="005377D1" w:rsidP="00EB60BB">
      <w:r>
        <w:rPr>
          <w:vertAlign w:val="superscript"/>
        </w:rPr>
        <w:t>5</w:t>
      </w:r>
      <w:r w:rsidR="00EB60BB">
        <w:t xml:space="preserve"> </w:t>
      </w:r>
      <w:r w:rsidR="002C27B4">
        <w:t>V případě neúmyslné intravaskulární</w:t>
      </w:r>
      <w:r w:rsidR="009330D4">
        <w:t>ho podání</w:t>
      </w:r>
      <w:r w:rsidR="002C27B4">
        <w:t xml:space="preserve"> často dochází k toxickým reakcím. </w:t>
      </w:r>
    </w:p>
    <w:p w14:paraId="1049C545" w14:textId="7E7017B4" w:rsidR="002C27B4" w:rsidRDefault="002C27B4" w:rsidP="00EB60BB">
      <w:r>
        <w:t>Při podráždění CNS je třeba podávat krátce působící barbituráty a přípravky k acidifikaci moči, podporující renální exkreci.</w:t>
      </w:r>
    </w:p>
    <w:p w14:paraId="15407EB3" w14:textId="24CB1324" w:rsidR="00EB60BB" w:rsidRDefault="005377D1" w:rsidP="00EB60BB">
      <w:r>
        <w:rPr>
          <w:vertAlign w:val="superscript"/>
        </w:rPr>
        <w:t>6</w:t>
      </w:r>
      <w:r w:rsidR="00EB60BB">
        <w:t xml:space="preserve"> V důsledku</w:t>
      </w:r>
      <w:r w:rsidR="002C27B4">
        <w:t xml:space="preserve"> respirační</w:t>
      </w:r>
      <w:r w:rsidR="00BA776A">
        <w:t xml:space="preserve"> paralýzy.</w:t>
      </w:r>
    </w:p>
    <w:p w14:paraId="462BBDE0" w14:textId="77777777" w:rsidR="00EB60BB" w:rsidRDefault="00EB60BB" w:rsidP="00EB60BB"/>
    <w:p w14:paraId="3DD32652" w14:textId="2767CC9E" w:rsidR="00247A48" w:rsidRDefault="00534056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jeho místnímu zástupci nebo příslušnému vnitrostátnímu orgánu prostřednictvím národního systému hlášení. </w:t>
      </w:r>
      <w:r w:rsidR="009D72F3" w:rsidRPr="00B41D57">
        <w:t>Podrobné kontaktní údaje naleznete v příbalové informac</w:t>
      </w:r>
      <w:r w:rsidR="009D72F3">
        <w:t>i</w:t>
      </w:r>
      <w:r w:rsidR="009D72F3" w:rsidRPr="00B41D57">
        <w:t>.</w:t>
      </w:r>
    </w:p>
    <w:bookmarkEnd w:id="1"/>
    <w:p w14:paraId="734F4FD3" w14:textId="77777777" w:rsidR="009D72F3" w:rsidRPr="00B41D57" w:rsidRDefault="009D72F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53405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C94814" w14:textId="2156DE44" w:rsidR="006D3F83" w:rsidRPr="00144229" w:rsidRDefault="00305F98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Březost a laktace</w:t>
      </w:r>
      <w:r w:rsidR="006D3F83" w:rsidRPr="00144229">
        <w:rPr>
          <w:u w:val="single"/>
        </w:rPr>
        <w:t>:</w:t>
      </w:r>
    </w:p>
    <w:p w14:paraId="7674DFD6" w14:textId="31C3155B" w:rsidR="002A5992" w:rsidRPr="00D97973" w:rsidRDefault="006D3F83" w:rsidP="002A5992">
      <w:pPr>
        <w:tabs>
          <w:tab w:val="clear" w:pos="567"/>
        </w:tabs>
        <w:spacing w:line="240" w:lineRule="auto"/>
      </w:pPr>
      <w:r w:rsidRPr="006D3F83">
        <w:t xml:space="preserve">Bezpečnost veterinárního léčivého přípravku nebyla během </w:t>
      </w:r>
      <w:r w:rsidR="007F4280">
        <w:t>březosti</w:t>
      </w:r>
      <w:r w:rsidRPr="006D3F83">
        <w:t xml:space="preserve"> a </w:t>
      </w:r>
      <w:r w:rsidR="007F4280">
        <w:t>laktace</w:t>
      </w:r>
      <w:r w:rsidRPr="006D3F83">
        <w:t xml:space="preserve"> stanovena. </w:t>
      </w:r>
      <w:r w:rsidR="002A5992">
        <w:t xml:space="preserve">Prokain prochází placentární bariérou a je vylučován do mléka. </w:t>
      </w:r>
      <w:r w:rsidR="002A5992" w:rsidRPr="00A57073">
        <w:rPr>
          <w:u w:color="1F497D"/>
        </w:rPr>
        <w:t>Použít pouze po zvážení terapeutického prospěchu a rizika příslušným veterinárním lékařem</w:t>
      </w:r>
      <w:r w:rsidR="002A5992">
        <w:rPr>
          <w:u w:color="1F497D"/>
        </w:rPr>
        <w:t>.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53405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2AAC0D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Epidurální anestezie je kontraindikována při současném používání fenothiazinů jako trankvilizačních prostředků (protože zesilují hypotenzní účinek prokainu).</w:t>
      </w:r>
    </w:p>
    <w:p w14:paraId="1D173F59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Antibakteriální působení sulfonamidů je v místě podání prokainu sníženo.</w:t>
      </w:r>
    </w:p>
    <w:p w14:paraId="1FE5FDE5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Prokain prodlužujte účinek svalových relaxantů.</w:t>
      </w:r>
    </w:p>
    <w:p w14:paraId="5549F562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Prokain zvyšuje účinek antiarytmik, např. prokainamidu.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53405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BEC23C" w14:textId="24171535" w:rsidR="002A5992" w:rsidRDefault="007F4280" w:rsidP="002A5992">
      <w:pPr>
        <w:tabs>
          <w:tab w:val="clear" w:pos="567"/>
        </w:tabs>
        <w:spacing w:line="240" w:lineRule="auto"/>
      </w:pPr>
      <w:r>
        <w:t>S</w:t>
      </w:r>
      <w:r w:rsidR="002A5992">
        <w:t xml:space="preserve">ubkutánní, </w:t>
      </w:r>
      <w:proofErr w:type="spellStart"/>
      <w:r w:rsidR="002A5992">
        <w:t>perineurální</w:t>
      </w:r>
      <w:proofErr w:type="spellEnd"/>
      <w:r w:rsidR="002A5992">
        <w:t xml:space="preserve"> a epidurální podání.</w:t>
      </w:r>
    </w:p>
    <w:p w14:paraId="7B2E67A9" w14:textId="11BFD925" w:rsidR="002A5992" w:rsidRPr="00D97973" w:rsidRDefault="007F4280" w:rsidP="002A5992">
      <w:pPr>
        <w:tabs>
          <w:tab w:val="clear" w:pos="567"/>
        </w:tabs>
        <w:spacing w:line="240" w:lineRule="auto"/>
      </w:pPr>
      <w:r>
        <w:t>N</w:t>
      </w:r>
      <w:r w:rsidR="002A5992">
        <w:t xml:space="preserve">ástup a trvání účinku viz bod </w:t>
      </w:r>
      <w:r w:rsidR="00B23468">
        <w:t>3.4.</w:t>
      </w:r>
    </w:p>
    <w:p w14:paraId="3E4BC5DE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7BF298B5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b/>
        </w:rPr>
        <w:t>1. Infiltrační anestezie</w:t>
      </w:r>
    </w:p>
    <w:p w14:paraId="24D94766" w14:textId="07FA2993" w:rsidR="002A5992" w:rsidRDefault="002A5992" w:rsidP="002A5992">
      <w:pPr>
        <w:tabs>
          <w:tab w:val="clear" w:pos="567"/>
        </w:tabs>
        <w:spacing w:line="240" w:lineRule="auto"/>
      </w:pPr>
      <w:r>
        <w:t xml:space="preserve">Subkutánní </w:t>
      </w:r>
      <w:r w:rsidR="007F4280">
        <w:t xml:space="preserve">podání </w:t>
      </w:r>
      <w:r>
        <w:t>do</w:t>
      </w:r>
      <w:r w:rsidRPr="00736B30">
        <w:t xml:space="preserve"> </w:t>
      </w:r>
      <w:r>
        <w:t>operačního pole nebo jeho blízkosti.</w:t>
      </w:r>
    </w:p>
    <w:p w14:paraId="3E94E068" w14:textId="77777777" w:rsidR="002A5992" w:rsidRPr="005A2020" w:rsidRDefault="002A5992" w:rsidP="002A5992">
      <w:pPr>
        <w:tabs>
          <w:tab w:val="clear" w:pos="567"/>
        </w:tabs>
        <w:spacing w:line="240" w:lineRule="auto"/>
      </w:pPr>
    </w:p>
    <w:p w14:paraId="7071D324" w14:textId="77777777" w:rsidR="002A5992" w:rsidRDefault="002A5992" w:rsidP="002A5992">
      <w:pPr>
        <w:tabs>
          <w:tab w:val="clear" w:pos="567"/>
        </w:tabs>
        <w:spacing w:line="240" w:lineRule="auto"/>
      </w:pPr>
      <w:r>
        <w:rPr>
          <w:u w:val="single"/>
        </w:rPr>
        <w:t>Koně, skot, prasata, ovce</w:t>
      </w:r>
    </w:p>
    <w:p w14:paraId="59BDF25B" w14:textId="77777777" w:rsidR="002A5992" w:rsidRDefault="002A5992" w:rsidP="002A5992">
      <w:pPr>
        <w:tabs>
          <w:tab w:val="clear" w:pos="567"/>
        </w:tabs>
        <w:spacing w:line="240" w:lineRule="auto"/>
      </w:pPr>
      <w:r>
        <w:t>5 – 20 ml (tj. 100 – 400 mg prokain hydrochloridu)</w:t>
      </w:r>
    </w:p>
    <w:p w14:paraId="670764A6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21AD1B1C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Psi, kočky</w:t>
      </w:r>
    </w:p>
    <w:p w14:paraId="08F5BCBE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1 – 5 ml (tj. 20 – 100 mg prokain hydrochloridu)</w:t>
      </w:r>
    </w:p>
    <w:p w14:paraId="56568802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50AC9D67" w14:textId="77777777" w:rsidR="002A5992" w:rsidRDefault="002A5992" w:rsidP="002A5992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2. Svodná anestezie</w:t>
      </w:r>
    </w:p>
    <w:p w14:paraId="091F48BF" w14:textId="2319AAAB" w:rsidR="002A5992" w:rsidRDefault="002A5992" w:rsidP="002A5992">
      <w:pPr>
        <w:tabs>
          <w:tab w:val="clear" w:pos="567"/>
        </w:tabs>
        <w:spacing w:line="240" w:lineRule="auto"/>
      </w:pPr>
      <w:r>
        <w:t>Injek</w:t>
      </w:r>
      <w:r w:rsidR="007F4280">
        <w:t>ční podání</w:t>
      </w:r>
      <w:r>
        <w:t xml:space="preserve"> u vrcholu nervové větve.</w:t>
      </w:r>
    </w:p>
    <w:p w14:paraId="10367013" w14:textId="77777777" w:rsidR="002A5992" w:rsidRPr="00086D9D" w:rsidRDefault="002A5992" w:rsidP="002A5992">
      <w:pPr>
        <w:tabs>
          <w:tab w:val="clear" w:pos="567"/>
        </w:tabs>
        <w:spacing w:line="240" w:lineRule="auto"/>
      </w:pPr>
    </w:p>
    <w:p w14:paraId="13765495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Psi a kočky</w:t>
      </w:r>
    </w:p>
    <w:p w14:paraId="3D979D23" w14:textId="77777777" w:rsidR="002A5992" w:rsidRDefault="002A5992" w:rsidP="002A5992">
      <w:pPr>
        <w:tabs>
          <w:tab w:val="clear" w:pos="567"/>
        </w:tabs>
        <w:spacing w:line="240" w:lineRule="auto"/>
      </w:pPr>
      <w:r>
        <w:t>2 – 5 ml (tj. 40 – 100 mg prokain hydrochloridu)</w:t>
      </w:r>
    </w:p>
    <w:p w14:paraId="7C742CB7" w14:textId="77777777" w:rsidR="002A5992" w:rsidRDefault="002A5992" w:rsidP="002A5992">
      <w:pPr>
        <w:tabs>
          <w:tab w:val="clear" w:pos="567"/>
        </w:tabs>
        <w:spacing w:line="240" w:lineRule="auto"/>
      </w:pPr>
    </w:p>
    <w:p w14:paraId="0FE462FE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b/>
        </w:rPr>
        <w:t>3. Epidurální anestezie</w:t>
      </w:r>
    </w:p>
    <w:p w14:paraId="47B65D26" w14:textId="2AB539CA" w:rsidR="002A5992" w:rsidRDefault="002A5992" w:rsidP="002A5992">
      <w:pPr>
        <w:tabs>
          <w:tab w:val="clear" w:pos="567"/>
        </w:tabs>
        <w:spacing w:line="240" w:lineRule="auto"/>
      </w:pPr>
      <w:r>
        <w:t>Injek</w:t>
      </w:r>
      <w:r w:rsidR="006B49D2">
        <w:t>ční podání</w:t>
      </w:r>
      <w:r>
        <w:t xml:space="preserve"> do epidurálního prostoru.</w:t>
      </w:r>
    </w:p>
    <w:p w14:paraId="3A206175" w14:textId="77777777" w:rsidR="002A5992" w:rsidRPr="005A2020" w:rsidRDefault="002A5992" w:rsidP="002A5992">
      <w:pPr>
        <w:tabs>
          <w:tab w:val="clear" w:pos="567"/>
        </w:tabs>
        <w:spacing w:line="240" w:lineRule="auto"/>
      </w:pPr>
    </w:p>
    <w:p w14:paraId="07479981" w14:textId="0576C1CB" w:rsidR="002A5992" w:rsidRPr="00D97973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Skot</w:t>
      </w:r>
    </w:p>
    <w:p w14:paraId="60D88EBA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 xml:space="preserve">Sakrální nebo posteriorní epidurální anestezie </w:t>
      </w:r>
      <w:r w:rsidRPr="00914EE2">
        <w:t>(</w:t>
      </w:r>
      <w:r w:rsidRPr="00C85229">
        <w:t>posteriorní = oblast okolo dolního konce páteře</w:t>
      </w:r>
      <w:r>
        <w:t xml:space="preserve">): </w:t>
      </w:r>
    </w:p>
    <w:p w14:paraId="6EE85D7E" w14:textId="77777777" w:rsidR="002A5992" w:rsidRDefault="002A5992" w:rsidP="002A5992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</w:pPr>
      <w:r>
        <w:t>Operace ocasu</w:t>
      </w:r>
    </w:p>
    <w:p w14:paraId="6357A880" w14:textId="77777777" w:rsidR="002A5992" w:rsidRPr="00D97973" w:rsidRDefault="002A5992" w:rsidP="002A5992">
      <w:pPr>
        <w:tabs>
          <w:tab w:val="clear" w:pos="567"/>
          <w:tab w:val="left" w:pos="1843"/>
        </w:tabs>
        <w:spacing w:line="240" w:lineRule="auto"/>
        <w:ind w:left="720"/>
      </w:pPr>
      <w:r>
        <w:t>Tele:</w:t>
      </w:r>
      <w:r>
        <w:tab/>
        <w:t>5 ml (tj. 100 mg prokain hydrochloridu)</w:t>
      </w:r>
    </w:p>
    <w:p w14:paraId="34E82EE9" w14:textId="77777777" w:rsidR="002A5992" w:rsidRPr="00D97973" w:rsidRDefault="002A5992" w:rsidP="002A5992">
      <w:pPr>
        <w:tabs>
          <w:tab w:val="clear" w:pos="567"/>
          <w:tab w:val="left" w:pos="1843"/>
        </w:tabs>
        <w:spacing w:line="240" w:lineRule="auto"/>
        <w:ind w:left="720"/>
      </w:pPr>
      <w:r>
        <w:t>Mladý skot do 1 roku:</w:t>
      </w:r>
      <w:r>
        <w:tab/>
        <w:t>7,5 ml (tj. 150 mg prokain hydrochloridu)</w:t>
      </w:r>
    </w:p>
    <w:p w14:paraId="4A5C7683" w14:textId="77777777" w:rsidR="002A5992" w:rsidRPr="00D97973" w:rsidRDefault="002A5992" w:rsidP="002A5992">
      <w:pPr>
        <w:tabs>
          <w:tab w:val="clear" w:pos="567"/>
          <w:tab w:val="left" w:pos="1843"/>
        </w:tabs>
        <w:spacing w:line="240" w:lineRule="auto"/>
        <w:ind w:left="720"/>
      </w:pPr>
      <w:r>
        <w:t>Kráva nebo býk:</w:t>
      </w:r>
      <w:r>
        <w:tab/>
        <w:t>10 ml (tj. 200 mg prokain hydrochloridu)</w:t>
      </w:r>
    </w:p>
    <w:p w14:paraId="583B5F92" w14:textId="77777777" w:rsidR="002A5992" w:rsidRDefault="002A5992" w:rsidP="002A5992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</w:pPr>
      <w:r>
        <w:t>Drobné perinatální zákroky</w:t>
      </w:r>
    </w:p>
    <w:p w14:paraId="78CE5806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t>Mladý skot do 1 roku:</w:t>
      </w:r>
      <w:r>
        <w:tab/>
        <w:t>12 ml (tj. 240 mg prokain hydrochloridu)</w:t>
      </w:r>
    </w:p>
    <w:p w14:paraId="1F13E547" w14:textId="77777777" w:rsidR="002A5992" w:rsidRPr="00D97973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lastRenderedPageBreak/>
        <w:t>Kráva:</w:t>
      </w:r>
      <w:r>
        <w:tab/>
        <w:t>15 ml (tj. 300 mg prokain hydrochloridu)</w:t>
      </w:r>
    </w:p>
    <w:p w14:paraId="594F9B73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</w:pPr>
    </w:p>
    <w:p w14:paraId="5E0B6FA1" w14:textId="77777777" w:rsidR="002A5992" w:rsidRPr="00D97973" w:rsidRDefault="002A5992" w:rsidP="002A5992">
      <w:pPr>
        <w:tabs>
          <w:tab w:val="clear" w:pos="567"/>
          <w:tab w:val="left" w:pos="1843"/>
        </w:tabs>
        <w:spacing w:line="240" w:lineRule="auto"/>
      </w:pPr>
      <w:r>
        <w:t>Anteriorní epidurální anestezie (</w:t>
      </w:r>
      <w:r w:rsidRPr="00C85229">
        <w:t>anteriorní = oblast v krajině břišní, přibližně až po bránici</w:t>
      </w:r>
      <w:r>
        <w:t>):</w:t>
      </w:r>
    </w:p>
    <w:p w14:paraId="77C6600E" w14:textId="77777777" w:rsidR="002A5992" w:rsidRDefault="002A5992" w:rsidP="002A5992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</w:pPr>
      <w:r>
        <w:t>Vyšetření a operace penisu</w:t>
      </w:r>
    </w:p>
    <w:p w14:paraId="106000DC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t>Tele:</w:t>
      </w:r>
      <w:r>
        <w:tab/>
        <w:t>15 ml (tj. 300 mg prokain hydrochloridu)</w:t>
      </w:r>
    </w:p>
    <w:p w14:paraId="4E0DB07E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t>Mladý skot do 1 roku:</w:t>
      </w:r>
      <w:r>
        <w:tab/>
        <w:t>30 ml (tj. 600 mg prokain hydrochloridu)</w:t>
      </w:r>
    </w:p>
    <w:p w14:paraId="7E38B0EE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t>Býk:</w:t>
      </w:r>
      <w:r>
        <w:tab/>
        <w:t>40 ml (tj. 800 mg prokain hydrochloridu)</w:t>
      </w:r>
    </w:p>
    <w:p w14:paraId="5FE88E86" w14:textId="77777777" w:rsidR="002A5992" w:rsidRDefault="002A5992" w:rsidP="002A5992">
      <w:pPr>
        <w:tabs>
          <w:tab w:val="clear" w:pos="567"/>
          <w:tab w:val="left" w:pos="1843"/>
        </w:tabs>
        <w:spacing w:line="240" w:lineRule="auto"/>
        <w:ind w:left="709"/>
      </w:pPr>
      <w:r>
        <w:t>Při tomto dávkování může dojít k ulehnutí zvířat.</w:t>
      </w:r>
    </w:p>
    <w:p w14:paraId="77B09274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4BEF5BEF" w14:textId="77777777" w:rsidR="002A5992" w:rsidRPr="00D97973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Ovce</w:t>
      </w:r>
    </w:p>
    <w:p w14:paraId="38A6B9F7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 xml:space="preserve">Sakrální nebo posteriorní epidurální anestezie </w:t>
      </w:r>
      <w:r w:rsidRPr="00C85229">
        <w:t>(posteriorní = oblast okolo dolního konce páteře</w:t>
      </w:r>
      <w:r>
        <w:t>):</w:t>
      </w:r>
    </w:p>
    <w:p w14:paraId="6F38FFE9" w14:textId="77777777" w:rsidR="002A5992" w:rsidRDefault="002A5992" w:rsidP="002A5992">
      <w:pPr>
        <w:tabs>
          <w:tab w:val="clear" w:pos="567"/>
        </w:tabs>
        <w:spacing w:line="240" w:lineRule="auto"/>
      </w:pPr>
      <w:r>
        <w:t>3 – 5 ml (tj. 60 – 100 mg prokain hydrochloridu)</w:t>
      </w:r>
    </w:p>
    <w:p w14:paraId="78BE7CE9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3ECAECCF" w14:textId="77777777" w:rsidR="002A5992" w:rsidRDefault="002A5992" w:rsidP="002A5992">
      <w:pPr>
        <w:tabs>
          <w:tab w:val="clear" w:pos="567"/>
        </w:tabs>
        <w:spacing w:line="240" w:lineRule="auto"/>
      </w:pPr>
      <w:r>
        <w:t>Anteriorní epidurální anestezie (</w:t>
      </w:r>
      <w:r w:rsidRPr="00C85229">
        <w:t>anteriorní = oblast v krajině břišní, přibližně až po bránici</w:t>
      </w:r>
      <w:r>
        <w:t>):</w:t>
      </w:r>
    </w:p>
    <w:p w14:paraId="09EB85E9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max. 15 ml (tj. 300 mg prokain hydrochloridu)</w:t>
      </w:r>
    </w:p>
    <w:p w14:paraId="2B7D04C7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762D048E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Prasata</w:t>
      </w:r>
    </w:p>
    <w:p w14:paraId="3814B99E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>1 ml (tj. 20 mg prokain hydrochloridu) na 4,5 kg ž.hm., max. 20 ml (tj. 400 mg prokain hydrochloridu)</w:t>
      </w:r>
    </w:p>
    <w:p w14:paraId="0E21A9F5" w14:textId="77777777" w:rsidR="002A5992" w:rsidRPr="00D97973" w:rsidRDefault="002A5992" w:rsidP="002A5992">
      <w:pPr>
        <w:tabs>
          <w:tab w:val="clear" w:pos="567"/>
        </w:tabs>
        <w:spacing w:line="240" w:lineRule="auto"/>
      </w:pPr>
    </w:p>
    <w:p w14:paraId="3C81E163" w14:textId="77777777" w:rsidR="002A5992" w:rsidRDefault="002A5992" w:rsidP="002A599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Psi</w:t>
      </w:r>
    </w:p>
    <w:p w14:paraId="5DB07472" w14:textId="77777777" w:rsidR="002A5992" w:rsidRPr="00D97973" w:rsidRDefault="002A5992" w:rsidP="002A5992">
      <w:pPr>
        <w:tabs>
          <w:tab w:val="clear" w:pos="567"/>
        </w:tabs>
        <w:spacing w:line="240" w:lineRule="auto"/>
      </w:pPr>
      <w:r>
        <w:t xml:space="preserve">2 ml (tj. 40 mg prokain hydrochloridu) na </w:t>
      </w:r>
      <w:smartTag w:uri="urn:schemas-microsoft-com:office:smarttags" w:element="metricconverter">
        <w:smartTagPr>
          <w:attr w:name="ProductID" w:val="5 kg"/>
        </w:smartTagPr>
        <w:r>
          <w:t>5 kg</w:t>
        </w:r>
      </w:smartTag>
      <w:r>
        <w:t xml:space="preserve"> ž.hm.</w:t>
      </w:r>
    </w:p>
    <w:p w14:paraId="55701F51" w14:textId="77777777" w:rsidR="002A5992" w:rsidRDefault="002A5992" w:rsidP="002A5992">
      <w:pPr>
        <w:tabs>
          <w:tab w:val="clear" w:pos="567"/>
        </w:tabs>
        <w:spacing w:line="240" w:lineRule="auto"/>
        <w:rPr>
          <w:szCs w:val="22"/>
        </w:rPr>
      </w:pPr>
    </w:p>
    <w:p w14:paraId="496E4177" w14:textId="4CFFE2F0" w:rsidR="002A5992" w:rsidRDefault="002A5992" w:rsidP="002A5992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Zátka může být propíchnuta až 25 krát.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53405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69972174" w14:textId="77777777" w:rsidR="002A5992" w:rsidRDefault="002A5992" w:rsidP="002A5992"/>
    <w:p w14:paraId="719FC6B3" w14:textId="56AC8186" w:rsidR="002A5992" w:rsidRPr="008135A6" w:rsidRDefault="002A5992" w:rsidP="002A5992">
      <w:pPr>
        <w:rPr>
          <w:szCs w:val="22"/>
        </w:rPr>
      </w:pPr>
      <w:r>
        <w:t>Příznaky po předávkování</w:t>
      </w:r>
      <w:r w:rsidRPr="000A4DAA">
        <w:t xml:space="preserve"> </w:t>
      </w:r>
      <w:r>
        <w:t>odpovídají příznakům, které se projeví po neúmyslné intravaskulární</w:t>
      </w:r>
      <w:r w:rsidR="006B49D2">
        <w:t>m podání</w:t>
      </w:r>
      <w:r>
        <w:t xml:space="preserve">, jak je popsáno v bodu </w:t>
      </w:r>
      <w:r w:rsidR="00B23468">
        <w:t>3.6.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53405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68E0D6DD" w:rsidR="009A6509" w:rsidRPr="008A0236" w:rsidRDefault="006B49D2" w:rsidP="009A6509">
      <w:pPr>
        <w:tabs>
          <w:tab w:val="clear" w:pos="567"/>
        </w:tabs>
        <w:spacing w:line="240" w:lineRule="auto"/>
      </w:pPr>
      <w:r w:rsidRPr="008A0236">
        <w:t>Neuplatňuje se.</w:t>
      </w:r>
    </w:p>
    <w:p w14:paraId="0722D751" w14:textId="77777777" w:rsidR="006B49D2" w:rsidRPr="00B41D57" w:rsidRDefault="006B49D2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53405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8585E7" w14:textId="77777777" w:rsidR="00385F0D" w:rsidRPr="00FE299E" w:rsidRDefault="00385F0D" w:rsidP="00385F0D">
      <w:pPr>
        <w:tabs>
          <w:tab w:val="clear" w:pos="567"/>
          <w:tab w:val="left" w:pos="1418"/>
        </w:tabs>
        <w:spacing w:line="240" w:lineRule="auto"/>
        <w:rPr>
          <w:u w:val="single"/>
        </w:rPr>
      </w:pPr>
      <w:r>
        <w:rPr>
          <w:u w:val="single"/>
        </w:rPr>
        <w:t>Skot, ovce a koně:</w:t>
      </w:r>
    </w:p>
    <w:p w14:paraId="0F6EAE16" w14:textId="77777777" w:rsidR="00385F0D" w:rsidRDefault="00385F0D" w:rsidP="00385F0D">
      <w:pPr>
        <w:tabs>
          <w:tab w:val="clear" w:pos="567"/>
          <w:tab w:val="left" w:pos="1418"/>
        </w:tabs>
        <w:spacing w:line="240" w:lineRule="auto"/>
      </w:pPr>
      <w:r>
        <w:t xml:space="preserve">Maso: </w:t>
      </w:r>
      <w:r>
        <w:tab/>
        <w:t>Bez ochranných lhůt.</w:t>
      </w:r>
    </w:p>
    <w:p w14:paraId="24193A31" w14:textId="77777777" w:rsidR="00385F0D" w:rsidRDefault="00385F0D" w:rsidP="00385F0D">
      <w:pPr>
        <w:tabs>
          <w:tab w:val="clear" w:pos="567"/>
          <w:tab w:val="left" w:pos="1418"/>
        </w:tabs>
        <w:spacing w:line="240" w:lineRule="auto"/>
      </w:pPr>
      <w:r>
        <w:t>Mléko:</w:t>
      </w:r>
      <w:r>
        <w:tab/>
        <w:t>Bez ochranných lhůt.</w:t>
      </w:r>
    </w:p>
    <w:p w14:paraId="76DA261D" w14:textId="77777777" w:rsidR="00385F0D" w:rsidRDefault="00385F0D" w:rsidP="00385F0D">
      <w:pPr>
        <w:tabs>
          <w:tab w:val="clear" w:pos="567"/>
          <w:tab w:val="left" w:pos="1418"/>
        </w:tabs>
        <w:spacing w:line="240" w:lineRule="auto"/>
      </w:pPr>
    </w:p>
    <w:p w14:paraId="29F52F35" w14:textId="77777777" w:rsidR="00385F0D" w:rsidRDefault="00385F0D" w:rsidP="00385F0D">
      <w:pPr>
        <w:tabs>
          <w:tab w:val="clear" w:pos="567"/>
          <w:tab w:val="left" w:pos="1418"/>
        </w:tabs>
        <w:spacing w:line="240" w:lineRule="auto"/>
      </w:pPr>
      <w:r>
        <w:rPr>
          <w:u w:val="single"/>
        </w:rPr>
        <w:t>Prasata:</w:t>
      </w:r>
    </w:p>
    <w:p w14:paraId="3E20C3B8" w14:textId="77777777" w:rsidR="00385F0D" w:rsidRDefault="00385F0D" w:rsidP="00385F0D">
      <w:pPr>
        <w:tabs>
          <w:tab w:val="clear" w:pos="567"/>
          <w:tab w:val="left" w:pos="1418"/>
        </w:tabs>
        <w:spacing w:line="240" w:lineRule="auto"/>
      </w:pPr>
      <w:r>
        <w:t>Maso:</w:t>
      </w:r>
      <w:r>
        <w:tab/>
        <w:t>Bez ochranných lhůt.</w:t>
      </w:r>
    </w:p>
    <w:p w14:paraId="1A1B55BD" w14:textId="6C7A1B3F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42C9C" w14:textId="77777777" w:rsidR="00144229" w:rsidRPr="00B41D57" w:rsidRDefault="001442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B3AFA10" w:rsidR="00C114FF" w:rsidRPr="00B41D57" w:rsidRDefault="00534056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57C2F5" w14:textId="5210DEB4" w:rsidR="00C73B98" w:rsidRPr="00C73B98" w:rsidRDefault="00534056" w:rsidP="00C73B98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ATCvet kód:</w:t>
      </w:r>
      <w:r w:rsidR="00C73B98">
        <w:t xml:space="preserve"> </w:t>
      </w:r>
      <w:r w:rsidR="00C73B98" w:rsidRPr="00C73B98">
        <w:rPr>
          <w:b w:val="0"/>
          <w:bCs/>
        </w:rPr>
        <w:t>QN01BA02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AE025BA" w:rsidR="00C114FF" w:rsidRDefault="00534056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44142E3B" w14:textId="77777777" w:rsidR="00144229" w:rsidRDefault="00144229" w:rsidP="00B13B6D">
      <w:pPr>
        <w:pStyle w:val="Style1"/>
      </w:pPr>
    </w:p>
    <w:p w14:paraId="584B67D7" w14:textId="74A0AC10" w:rsidR="00C73B98" w:rsidRDefault="00C73B98" w:rsidP="0004269C">
      <w:pPr>
        <w:tabs>
          <w:tab w:val="clear" w:pos="567"/>
        </w:tabs>
        <w:spacing w:line="240" w:lineRule="auto"/>
      </w:pPr>
      <w:r>
        <w:t xml:space="preserve">Prokain je syntetické lokálně působící anestetikum esterového typu. Konkrétně se jedná o ester kyseliny paraaminobenzoové, považované za lipofilní část této molekuly. Prokain stabilizuje buněčnou membránu, což vede ke </w:t>
      </w:r>
      <w:r w:rsidRPr="0004269C">
        <w:rPr>
          <w:u w:color="1F497D"/>
        </w:rPr>
        <w:t>snížení permeability</w:t>
      </w:r>
      <w:r>
        <w:t xml:space="preserve"> membrány u nervových buněk a tím ke snížené difuzi sodných a draselných iontů. To narušuje tvorbu</w:t>
      </w:r>
      <w:r w:rsidRPr="000A4DAA">
        <w:t xml:space="preserve"> </w:t>
      </w:r>
      <w:r>
        <w:t xml:space="preserve">akčních potenciálů a inhibuje přenos signálu. Tato inhibice vede k reverzibilní lokální anestezii. Axony neuronů vykazují proměnlivou odezvu na lokální anestezii, což je determinováno tloušťkou myelinových obalů: axony neuronů, které nejsou </w:t>
      </w:r>
      <w:r>
        <w:lastRenderedPageBreak/>
        <w:t>pokryty myelinovou pochvou, mají větší odezvu a axony neuronů, pokryté tenkou myelinovou pochvou jsou anestetizovány rychleji, než axony neuronů se silnou myelinovou pochvou.</w:t>
      </w:r>
    </w:p>
    <w:p w14:paraId="0215E46F" w14:textId="77777777" w:rsidR="00C73B98" w:rsidRPr="00D97973" w:rsidRDefault="00C73B98" w:rsidP="0004269C">
      <w:pPr>
        <w:tabs>
          <w:tab w:val="clear" w:pos="567"/>
        </w:tabs>
        <w:spacing w:line="240" w:lineRule="auto"/>
      </w:pPr>
      <w:r>
        <w:t>Vedle těchto lokálně anestetických účinků vykazuje prokain také vasodilatační a antihypertenzní účinky.</w:t>
      </w:r>
    </w:p>
    <w:p w14:paraId="50FA42E3" w14:textId="77777777" w:rsidR="00C114FF" w:rsidRPr="00B23468" w:rsidRDefault="00C114FF" w:rsidP="0004269C">
      <w:pPr>
        <w:tabs>
          <w:tab w:val="clear" w:pos="567"/>
        </w:tabs>
        <w:spacing w:line="240" w:lineRule="auto"/>
      </w:pPr>
    </w:p>
    <w:p w14:paraId="2BE4D04A" w14:textId="553E6938" w:rsidR="00C114FF" w:rsidRDefault="00534056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65776BD" w14:textId="77777777" w:rsidR="00144229" w:rsidRDefault="00144229" w:rsidP="00B13B6D">
      <w:pPr>
        <w:pStyle w:val="Style1"/>
      </w:pPr>
    </w:p>
    <w:p w14:paraId="43046F9C" w14:textId="55B1FECA" w:rsidR="00C73B98" w:rsidRDefault="00C73B98" w:rsidP="0004269C">
      <w:pPr>
        <w:tabs>
          <w:tab w:val="clear" w:pos="567"/>
        </w:tabs>
        <w:spacing w:line="240" w:lineRule="auto"/>
      </w:pPr>
      <w:r>
        <w:t>Po parenterálním podání je prokain velmi rychle absorbován do krevního řečiště, zejména pro své vasodilatační vlastnosti. Kromě jiných faktorů závisí absorpce také na vaskularizaci místa injek</w:t>
      </w:r>
      <w:r w:rsidR="006B49D2">
        <w:t>čního podání.</w:t>
      </w:r>
      <w:r>
        <w:t xml:space="preserve"> Délka trvání účinku je srovnatelně krátká vzhledem k rychlé hydrolýze sérovou cholinesterázou. V případě epidurálního podání je rychlost absorpce pomalejší.</w:t>
      </w:r>
    </w:p>
    <w:p w14:paraId="1C3A8160" w14:textId="149D1901" w:rsidR="00C73B98" w:rsidRDefault="00C73B98" w:rsidP="0004269C">
      <w:pPr>
        <w:tabs>
          <w:tab w:val="clear" w:pos="567"/>
        </w:tabs>
        <w:spacing w:line="240" w:lineRule="auto"/>
      </w:pPr>
      <w:r>
        <w:t xml:space="preserve">Prokain </w:t>
      </w:r>
      <w:r w:rsidR="006B49D2">
        <w:t xml:space="preserve">má </w:t>
      </w:r>
      <w:r>
        <w:t xml:space="preserve">pouze slabou vazbu na plazmatické </w:t>
      </w:r>
      <w:r w:rsidR="006B49D2">
        <w:t xml:space="preserve">bílkoviny </w:t>
      </w:r>
      <w:r>
        <w:t>(2 %).</w:t>
      </w:r>
    </w:p>
    <w:p w14:paraId="0B820137" w14:textId="77777777" w:rsidR="00C73B98" w:rsidRDefault="00C73B98" w:rsidP="0004269C">
      <w:pPr>
        <w:tabs>
          <w:tab w:val="clear" w:pos="567"/>
        </w:tabs>
        <w:spacing w:line="240" w:lineRule="auto"/>
      </w:pPr>
      <w:r>
        <w:t>Vzhledem k relativně nízké rozpustnosti v tucích vykazuje prokain pouze slabou penetraci do tkání. Prochází však hematoencefalickou bariérou a difunduje do fetální plazmy.</w:t>
      </w:r>
    </w:p>
    <w:p w14:paraId="15755D72" w14:textId="77777777" w:rsidR="00C73B98" w:rsidRDefault="00C73B98" w:rsidP="0004269C">
      <w:pPr>
        <w:tabs>
          <w:tab w:val="clear" w:pos="567"/>
        </w:tabs>
        <w:spacing w:line="240" w:lineRule="auto"/>
      </w:pPr>
      <w:r>
        <w:t>Prokain je rychle a téměř zcela hydrolyzován na kyselinu paraaminobenzoovou a diethylaminoethanol pseudocholinesterázami, které se přirozeně vyskytují v plazmě i v jaterních mikrosomech a v mikrosomech jiných tkání. Kyselina paraaminobenzoová, která inhibuje působení sulfonamidů, je oproti tomu konjugována s kyselinou glukuronovou a je vylučována renální cestou. Diethylaminoethanol, který je sám o sobě aktivním metabolitem, je degradován v játrech. Metabolismus prokainu vykazuje druhovou specifitu u jednotlivých cílových druhů zvířat. U koček dochází k metabolické degradaci až ze 40 % v játrech, u jednotlivých plemen psů, např. u anglických chrtů (greyhound) je účinek sérových esteráz pouze velmi slabý.</w:t>
      </w:r>
    </w:p>
    <w:p w14:paraId="528E964F" w14:textId="77777777" w:rsidR="00C73B98" w:rsidRDefault="00C73B98" w:rsidP="0004269C">
      <w:pPr>
        <w:tabs>
          <w:tab w:val="clear" w:pos="567"/>
        </w:tabs>
        <w:spacing w:line="240" w:lineRule="auto"/>
      </w:pPr>
      <w:r>
        <w:t>Prokain je rychle a úplně vylučován ledvinami ve formě svých metabolitů. Poločas eliminace v séru je krátký, 1 až 1,5 hodiny. Renální clearance závisí na pH moči: při kyselém pH je renální vylučování účinnější, při zásaditém pH je vylučování pomalejší.</w:t>
      </w:r>
    </w:p>
    <w:p w14:paraId="35B3850F" w14:textId="77777777" w:rsidR="00C73B98" w:rsidRPr="00B41D57" w:rsidRDefault="00C73B98" w:rsidP="0004269C">
      <w:pPr>
        <w:pStyle w:val="Style1"/>
      </w:pPr>
    </w:p>
    <w:p w14:paraId="44B643E5" w14:textId="77777777" w:rsidR="00C114FF" w:rsidRPr="00B23468" w:rsidRDefault="00C114FF" w:rsidP="0004269C">
      <w:pPr>
        <w:tabs>
          <w:tab w:val="clear" w:pos="567"/>
        </w:tabs>
        <w:spacing w:line="240" w:lineRule="auto"/>
      </w:pPr>
    </w:p>
    <w:p w14:paraId="1F57863B" w14:textId="77777777" w:rsidR="00C114FF" w:rsidRPr="00B41D57" w:rsidRDefault="0053405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53405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6309A0" w14:textId="77777777" w:rsidR="00C73B98" w:rsidRDefault="00C73B98" w:rsidP="00C73B98">
      <w:pPr>
        <w:tabs>
          <w:tab w:val="clear" w:pos="567"/>
        </w:tabs>
        <w:spacing w:line="240" w:lineRule="auto"/>
      </w:pPr>
      <w:r w:rsidRPr="006C4221"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534056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8BD65F" w14:textId="69D4FA4D" w:rsidR="00C73B98" w:rsidRPr="00D97973" w:rsidRDefault="00C73B98" w:rsidP="00C73B98">
      <w:pPr>
        <w:tabs>
          <w:tab w:val="clear" w:pos="567"/>
        </w:tabs>
        <w:spacing w:line="240" w:lineRule="auto"/>
        <w:ind w:right="-318"/>
      </w:pPr>
      <w:r>
        <w:t>Doba použitelnosti veterinárního léčivého přípravku v neporušeném obalu: 2 roky</w:t>
      </w:r>
    </w:p>
    <w:p w14:paraId="67ABDE2A" w14:textId="2A934BFE" w:rsidR="00C73B98" w:rsidRPr="00D97973" w:rsidRDefault="00C73B98" w:rsidP="00C73B98">
      <w:pPr>
        <w:tabs>
          <w:tab w:val="clear" w:pos="567"/>
        </w:tabs>
        <w:spacing w:line="240" w:lineRule="auto"/>
        <w:ind w:right="-318"/>
      </w:pPr>
      <w:r>
        <w:t>Doba použitelnosti po prvním otevření vnitřního obalu: 28 dní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53405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948154" w14:textId="238E833F" w:rsidR="00C73B98" w:rsidRDefault="00C73B98" w:rsidP="00C73B98">
      <w:r>
        <w:t>Uchovávejte injekční lahvičku v krabičce, aby byla chráněna před světlem.</w:t>
      </w:r>
    </w:p>
    <w:p w14:paraId="2E326961" w14:textId="77777777" w:rsidR="00C73B98" w:rsidRPr="00ED05CF" w:rsidRDefault="00C73B98" w:rsidP="00C73B98">
      <w:pPr>
        <w:jc w:val="both"/>
      </w:pPr>
      <w:r>
        <w:t>Po prvním otevření uchovávejte při teplotě do 25 °C.</w:t>
      </w:r>
    </w:p>
    <w:p w14:paraId="5F017D70" w14:textId="77777777" w:rsidR="00C73B98" w:rsidRPr="00474C50" w:rsidRDefault="00C73B98" w:rsidP="00C73B98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53405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1F6357A" w14:textId="77777777" w:rsidR="00C73B98" w:rsidRDefault="00C73B98" w:rsidP="00C73B98">
      <w:pPr>
        <w:tabs>
          <w:tab w:val="clear" w:pos="567"/>
          <w:tab w:val="left" w:pos="0"/>
        </w:tabs>
        <w:jc w:val="both"/>
      </w:pPr>
      <w:r>
        <w:t>Injekční lahvička z čirého skla typu II (Ph. Eur.) s bromobutylovou gumovou zátkou typu I (Ph. Eur.)</w:t>
      </w:r>
    </w:p>
    <w:p w14:paraId="2D6E3980" w14:textId="6FD717F4" w:rsidR="00C73B98" w:rsidRPr="00931134" w:rsidRDefault="00C73B98" w:rsidP="00C73B98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a hliníkov</w:t>
      </w:r>
      <w:r w:rsidR="006E5ADB">
        <w:rPr>
          <w:sz w:val="22"/>
          <w:szCs w:val="22"/>
        </w:rPr>
        <w:t>ým uzávěrem</w:t>
      </w:r>
      <w:r>
        <w:rPr>
          <w:sz w:val="22"/>
          <w:szCs w:val="22"/>
        </w:rPr>
        <w:t>.</w:t>
      </w:r>
    </w:p>
    <w:p w14:paraId="78A0B578" w14:textId="77777777" w:rsidR="00C73B98" w:rsidRPr="00302826" w:rsidRDefault="00C73B98" w:rsidP="00C73B98">
      <w:pPr>
        <w:tabs>
          <w:tab w:val="clear" w:pos="567"/>
        </w:tabs>
        <w:spacing w:line="240" w:lineRule="auto"/>
      </w:pPr>
      <w:r>
        <w:t>Velikosti balení: 1 x 100 ml, 10 x 100 ml</w:t>
      </w:r>
    </w:p>
    <w:p w14:paraId="485EB1DB" w14:textId="77777777" w:rsidR="00C73B98" w:rsidRDefault="00C73B98" w:rsidP="00C73B98">
      <w:pPr>
        <w:tabs>
          <w:tab w:val="clear" w:pos="567"/>
        </w:tabs>
        <w:spacing w:line="240" w:lineRule="auto"/>
      </w:pPr>
    </w:p>
    <w:p w14:paraId="73DA02BC" w14:textId="77777777" w:rsidR="00C73B98" w:rsidRPr="00D97973" w:rsidRDefault="00C73B98" w:rsidP="00C73B98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0DA7E0E2" w14:textId="77777777" w:rsidR="00C73B98" w:rsidRPr="00474C50" w:rsidRDefault="00C73B98" w:rsidP="00C73B98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534056" w:rsidP="00144229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422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F61DDF8" w14:textId="4E5F903A" w:rsidR="00B23468" w:rsidRPr="00331E03" w:rsidRDefault="00B23468" w:rsidP="0014422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31E03">
        <w:rPr>
          <w:iCs/>
          <w:szCs w:val="22"/>
        </w:rPr>
        <w:t>Lé</w:t>
      </w:r>
      <w:r w:rsidR="00144229">
        <w:rPr>
          <w:iCs/>
          <w:szCs w:val="22"/>
        </w:rPr>
        <w:t>čivé přípravky</w:t>
      </w:r>
      <w:r w:rsidRPr="00331E03">
        <w:rPr>
          <w:iCs/>
          <w:szCs w:val="22"/>
        </w:rPr>
        <w:t xml:space="preserve"> se ne</w:t>
      </w:r>
      <w:r w:rsidR="00144229">
        <w:rPr>
          <w:iCs/>
          <w:szCs w:val="22"/>
        </w:rPr>
        <w:t xml:space="preserve">smí </w:t>
      </w:r>
      <w:r w:rsidRPr="00331E03">
        <w:rPr>
          <w:iCs/>
          <w:szCs w:val="22"/>
        </w:rPr>
        <w:t>likvidovat prostřednictvím odpadní vod</w:t>
      </w:r>
      <w:r w:rsidR="00144229">
        <w:rPr>
          <w:iCs/>
          <w:szCs w:val="22"/>
        </w:rPr>
        <w:t xml:space="preserve">y či </w:t>
      </w:r>
      <w:r w:rsidRPr="00331E03">
        <w:rPr>
          <w:iCs/>
          <w:szCs w:val="22"/>
        </w:rPr>
        <w:t>domovního odpadu.</w:t>
      </w:r>
    </w:p>
    <w:p w14:paraId="2E42B45B" w14:textId="08788C72" w:rsidR="00B23468" w:rsidRPr="00331E03" w:rsidRDefault="00B23468" w:rsidP="0014422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31E03">
        <w:rPr>
          <w:iCs/>
          <w:szCs w:val="22"/>
        </w:rPr>
        <w:lastRenderedPageBreak/>
        <w:t>V</w:t>
      </w:r>
      <w:r w:rsidR="00144229">
        <w:rPr>
          <w:iCs/>
          <w:szCs w:val="22"/>
        </w:rPr>
        <w:t xml:space="preserve">šechen nepoužitý veterinární léčivý přípravek nebo odpad, který pochází z tohoto přípravku, likvidujte odevzdáním v </w:t>
      </w:r>
      <w:r w:rsidRPr="00331E03">
        <w:rPr>
          <w:iCs/>
          <w:szCs w:val="22"/>
        </w:rPr>
        <w:t xml:space="preserve">souladu s místními požadavky a </w:t>
      </w:r>
      <w:r w:rsidR="00144229">
        <w:rPr>
          <w:iCs/>
          <w:szCs w:val="22"/>
        </w:rPr>
        <w:t xml:space="preserve">národními </w:t>
      </w:r>
      <w:r w:rsidRPr="00331E03">
        <w:rPr>
          <w:iCs/>
          <w:szCs w:val="22"/>
        </w:rPr>
        <w:t xml:space="preserve">systémy sběru, které </w:t>
      </w:r>
      <w:r w:rsidR="00144229">
        <w:rPr>
          <w:iCs/>
          <w:szCs w:val="22"/>
        </w:rPr>
        <w:t>jsou platné pro příslušný veterinární léčivý přípravek.</w:t>
      </w:r>
    </w:p>
    <w:p w14:paraId="3B802B67" w14:textId="77777777" w:rsidR="00C73B98" w:rsidRDefault="00C73B98" w:rsidP="00C73B98">
      <w:pPr>
        <w:tabs>
          <w:tab w:val="clear" w:pos="567"/>
        </w:tabs>
        <w:spacing w:line="240" w:lineRule="auto"/>
        <w:rPr>
          <w:szCs w:val="22"/>
        </w:rPr>
      </w:pPr>
    </w:p>
    <w:p w14:paraId="5BF780F2" w14:textId="77777777" w:rsidR="00331E03" w:rsidRPr="00474C50" w:rsidRDefault="00331E03" w:rsidP="00C73B98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53405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340B0E" w14:textId="13B0A917" w:rsidR="00C73B98" w:rsidRPr="00D97973" w:rsidRDefault="00C73B98" w:rsidP="00C73B98">
      <w:pPr>
        <w:tabs>
          <w:tab w:val="clear" w:pos="567"/>
        </w:tabs>
        <w:spacing w:line="240" w:lineRule="auto"/>
        <w:ind w:right="-318"/>
      </w:pPr>
      <w:proofErr w:type="spellStart"/>
      <w:r>
        <w:t>VetViva</w:t>
      </w:r>
      <w:proofErr w:type="spellEnd"/>
      <w:r>
        <w:t xml:space="preserve"> Richter GmbH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53405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5FE7BBF" w14:textId="77777777" w:rsidR="00C73B98" w:rsidRDefault="00C73B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A2C56F" w14:textId="73AB8436" w:rsidR="00C114FF" w:rsidRPr="00B41D57" w:rsidRDefault="00C73B98" w:rsidP="00A9226B">
      <w:pPr>
        <w:tabs>
          <w:tab w:val="clear" w:pos="567"/>
        </w:tabs>
        <w:spacing w:line="240" w:lineRule="auto"/>
        <w:rPr>
          <w:szCs w:val="22"/>
        </w:rPr>
      </w:pPr>
      <w:r w:rsidRPr="00C73B98">
        <w:rPr>
          <w:szCs w:val="22"/>
        </w:rPr>
        <w:t>96/039/14-C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3BDDEF" w14:textId="77777777" w:rsidR="00331E03" w:rsidRPr="00B41D57" w:rsidRDefault="00331E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53405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F47F3" w14:textId="16B7CF84" w:rsidR="00C73B98" w:rsidRDefault="00C73B98" w:rsidP="00C73B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28. 5. 2014/ 14. 12. 2017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53405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04D716D7" w:rsidR="00C114FF" w:rsidRDefault="00C114FF" w:rsidP="00C73B98">
      <w:pPr>
        <w:tabs>
          <w:tab w:val="clear" w:pos="567"/>
        </w:tabs>
        <w:spacing w:line="240" w:lineRule="auto"/>
        <w:rPr>
          <w:szCs w:val="22"/>
        </w:rPr>
      </w:pPr>
    </w:p>
    <w:p w14:paraId="12FC7212" w14:textId="6A91006C" w:rsidR="00C73B98" w:rsidRDefault="006B49D2" w:rsidP="00C73B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04/2025</w:t>
      </w:r>
    </w:p>
    <w:p w14:paraId="57CA0E18" w14:textId="77777777" w:rsidR="008A0236" w:rsidRPr="00474C50" w:rsidRDefault="008A0236" w:rsidP="00C73B98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p w14:paraId="3E0D07A7" w14:textId="77777777" w:rsidR="00854A4B" w:rsidRDefault="00854A4B" w:rsidP="00B13B6D">
      <w:pPr>
        <w:pStyle w:val="Style1"/>
      </w:pPr>
    </w:p>
    <w:p w14:paraId="75C198E0" w14:textId="5237B44E" w:rsidR="00C114FF" w:rsidRPr="00B41D57" w:rsidRDefault="0053405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2CD784B" w:rsidR="0078538F" w:rsidRPr="00B41D57" w:rsidRDefault="00534056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</w:t>
      </w:r>
      <w:r w:rsidR="00C73B98">
        <w:t>.</w:t>
      </w:r>
    </w:p>
    <w:p w14:paraId="0037726C" w14:textId="77777777" w:rsidR="00C73B98" w:rsidRDefault="00C73B98" w:rsidP="00874D4A">
      <w:pPr>
        <w:ind w:right="-318"/>
      </w:pPr>
      <w:bookmarkStart w:id="3" w:name="_Hlk73467306"/>
    </w:p>
    <w:p w14:paraId="28C35B4C" w14:textId="6F8C9B87" w:rsidR="0078538F" w:rsidRPr="00B41D57" w:rsidRDefault="00534056" w:rsidP="00874D4A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69924E2B" w14:textId="01A82F6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7D815" w14:textId="77777777" w:rsidR="006B49D2" w:rsidRPr="008A0236" w:rsidRDefault="006B49D2" w:rsidP="006B49D2">
      <w:pPr>
        <w:spacing w:line="240" w:lineRule="auto"/>
        <w:jc w:val="both"/>
      </w:pPr>
      <w:bookmarkStart w:id="4" w:name="_Hlk148432335"/>
      <w:r w:rsidRPr="008A0236">
        <w:t>Podrobné informace o tomto veterinárním léčivém přípravku naleznete také v národní databázi (</w:t>
      </w:r>
      <w:hyperlink r:id="rId9" w:history="1">
        <w:r w:rsidRPr="008A0236">
          <w:rPr>
            <w:rStyle w:val="Hypertextovodkaz"/>
          </w:rPr>
          <w:t>https://www.uskvbl.cz</w:t>
        </w:r>
      </w:hyperlink>
      <w:r w:rsidRPr="008A0236">
        <w:t>).</w:t>
      </w:r>
    </w:p>
    <w:bookmarkEnd w:id="4"/>
    <w:p w14:paraId="2C2F61CE" w14:textId="77777777" w:rsidR="006B49D2" w:rsidRPr="00B41D57" w:rsidRDefault="006B49D2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B49D2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C885" w14:textId="77777777" w:rsidR="00BF6580" w:rsidRDefault="00BF6580">
      <w:pPr>
        <w:spacing w:line="240" w:lineRule="auto"/>
      </w:pPr>
      <w:r>
        <w:separator/>
      </w:r>
    </w:p>
  </w:endnote>
  <w:endnote w:type="continuationSeparator" w:id="0">
    <w:p w14:paraId="55EAF328" w14:textId="77777777" w:rsidR="00BF6580" w:rsidRDefault="00BF6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5340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53405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5B18" w14:textId="77777777" w:rsidR="00BF6580" w:rsidRDefault="00BF6580">
      <w:pPr>
        <w:spacing w:line="240" w:lineRule="auto"/>
      </w:pPr>
      <w:r>
        <w:separator/>
      </w:r>
    </w:p>
  </w:footnote>
  <w:footnote w:type="continuationSeparator" w:id="0">
    <w:p w14:paraId="076C3B9B" w14:textId="77777777" w:rsidR="00BF6580" w:rsidRDefault="00BF6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4FC0" w14:textId="77777777" w:rsidR="00621918" w:rsidRDefault="006219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A4E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D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CC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87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41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45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61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E8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2A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710FD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07E8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88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4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C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2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4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06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8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860B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3FC32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B2A0A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302D1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3FE84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84DF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40DA1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1CD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EEC4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426FE8"/>
    <w:multiLevelType w:val="hybridMultilevel"/>
    <w:tmpl w:val="C512FF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5DAABC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A84B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90ADA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BE06F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C10C9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DB89F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FC22E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AA18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415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4C359E"/>
    <w:multiLevelType w:val="hybridMultilevel"/>
    <w:tmpl w:val="0D3862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0006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E2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E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63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81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68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0E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29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A6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81F5F1F"/>
    <w:multiLevelType w:val="hybridMultilevel"/>
    <w:tmpl w:val="8E8E76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10366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E3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0C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8F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6D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29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C3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46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36CC9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3361A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AAF4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7C7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EE1A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4093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96DF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BC81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AD8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860AB0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9A4A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45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8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2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61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08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1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02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879CFF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30A48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39A6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E7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0D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A3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A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29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E9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1542C5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1E6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A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E5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0A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AC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9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5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522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5BC072E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48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A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6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3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2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29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8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A0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23608C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FCA3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4EEFE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5E81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14F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452DE7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0E0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9065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2E2A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E640A6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2A3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1A0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AE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66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6A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3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85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7B2E347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A4CD6FA" w:tentative="1">
      <w:start w:val="1"/>
      <w:numFmt w:val="lowerLetter"/>
      <w:lvlText w:val="%2."/>
      <w:lvlJc w:val="left"/>
      <w:pPr>
        <w:ind w:left="1440" w:hanging="360"/>
      </w:pPr>
    </w:lvl>
    <w:lvl w:ilvl="2" w:tplc="D8D893A8" w:tentative="1">
      <w:start w:val="1"/>
      <w:numFmt w:val="lowerRoman"/>
      <w:lvlText w:val="%3."/>
      <w:lvlJc w:val="right"/>
      <w:pPr>
        <w:ind w:left="2160" w:hanging="180"/>
      </w:pPr>
    </w:lvl>
    <w:lvl w:ilvl="3" w:tplc="2F683718" w:tentative="1">
      <w:start w:val="1"/>
      <w:numFmt w:val="decimal"/>
      <w:lvlText w:val="%4."/>
      <w:lvlJc w:val="left"/>
      <w:pPr>
        <w:ind w:left="2880" w:hanging="360"/>
      </w:pPr>
    </w:lvl>
    <w:lvl w:ilvl="4" w:tplc="1A768D7C" w:tentative="1">
      <w:start w:val="1"/>
      <w:numFmt w:val="lowerLetter"/>
      <w:lvlText w:val="%5."/>
      <w:lvlJc w:val="left"/>
      <w:pPr>
        <w:ind w:left="3600" w:hanging="360"/>
      </w:pPr>
    </w:lvl>
    <w:lvl w:ilvl="5" w:tplc="4A2CF672" w:tentative="1">
      <w:start w:val="1"/>
      <w:numFmt w:val="lowerRoman"/>
      <w:lvlText w:val="%6."/>
      <w:lvlJc w:val="right"/>
      <w:pPr>
        <w:ind w:left="4320" w:hanging="180"/>
      </w:pPr>
    </w:lvl>
    <w:lvl w:ilvl="6" w:tplc="3DE26A30" w:tentative="1">
      <w:start w:val="1"/>
      <w:numFmt w:val="decimal"/>
      <w:lvlText w:val="%7."/>
      <w:lvlJc w:val="left"/>
      <w:pPr>
        <w:ind w:left="5040" w:hanging="360"/>
      </w:pPr>
    </w:lvl>
    <w:lvl w:ilvl="7" w:tplc="34448FE8" w:tentative="1">
      <w:start w:val="1"/>
      <w:numFmt w:val="lowerLetter"/>
      <w:lvlText w:val="%8."/>
      <w:lvlJc w:val="left"/>
      <w:pPr>
        <w:ind w:left="5760" w:hanging="360"/>
      </w:pPr>
    </w:lvl>
    <w:lvl w:ilvl="8" w:tplc="29D8B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DC9023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448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BE7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45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88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6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48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2B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BC0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F8E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F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CA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A1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63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E5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81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6C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C9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E604E45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E40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66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6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84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82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06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6F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4FD4DBFA">
      <w:start w:val="1"/>
      <w:numFmt w:val="decimal"/>
      <w:lvlText w:val="%1."/>
      <w:lvlJc w:val="left"/>
      <w:pPr>
        <w:ind w:left="720" w:hanging="360"/>
      </w:pPr>
    </w:lvl>
    <w:lvl w:ilvl="1" w:tplc="C25E0DDC" w:tentative="1">
      <w:start w:val="1"/>
      <w:numFmt w:val="lowerLetter"/>
      <w:lvlText w:val="%2."/>
      <w:lvlJc w:val="left"/>
      <w:pPr>
        <w:ind w:left="1440" w:hanging="360"/>
      </w:pPr>
    </w:lvl>
    <w:lvl w:ilvl="2" w:tplc="F3687B4E" w:tentative="1">
      <w:start w:val="1"/>
      <w:numFmt w:val="lowerRoman"/>
      <w:lvlText w:val="%3."/>
      <w:lvlJc w:val="right"/>
      <w:pPr>
        <w:ind w:left="2160" w:hanging="180"/>
      </w:pPr>
    </w:lvl>
    <w:lvl w:ilvl="3" w:tplc="CA14E608" w:tentative="1">
      <w:start w:val="1"/>
      <w:numFmt w:val="decimal"/>
      <w:lvlText w:val="%4."/>
      <w:lvlJc w:val="left"/>
      <w:pPr>
        <w:ind w:left="2880" w:hanging="360"/>
      </w:pPr>
    </w:lvl>
    <w:lvl w:ilvl="4" w:tplc="83EA1946" w:tentative="1">
      <w:start w:val="1"/>
      <w:numFmt w:val="lowerLetter"/>
      <w:lvlText w:val="%5."/>
      <w:lvlJc w:val="left"/>
      <w:pPr>
        <w:ind w:left="3600" w:hanging="360"/>
      </w:pPr>
    </w:lvl>
    <w:lvl w:ilvl="5" w:tplc="0096CE74" w:tentative="1">
      <w:start w:val="1"/>
      <w:numFmt w:val="lowerRoman"/>
      <w:lvlText w:val="%6."/>
      <w:lvlJc w:val="right"/>
      <w:pPr>
        <w:ind w:left="4320" w:hanging="180"/>
      </w:pPr>
    </w:lvl>
    <w:lvl w:ilvl="6" w:tplc="E5207A68" w:tentative="1">
      <w:start w:val="1"/>
      <w:numFmt w:val="decimal"/>
      <w:lvlText w:val="%7."/>
      <w:lvlJc w:val="left"/>
      <w:pPr>
        <w:ind w:left="5040" w:hanging="360"/>
      </w:pPr>
    </w:lvl>
    <w:lvl w:ilvl="7" w:tplc="67988AAE" w:tentative="1">
      <w:start w:val="1"/>
      <w:numFmt w:val="lowerLetter"/>
      <w:lvlText w:val="%8."/>
      <w:lvlJc w:val="left"/>
      <w:pPr>
        <w:ind w:left="5760" w:hanging="360"/>
      </w:pPr>
    </w:lvl>
    <w:lvl w:ilvl="8" w:tplc="BDB4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3C4D1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94E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2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67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2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E1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E5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6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4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A10"/>
    <w:rsid w:val="00021B82"/>
    <w:rsid w:val="00024777"/>
    <w:rsid w:val="00024E21"/>
    <w:rsid w:val="00027100"/>
    <w:rsid w:val="000349AA"/>
    <w:rsid w:val="00036C50"/>
    <w:rsid w:val="0004269C"/>
    <w:rsid w:val="00052D2B"/>
    <w:rsid w:val="00054F55"/>
    <w:rsid w:val="00056EE7"/>
    <w:rsid w:val="0006084F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97E5A"/>
    <w:rsid w:val="000A1DF5"/>
    <w:rsid w:val="000B649C"/>
    <w:rsid w:val="000B7873"/>
    <w:rsid w:val="000C02A1"/>
    <w:rsid w:val="000C1D4F"/>
    <w:rsid w:val="000C3ED7"/>
    <w:rsid w:val="000C55E6"/>
    <w:rsid w:val="000C687A"/>
    <w:rsid w:val="000C7395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4229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A44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52E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4EF"/>
    <w:rsid w:val="002A0E7C"/>
    <w:rsid w:val="002A0EED"/>
    <w:rsid w:val="002A21ED"/>
    <w:rsid w:val="002A3F88"/>
    <w:rsid w:val="002A5992"/>
    <w:rsid w:val="002A710D"/>
    <w:rsid w:val="002B0F11"/>
    <w:rsid w:val="002B2E17"/>
    <w:rsid w:val="002B6560"/>
    <w:rsid w:val="002B6599"/>
    <w:rsid w:val="002C1F27"/>
    <w:rsid w:val="002C27B4"/>
    <w:rsid w:val="002C55FF"/>
    <w:rsid w:val="002C592B"/>
    <w:rsid w:val="002D300D"/>
    <w:rsid w:val="002E0CD4"/>
    <w:rsid w:val="002E3A90"/>
    <w:rsid w:val="002E46CC"/>
    <w:rsid w:val="002E4B71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F98"/>
    <w:rsid w:val="00307EB2"/>
    <w:rsid w:val="0031032B"/>
    <w:rsid w:val="00316E87"/>
    <w:rsid w:val="00317A5F"/>
    <w:rsid w:val="00323E2F"/>
    <w:rsid w:val="0032453E"/>
    <w:rsid w:val="00325053"/>
    <w:rsid w:val="003256AC"/>
    <w:rsid w:val="00330CC1"/>
    <w:rsid w:val="0033129D"/>
    <w:rsid w:val="00331E03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5F0D"/>
    <w:rsid w:val="0038638B"/>
    <w:rsid w:val="003909E0"/>
    <w:rsid w:val="00390C3D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7B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7B7"/>
    <w:rsid w:val="005004EC"/>
    <w:rsid w:val="00501504"/>
    <w:rsid w:val="00506AAE"/>
    <w:rsid w:val="00517756"/>
    <w:rsid w:val="005202C6"/>
    <w:rsid w:val="00523C53"/>
    <w:rsid w:val="005272F4"/>
    <w:rsid w:val="00527B8F"/>
    <w:rsid w:val="00533486"/>
    <w:rsid w:val="00534056"/>
    <w:rsid w:val="00536031"/>
    <w:rsid w:val="005377D1"/>
    <w:rsid w:val="0054134B"/>
    <w:rsid w:val="00542012"/>
    <w:rsid w:val="00543DF5"/>
    <w:rsid w:val="00545142"/>
    <w:rsid w:val="00545A61"/>
    <w:rsid w:val="0055260D"/>
    <w:rsid w:val="00555422"/>
    <w:rsid w:val="00555810"/>
    <w:rsid w:val="00562715"/>
    <w:rsid w:val="00562DCA"/>
    <w:rsid w:val="0056482C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2330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1918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0D3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9D2"/>
    <w:rsid w:val="006B5916"/>
    <w:rsid w:val="006C4775"/>
    <w:rsid w:val="006C4F4A"/>
    <w:rsid w:val="006C5E80"/>
    <w:rsid w:val="006C7CEE"/>
    <w:rsid w:val="006D075E"/>
    <w:rsid w:val="006D09DC"/>
    <w:rsid w:val="006D3509"/>
    <w:rsid w:val="006D3F83"/>
    <w:rsid w:val="006D7C6E"/>
    <w:rsid w:val="006E15A2"/>
    <w:rsid w:val="006E2F95"/>
    <w:rsid w:val="006E5ADB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80"/>
    <w:rsid w:val="007F42CE"/>
    <w:rsid w:val="007F740B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F76"/>
    <w:rsid w:val="008368E7"/>
    <w:rsid w:val="00836B8C"/>
    <w:rsid w:val="00840062"/>
    <w:rsid w:val="008410C5"/>
    <w:rsid w:val="00846C08"/>
    <w:rsid w:val="00850794"/>
    <w:rsid w:val="00852FF2"/>
    <w:rsid w:val="008530E7"/>
    <w:rsid w:val="00854A4B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36"/>
    <w:rsid w:val="008A026F"/>
    <w:rsid w:val="008A14BD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ED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0D4"/>
    <w:rsid w:val="00933D18"/>
    <w:rsid w:val="00942221"/>
    <w:rsid w:val="00947198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5726"/>
    <w:rsid w:val="009C6BFB"/>
    <w:rsid w:val="009D0C05"/>
    <w:rsid w:val="009D72F3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88F"/>
    <w:rsid w:val="00AA592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0FF"/>
    <w:rsid w:val="00AE6AA0"/>
    <w:rsid w:val="00AF406C"/>
    <w:rsid w:val="00AF45ED"/>
    <w:rsid w:val="00B00CA4"/>
    <w:rsid w:val="00B00E1D"/>
    <w:rsid w:val="00B02195"/>
    <w:rsid w:val="00B075D6"/>
    <w:rsid w:val="00B113B9"/>
    <w:rsid w:val="00B119A2"/>
    <w:rsid w:val="00B13B6D"/>
    <w:rsid w:val="00B177F2"/>
    <w:rsid w:val="00B201F1"/>
    <w:rsid w:val="00B23468"/>
    <w:rsid w:val="00B2603F"/>
    <w:rsid w:val="00B304E7"/>
    <w:rsid w:val="00B318B6"/>
    <w:rsid w:val="00B3499B"/>
    <w:rsid w:val="00B36E65"/>
    <w:rsid w:val="00B41D57"/>
    <w:rsid w:val="00B41F47"/>
    <w:rsid w:val="00B44468"/>
    <w:rsid w:val="00B54681"/>
    <w:rsid w:val="00B60AC9"/>
    <w:rsid w:val="00B660D6"/>
    <w:rsid w:val="00B67323"/>
    <w:rsid w:val="00B715F2"/>
    <w:rsid w:val="00B7180B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89F"/>
    <w:rsid w:val="00BA5C89"/>
    <w:rsid w:val="00BA776A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BF6580"/>
    <w:rsid w:val="00C01F77"/>
    <w:rsid w:val="00C01FFC"/>
    <w:rsid w:val="00C05321"/>
    <w:rsid w:val="00C06AE4"/>
    <w:rsid w:val="00C114FF"/>
    <w:rsid w:val="00C11D49"/>
    <w:rsid w:val="00C12F42"/>
    <w:rsid w:val="00C158F5"/>
    <w:rsid w:val="00C171A1"/>
    <w:rsid w:val="00C171A4"/>
    <w:rsid w:val="00C17F12"/>
    <w:rsid w:val="00C20734"/>
    <w:rsid w:val="00C21C1A"/>
    <w:rsid w:val="00C237E9"/>
    <w:rsid w:val="00C32989"/>
    <w:rsid w:val="00C32BD1"/>
    <w:rsid w:val="00C336AA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B98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F7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487"/>
    <w:rsid w:val="00D676B6"/>
    <w:rsid w:val="00D728A0"/>
    <w:rsid w:val="00D74018"/>
    <w:rsid w:val="00D8012B"/>
    <w:rsid w:val="00D83661"/>
    <w:rsid w:val="00D9216A"/>
    <w:rsid w:val="00D95BBB"/>
    <w:rsid w:val="00D97E7D"/>
    <w:rsid w:val="00DA2A06"/>
    <w:rsid w:val="00DB1C8C"/>
    <w:rsid w:val="00DB21C5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67F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2131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8C5"/>
    <w:rsid w:val="00E86CEE"/>
    <w:rsid w:val="00E935AF"/>
    <w:rsid w:val="00EB0E20"/>
    <w:rsid w:val="00EB1682"/>
    <w:rsid w:val="00EB1A80"/>
    <w:rsid w:val="00EB457B"/>
    <w:rsid w:val="00EB60BB"/>
    <w:rsid w:val="00EC27E1"/>
    <w:rsid w:val="00EC3E4B"/>
    <w:rsid w:val="00EC47C4"/>
    <w:rsid w:val="00EC4F3A"/>
    <w:rsid w:val="00EC5045"/>
    <w:rsid w:val="00EC5200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F7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04CC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tlid-translation">
    <w:name w:val="tlid-translation"/>
    <w:rsid w:val="00390C3D"/>
  </w:style>
  <w:style w:type="paragraph" w:styleId="Normlnweb">
    <w:name w:val="Normal (Web)"/>
    <w:basedOn w:val="Normln"/>
    <w:uiPriority w:val="99"/>
    <w:unhideWhenUsed/>
    <w:rsid w:val="00390C3D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CB42-1329-40A6-AF0B-7ECB598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1778</Words>
  <Characters>10492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41</cp:revision>
  <cp:lastPrinted>2022-10-26T09:04:00Z</cp:lastPrinted>
  <dcterms:created xsi:type="dcterms:W3CDTF">2022-10-26T09:20:00Z</dcterms:created>
  <dcterms:modified xsi:type="dcterms:W3CDTF">2025-04-28T08:02:00Z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