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537444" w:rsidRDefault="00C76DD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37444">
        <w:rPr>
          <w:b/>
          <w:szCs w:val="22"/>
        </w:rPr>
        <w:t>PŘÍLOHA I</w:t>
      </w:r>
    </w:p>
    <w:p w14:paraId="50FE88E4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537444" w:rsidRDefault="00C76DD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37444">
        <w:rPr>
          <w:b/>
          <w:szCs w:val="22"/>
        </w:rPr>
        <w:t>SOUHRN ÚDAJŮ O PŘÍPRAVKU</w:t>
      </w:r>
    </w:p>
    <w:p w14:paraId="70A64732" w14:textId="77777777" w:rsidR="00C114FF" w:rsidRPr="00537444" w:rsidRDefault="00C76DD3" w:rsidP="00B13B6D">
      <w:pPr>
        <w:pStyle w:val="Style1"/>
      </w:pPr>
      <w:r w:rsidRPr="00537444">
        <w:br w:type="page"/>
      </w:r>
      <w:r w:rsidRPr="00537444">
        <w:lastRenderedPageBreak/>
        <w:t>1.</w:t>
      </w:r>
      <w:r w:rsidRPr="00537444">
        <w:tab/>
        <w:t>NÁZEV VETERINÁRNÍHO LÉČIVÉHO PŘÍPRAVKU</w:t>
      </w:r>
    </w:p>
    <w:p w14:paraId="3606368F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FEBC35" w14:textId="77777777" w:rsidR="00027B88" w:rsidRPr="00537444" w:rsidRDefault="00027B88" w:rsidP="00027B88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bookmarkStart w:id="0" w:name="_Hlk191297068"/>
      <w:bookmarkStart w:id="1" w:name="_GoBack"/>
      <w:proofErr w:type="spellStart"/>
      <w:r w:rsidRPr="00537444">
        <w:rPr>
          <w:color w:val="000000"/>
          <w:szCs w:val="22"/>
          <w:lang w:eastAsia="sk-SK"/>
        </w:rPr>
        <w:t>Amodip</w:t>
      </w:r>
      <w:proofErr w:type="spellEnd"/>
      <w:r w:rsidRPr="00537444">
        <w:rPr>
          <w:color w:val="000000"/>
          <w:szCs w:val="22"/>
          <w:lang w:eastAsia="sk-SK"/>
        </w:rPr>
        <w:t xml:space="preserve"> 1,25 mg žvýkací tablety pro kočky</w:t>
      </w:r>
    </w:p>
    <w:bookmarkEnd w:id="0"/>
    <w:bookmarkEnd w:id="1"/>
    <w:p w14:paraId="5906BB1F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537444" w:rsidRDefault="00C76DD3" w:rsidP="00B13B6D">
      <w:pPr>
        <w:pStyle w:val="Style1"/>
      </w:pPr>
      <w:r w:rsidRPr="00537444">
        <w:t>2.</w:t>
      </w:r>
      <w:r w:rsidRPr="00537444">
        <w:tab/>
        <w:t>KVALITATIVNÍ A KVANTITATIVNÍ SLOŽENÍ</w:t>
      </w:r>
    </w:p>
    <w:p w14:paraId="3EAF4F83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FA4829" w14:textId="46F967D7" w:rsidR="00027B88" w:rsidRPr="00537444" w:rsidRDefault="00027B88" w:rsidP="00027B88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Každá tableta obsahuje</w:t>
      </w:r>
      <w:r w:rsidR="00556BE3" w:rsidRPr="00537444">
        <w:rPr>
          <w:color w:val="000000"/>
          <w:szCs w:val="22"/>
          <w:lang w:eastAsia="sk-SK"/>
        </w:rPr>
        <w:t>:</w:t>
      </w:r>
    </w:p>
    <w:p w14:paraId="01AF2730" w14:textId="77777777" w:rsidR="00027B88" w:rsidRPr="00537444" w:rsidRDefault="00027B88" w:rsidP="00027B88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377F0B32" w14:textId="77777777" w:rsidR="00027B88" w:rsidRPr="00537444" w:rsidRDefault="00027B88" w:rsidP="00027B88">
      <w:pPr>
        <w:widowControl w:val="0"/>
        <w:tabs>
          <w:tab w:val="clear" w:pos="567"/>
          <w:tab w:val="left" w:pos="3686"/>
        </w:tabs>
        <w:spacing w:line="240" w:lineRule="auto"/>
        <w:contextualSpacing/>
        <w:rPr>
          <w:b/>
          <w:color w:val="000000"/>
          <w:szCs w:val="22"/>
          <w:lang w:eastAsia="sk-SK"/>
        </w:rPr>
      </w:pPr>
      <w:r w:rsidRPr="00537444">
        <w:rPr>
          <w:b/>
          <w:color w:val="000000"/>
          <w:szCs w:val="22"/>
          <w:lang w:eastAsia="sk-SK"/>
        </w:rPr>
        <w:t>Léčivá látka:</w:t>
      </w:r>
    </w:p>
    <w:p w14:paraId="1FDD3DD5" w14:textId="77777777" w:rsidR="00027B88" w:rsidRPr="00537444" w:rsidRDefault="00027B88" w:rsidP="00027B88">
      <w:pPr>
        <w:widowControl w:val="0"/>
        <w:tabs>
          <w:tab w:val="clear" w:pos="567"/>
          <w:tab w:val="left" w:pos="3686"/>
        </w:tabs>
        <w:spacing w:line="240" w:lineRule="auto"/>
        <w:contextualSpacing/>
        <w:rPr>
          <w:color w:val="000000"/>
          <w:szCs w:val="22"/>
          <w:lang w:eastAsia="sk-SK"/>
        </w:rPr>
      </w:pPr>
      <w:proofErr w:type="spellStart"/>
      <w:r w:rsidRPr="00537444">
        <w:rPr>
          <w:color w:val="000000"/>
          <w:szCs w:val="22"/>
          <w:lang w:eastAsia="sk-SK"/>
        </w:rPr>
        <w:t>Amlodipinum</w:t>
      </w:r>
      <w:proofErr w:type="spellEnd"/>
      <w:r w:rsidRPr="00537444">
        <w:rPr>
          <w:color w:val="000000"/>
          <w:szCs w:val="22"/>
          <w:lang w:eastAsia="sk-SK"/>
        </w:rPr>
        <w:t xml:space="preserve"> </w:t>
      </w:r>
      <w:r w:rsidRPr="00537444">
        <w:rPr>
          <w:color w:val="000000"/>
          <w:szCs w:val="22"/>
          <w:lang w:eastAsia="sk-SK"/>
        </w:rPr>
        <w:tab/>
        <w:t>1,25 mg</w:t>
      </w:r>
    </w:p>
    <w:p w14:paraId="0599D57F" w14:textId="77777777" w:rsidR="00027B88" w:rsidRPr="00537444" w:rsidRDefault="00027B88" w:rsidP="00027B88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(odpovídá 1,73 mg </w:t>
      </w:r>
      <w:proofErr w:type="spellStart"/>
      <w:r w:rsidRPr="00537444">
        <w:rPr>
          <w:color w:val="000000"/>
          <w:szCs w:val="22"/>
          <w:lang w:eastAsia="sk-SK"/>
        </w:rPr>
        <w:t>amlodipini</w:t>
      </w:r>
      <w:proofErr w:type="spellEnd"/>
      <w:r w:rsidRPr="00537444">
        <w:rPr>
          <w:color w:val="000000"/>
          <w:szCs w:val="22"/>
          <w:lang w:eastAsia="sk-SK"/>
        </w:rPr>
        <w:t xml:space="preserve"> </w:t>
      </w:r>
      <w:proofErr w:type="spellStart"/>
      <w:r w:rsidRPr="00537444">
        <w:rPr>
          <w:color w:val="000000"/>
          <w:szCs w:val="22"/>
          <w:lang w:eastAsia="sk-SK"/>
        </w:rPr>
        <w:t>besilas</w:t>
      </w:r>
      <w:proofErr w:type="spellEnd"/>
      <w:r w:rsidRPr="00537444">
        <w:rPr>
          <w:color w:val="000000"/>
          <w:szCs w:val="22"/>
          <w:lang w:eastAsia="sk-SK"/>
        </w:rPr>
        <w:t>)</w:t>
      </w:r>
    </w:p>
    <w:p w14:paraId="79A016B1" w14:textId="77777777" w:rsidR="00027B88" w:rsidRPr="00537444" w:rsidRDefault="00027B88" w:rsidP="00027B88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b/>
          <w:color w:val="000000"/>
          <w:szCs w:val="22"/>
          <w:lang w:eastAsia="sk-SK"/>
        </w:rPr>
      </w:pPr>
    </w:p>
    <w:p w14:paraId="0D936EED" w14:textId="77777777" w:rsidR="00027B88" w:rsidRPr="00537444" w:rsidRDefault="00027B88" w:rsidP="00027B88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b/>
          <w:color w:val="000000"/>
          <w:szCs w:val="22"/>
          <w:lang w:eastAsia="sk-SK"/>
        </w:rPr>
      </w:pPr>
      <w:r w:rsidRPr="00537444">
        <w:rPr>
          <w:b/>
          <w:color w:val="000000"/>
          <w:szCs w:val="22"/>
          <w:lang w:eastAsia="sk-SK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027B88" w:rsidRPr="00537444" w14:paraId="57B9DF83" w14:textId="77777777" w:rsidTr="00397F98">
        <w:tc>
          <w:tcPr>
            <w:tcW w:w="4525" w:type="dxa"/>
            <w:shd w:val="clear" w:color="auto" w:fill="auto"/>
            <w:vAlign w:val="center"/>
          </w:tcPr>
          <w:p w14:paraId="6C216202" w14:textId="77777777" w:rsidR="00027B88" w:rsidRPr="00537444" w:rsidRDefault="00027B88" w:rsidP="00397F98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3744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27B88" w:rsidRPr="00537444" w14:paraId="42D8E045" w14:textId="77777777" w:rsidTr="00397F98">
        <w:tc>
          <w:tcPr>
            <w:tcW w:w="4525" w:type="dxa"/>
            <w:shd w:val="clear" w:color="auto" w:fill="auto"/>
            <w:vAlign w:val="center"/>
          </w:tcPr>
          <w:p w14:paraId="10C076F0" w14:textId="77777777" w:rsidR="00027B88" w:rsidRPr="00537444" w:rsidRDefault="00027B88" w:rsidP="00397F98">
            <w:pPr>
              <w:widowControl w:val="0"/>
              <w:tabs>
                <w:tab w:val="clear" w:pos="567"/>
                <w:tab w:val="left" w:pos="708"/>
              </w:tabs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Umělé aroma kuřecího masa</w:t>
            </w:r>
          </w:p>
          <w:p w14:paraId="429FA091" w14:textId="77777777" w:rsidR="00027B88" w:rsidRPr="00537444" w:rsidRDefault="00027B88" w:rsidP="00397F98">
            <w:pPr>
              <w:widowControl w:val="0"/>
              <w:tabs>
                <w:tab w:val="clear" w:pos="567"/>
                <w:tab w:val="left" w:pos="708"/>
              </w:tabs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Sladové kvasnice</w:t>
            </w:r>
          </w:p>
          <w:p w14:paraId="00DFAA2E" w14:textId="77777777" w:rsidR="00027B88" w:rsidRPr="00537444" w:rsidRDefault="00027B88" w:rsidP="00397F98">
            <w:pPr>
              <w:widowControl w:val="0"/>
              <w:tabs>
                <w:tab w:val="clear" w:pos="567"/>
                <w:tab w:val="left" w:pos="708"/>
              </w:tabs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Mikrokrystalická celulóza</w:t>
            </w:r>
          </w:p>
          <w:p w14:paraId="1F904F79" w14:textId="77777777" w:rsidR="00027B88" w:rsidRPr="00537444" w:rsidRDefault="00027B88" w:rsidP="00397F98">
            <w:pPr>
              <w:widowControl w:val="0"/>
              <w:tabs>
                <w:tab w:val="clear" w:pos="567"/>
                <w:tab w:val="left" w:pos="708"/>
              </w:tabs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proofErr w:type="spellStart"/>
            <w:r w:rsidRPr="00537444">
              <w:rPr>
                <w:color w:val="000000"/>
                <w:szCs w:val="22"/>
                <w:lang w:eastAsia="sk-SK"/>
              </w:rPr>
              <w:t>Mannitol</w:t>
            </w:r>
            <w:proofErr w:type="spellEnd"/>
          </w:p>
          <w:p w14:paraId="7E45A79A" w14:textId="77777777" w:rsidR="00027B88" w:rsidRPr="00537444" w:rsidRDefault="00027B88" w:rsidP="00397F98">
            <w:pPr>
              <w:widowControl w:val="0"/>
              <w:tabs>
                <w:tab w:val="clear" w:pos="567"/>
                <w:tab w:val="left" w:pos="708"/>
              </w:tabs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 xml:space="preserve">Sodná sůl </w:t>
            </w:r>
            <w:proofErr w:type="spellStart"/>
            <w:r w:rsidRPr="00537444">
              <w:rPr>
                <w:color w:val="000000"/>
                <w:szCs w:val="22"/>
                <w:lang w:eastAsia="sk-SK"/>
              </w:rPr>
              <w:t>kroskarmelosy</w:t>
            </w:r>
            <w:proofErr w:type="spellEnd"/>
          </w:p>
          <w:p w14:paraId="513BB1B3" w14:textId="77777777" w:rsidR="00027B88" w:rsidRPr="00537444" w:rsidRDefault="00027B88" w:rsidP="00397F98">
            <w:pPr>
              <w:widowControl w:val="0"/>
              <w:tabs>
                <w:tab w:val="clear" w:pos="567"/>
                <w:tab w:val="left" w:pos="708"/>
              </w:tabs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Magnesium-</w:t>
            </w:r>
            <w:proofErr w:type="spellStart"/>
            <w:r w:rsidRPr="00537444">
              <w:rPr>
                <w:color w:val="000000"/>
                <w:szCs w:val="22"/>
                <w:lang w:eastAsia="sk-SK"/>
              </w:rPr>
              <w:t>stearát</w:t>
            </w:r>
            <w:proofErr w:type="spellEnd"/>
          </w:p>
          <w:p w14:paraId="7A1CEDBA" w14:textId="77777777" w:rsidR="00027B88" w:rsidRPr="00537444" w:rsidRDefault="00027B88" w:rsidP="00397F98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37444">
              <w:rPr>
                <w:color w:val="000000"/>
                <w:szCs w:val="22"/>
                <w:lang w:eastAsia="sk-SK"/>
              </w:rPr>
              <w:t>Koloidní bezvodý oxid křemičitý</w:t>
            </w:r>
          </w:p>
        </w:tc>
      </w:tr>
    </w:tbl>
    <w:p w14:paraId="009B7719" w14:textId="77777777" w:rsidR="00027B88" w:rsidRPr="00537444" w:rsidRDefault="00027B88" w:rsidP="00027B88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38B16E1F" w14:textId="07B67F85" w:rsidR="00027B88" w:rsidRPr="00537444" w:rsidRDefault="00027B88" w:rsidP="00027B88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Podélné tablety s</w:t>
      </w:r>
      <w:r w:rsidR="00FD1179" w:rsidRPr="00537444">
        <w:rPr>
          <w:color w:val="000000"/>
          <w:szCs w:val="22"/>
          <w:lang w:eastAsia="sk-SK"/>
        </w:rPr>
        <w:t xml:space="preserve"> dělící </w:t>
      </w:r>
      <w:r w:rsidRPr="00537444">
        <w:rPr>
          <w:color w:val="000000"/>
          <w:szCs w:val="22"/>
          <w:lang w:eastAsia="sk-SK"/>
        </w:rPr>
        <w:t>rýhou na jedné straně, béžové až světle hnědé barvy.</w:t>
      </w:r>
    </w:p>
    <w:p w14:paraId="09DA7B2C" w14:textId="77777777" w:rsidR="00027B88" w:rsidRPr="00537444" w:rsidRDefault="00027B88" w:rsidP="00027B88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Tablety lze dělit na dvě stejné poloviny.</w:t>
      </w:r>
    </w:p>
    <w:p w14:paraId="13C45036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537444" w:rsidRDefault="00C76DD3" w:rsidP="00B13B6D">
      <w:pPr>
        <w:pStyle w:val="Style1"/>
      </w:pPr>
      <w:r w:rsidRPr="00537444">
        <w:t>3.</w:t>
      </w:r>
      <w:r w:rsidRPr="00537444">
        <w:tab/>
        <w:t>KLINICKÉ INFORMACE</w:t>
      </w:r>
    </w:p>
    <w:p w14:paraId="03304F78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537444" w:rsidRDefault="00C76DD3" w:rsidP="00B13B6D">
      <w:pPr>
        <w:pStyle w:val="Style1"/>
      </w:pPr>
      <w:r w:rsidRPr="00537444">
        <w:t>3.1</w:t>
      </w:r>
      <w:r w:rsidRPr="00537444">
        <w:tab/>
        <w:t>Cílové druhy zvířat</w:t>
      </w:r>
    </w:p>
    <w:p w14:paraId="20FFAC3D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91E877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Kočky</w:t>
      </w:r>
    </w:p>
    <w:p w14:paraId="3BAE6461" w14:textId="77777777" w:rsidR="00504B1E" w:rsidRPr="00537444" w:rsidRDefault="00504B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537444" w:rsidRDefault="00C76DD3" w:rsidP="00B13B6D">
      <w:pPr>
        <w:pStyle w:val="Style1"/>
      </w:pPr>
      <w:r w:rsidRPr="00537444">
        <w:t>3.2</w:t>
      </w:r>
      <w:r w:rsidRPr="00537444">
        <w:tab/>
        <w:t xml:space="preserve">Indikace pro použití pro každý cílový druh </w:t>
      </w:r>
      <w:r w:rsidR="0043586F" w:rsidRPr="00537444">
        <w:t>zvířat</w:t>
      </w:r>
    </w:p>
    <w:p w14:paraId="327E3A6F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A895A6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Léčba systémové hypertenze u koček.</w:t>
      </w:r>
    </w:p>
    <w:p w14:paraId="45A9E78C" w14:textId="77777777" w:rsidR="00E86CEE" w:rsidRPr="00537444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537444" w:rsidRDefault="00C76DD3" w:rsidP="00B13B6D">
      <w:pPr>
        <w:pStyle w:val="Style1"/>
      </w:pPr>
      <w:r w:rsidRPr="00537444">
        <w:t>3.3</w:t>
      </w:r>
      <w:r w:rsidRPr="00537444">
        <w:tab/>
        <w:t>Kontraindikace</w:t>
      </w:r>
    </w:p>
    <w:p w14:paraId="758D96B3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274CD8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Nepoužívat v případě kardiogenního šoku nebo závažné aortální stenózy.</w:t>
      </w:r>
    </w:p>
    <w:p w14:paraId="0ABBFBF3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Nepoužívat v případech závažného jaterního selhání.</w:t>
      </w:r>
    </w:p>
    <w:p w14:paraId="68BD47F5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Nepoužívat v případech přecitlivělosti na léčivou látku nebo na některou z pomocných látek.</w:t>
      </w:r>
      <w:r w:rsidRPr="00537444" w:rsidDel="00452618">
        <w:rPr>
          <w:color w:val="000000"/>
          <w:szCs w:val="22"/>
          <w:lang w:eastAsia="sk-SK"/>
        </w:rPr>
        <w:t xml:space="preserve"> </w:t>
      </w:r>
    </w:p>
    <w:p w14:paraId="11A25BDF" w14:textId="77777777" w:rsidR="00504B1E" w:rsidRPr="00537444" w:rsidRDefault="00504B1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537444" w:rsidRDefault="00C76DD3" w:rsidP="00B13B6D">
      <w:pPr>
        <w:pStyle w:val="Style1"/>
      </w:pPr>
      <w:r w:rsidRPr="00537444">
        <w:t>3.4</w:t>
      </w:r>
      <w:r w:rsidRPr="00537444">
        <w:tab/>
        <w:t>Zvláštní upozornění</w:t>
      </w:r>
    </w:p>
    <w:p w14:paraId="0622A062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9421B9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Je třeba identifikovat a řádně léčit primární příčinu anebo komorbidity hypertenze, jako je hypertyreóza, chronické onemocnění ledvin a diabetes.</w:t>
      </w:r>
    </w:p>
    <w:p w14:paraId="018AE67F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U koček dochází k situační hypertenzi (nazývaná také syndrom bílého pláště) jako důsledek procesu klinického měření u jinak </w:t>
      </w:r>
      <w:proofErr w:type="spellStart"/>
      <w:r w:rsidRPr="00537444">
        <w:rPr>
          <w:color w:val="000000"/>
          <w:szCs w:val="22"/>
          <w:lang w:eastAsia="sk-SK"/>
        </w:rPr>
        <w:t>normotenzního</w:t>
      </w:r>
      <w:proofErr w:type="spellEnd"/>
      <w:r w:rsidRPr="00537444">
        <w:rPr>
          <w:color w:val="000000"/>
          <w:szCs w:val="22"/>
          <w:lang w:eastAsia="sk-SK"/>
        </w:rPr>
        <w:t xml:space="preserve"> zvířete. V případě vysokých hladin stresu může měření systolického krevního tlaku vést k nesprávné stanovené diagnóze hypertenze. Doporučuje se, aby byla před zahájením terapie stabilní hypertenze potvrzena opakovaným měřením systolického krevního tlaku v různých dnech. </w:t>
      </w:r>
    </w:p>
    <w:p w14:paraId="073E5E3B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</w:p>
    <w:p w14:paraId="3DEF7B05" w14:textId="2021C53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Pokračující podávání veterinárního léčivého přípravku po delší časové období by mělo být v souladu s probíhajícím hodnocením poměru terapeutického prospěchu a rizika provedeným předepisujícím </w:t>
      </w:r>
      <w:r w:rsidRPr="00537444">
        <w:rPr>
          <w:color w:val="000000"/>
          <w:szCs w:val="22"/>
          <w:lang w:eastAsia="sk-SK"/>
        </w:rPr>
        <w:lastRenderedPageBreak/>
        <w:t>veterinárním lékařem, které zahrnuje rutinní měření systolického krevního tlaku během léčby (např. každých 6 až 8 týdnů).</w:t>
      </w:r>
    </w:p>
    <w:p w14:paraId="7D798E15" w14:textId="77777777" w:rsidR="00E86CEE" w:rsidRPr="00537444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537444" w:rsidRDefault="00C76DD3" w:rsidP="00B13B6D">
      <w:pPr>
        <w:pStyle w:val="Style1"/>
      </w:pPr>
      <w:r w:rsidRPr="00537444">
        <w:t>3.5</w:t>
      </w:r>
      <w:r w:rsidRPr="00537444">
        <w:tab/>
        <w:t>Zvláštní opatření pro použití</w:t>
      </w:r>
    </w:p>
    <w:p w14:paraId="0B94D7B2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537444" w:rsidRDefault="00C76DD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37444">
        <w:rPr>
          <w:szCs w:val="22"/>
          <w:u w:val="single"/>
        </w:rPr>
        <w:t>Zvláštní opatření pro bezpečné použití u cílových druhů zvířat:</w:t>
      </w:r>
    </w:p>
    <w:p w14:paraId="67F92ACF" w14:textId="1270BBED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Zvláštní opatrnosti je třeba u pacientů s onemocněním jater, protože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je výrazně metabolizován v játrech. Vzhledem k tomu, že nebyly u zvířat s jaterním onemocněním provedeny žádné studie, použití veterinárního léčivého přípravku u těchto zvířat by mělo být založeno na zvážení poměru terapeutického prospěchu a rizika ošetřujícím veterinárním lékařem.</w:t>
      </w:r>
    </w:p>
    <w:p w14:paraId="5CEC3B7D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Podávání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může někdy vést k poklesu hladin draslíku a chloridu v séru. Během léčby se doporučuje tyto hladiny sledovat. Starší kočky s hypertenzí a chronickým onemocněním ledvin (CKD) mohou také trpět </w:t>
      </w:r>
      <w:proofErr w:type="spellStart"/>
      <w:r w:rsidRPr="00537444">
        <w:rPr>
          <w:color w:val="000000"/>
          <w:szCs w:val="22"/>
          <w:lang w:eastAsia="sk-SK"/>
        </w:rPr>
        <w:t>hypokalémií</w:t>
      </w:r>
      <w:proofErr w:type="spellEnd"/>
      <w:r w:rsidRPr="00537444">
        <w:rPr>
          <w:color w:val="000000"/>
          <w:szCs w:val="22"/>
          <w:lang w:eastAsia="sk-SK"/>
        </w:rPr>
        <w:t xml:space="preserve"> v důsledku jejich výchozí choroby.</w:t>
      </w:r>
    </w:p>
    <w:p w14:paraId="6DB300A6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</w:p>
    <w:p w14:paraId="072CE322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Bezpečnost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nebyla stanovena u koček o hmotnosti nižší než </w:t>
      </w:r>
      <w:smartTag w:uri="urn:schemas-microsoft-com:office:smarttags" w:element="metricconverter">
        <w:smartTagPr>
          <w:attr w:name="ProductID" w:val="2,5 kg"/>
        </w:smartTagPr>
        <w:r w:rsidRPr="00537444">
          <w:rPr>
            <w:color w:val="000000"/>
            <w:szCs w:val="22"/>
            <w:lang w:eastAsia="sk-SK"/>
          </w:rPr>
          <w:t>2,5 kg</w:t>
        </w:r>
      </w:smartTag>
      <w:r w:rsidRPr="00537444">
        <w:rPr>
          <w:color w:val="000000"/>
          <w:szCs w:val="22"/>
          <w:lang w:eastAsia="sk-SK"/>
        </w:rPr>
        <w:t>.</w:t>
      </w:r>
    </w:p>
    <w:p w14:paraId="60124885" w14:textId="77777777" w:rsidR="00504B1E" w:rsidRPr="00537444" w:rsidRDefault="00504B1E" w:rsidP="00504B1E">
      <w:pPr>
        <w:widowControl w:val="0"/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Bezpečnost nebyla hodnocena u koček se srdečním selháním. Použití v těchto případech by mělo vycházet z hodnocení poměru terapeutického prospěchu a rizika veterinárním lékařem.</w:t>
      </w:r>
    </w:p>
    <w:p w14:paraId="387506DC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</w:p>
    <w:p w14:paraId="7C94F904" w14:textId="77777777" w:rsidR="00504B1E" w:rsidRPr="00537444" w:rsidRDefault="00504B1E" w:rsidP="00504B1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Žvýkací tablety jsou ochucené. Abyste předešli náhodnému požití, uchovávejte tablety mimo dosah zvířat.</w:t>
      </w:r>
    </w:p>
    <w:p w14:paraId="355A38B0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537444" w:rsidRDefault="00C76DD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37444">
        <w:rPr>
          <w:szCs w:val="22"/>
          <w:u w:val="single"/>
        </w:rPr>
        <w:t>Zvláštní opatření pro osobu, která podává veterinární léčivý přípravek zvířatům:</w:t>
      </w:r>
    </w:p>
    <w:p w14:paraId="29E39E1E" w14:textId="08A01975" w:rsidR="005367DB" w:rsidRPr="00537444" w:rsidRDefault="005367DB" w:rsidP="005367DB">
      <w:pPr>
        <w:keepNext/>
        <w:keepLines/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Tento veterinární léčivý přípravek může snižovat krevní tlak. Z důvodu snížení rizika náhodného požití dětmi nevyjímejte tablety z blistrů před vlastním podáním zvířeti. Nepoužité části tablet vracejte do blistru a krabičky. V případě náhodného požití vyhledejte ihned lékařskou pomoc a ukažte příbalovou informaci nebo etiketu praktickému lékaři.</w:t>
      </w:r>
    </w:p>
    <w:p w14:paraId="1C35AA22" w14:textId="77777777" w:rsidR="005367DB" w:rsidRPr="00537444" w:rsidRDefault="005367DB" w:rsidP="005367DB">
      <w:pPr>
        <w:keepNext/>
        <w:keepLines/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</w:p>
    <w:p w14:paraId="51CCADE5" w14:textId="77777777" w:rsidR="005367DB" w:rsidRPr="00537444" w:rsidRDefault="005367DB" w:rsidP="005367DB">
      <w:pPr>
        <w:keepNext/>
        <w:keepLines/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Lidé se známou přecitlivělostí na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by se měli vyhnout kontaktu s veterinárním léčivým přípravkem. Po použití si umyjte ruce.</w:t>
      </w:r>
    </w:p>
    <w:p w14:paraId="2DE787A4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A7C68C" w14:textId="77777777" w:rsidR="005367DB" w:rsidRPr="00537444" w:rsidRDefault="005367DB" w:rsidP="00F4681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37444">
        <w:rPr>
          <w:szCs w:val="22"/>
          <w:u w:val="single"/>
        </w:rPr>
        <w:t>Zvláštní opatření pro ochranu životního prostředí:</w:t>
      </w:r>
    </w:p>
    <w:p w14:paraId="5E78B13D" w14:textId="77777777" w:rsidR="005367DB" w:rsidRPr="00537444" w:rsidRDefault="005367DB" w:rsidP="005367DB">
      <w:pPr>
        <w:tabs>
          <w:tab w:val="clear" w:pos="567"/>
        </w:tabs>
        <w:spacing w:line="240" w:lineRule="auto"/>
        <w:rPr>
          <w:szCs w:val="22"/>
        </w:rPr>
      </w:pPr>
      <w:r w:rsidRPr="00537444">
        <w:t>Neuplatňuje se.</w:t>
      </w:r>
    </w:p>
    <w:p w14:paraId="0CE51CD2" w14:textId="77777777" w:rsidR="00295140" w:rsidRPr="00537444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537444" w:rsidRDefault="00C76DD3" w:rsidP="00B13B6D">
      <w:pPr>
        <w:pStyle w:val="Style1"/>
      </w:pPr>
      <w:r w:rsidRPr="00537444">
        <w:t>3.6</w:t>
      </w:r>
      <w:r w:rsidRPr="00537444">
        <w:tab/>
        <w:t>Nežádoucí účinky</w:t>
      </w:r>
    </w:p>
    <w:p w14:paraId="10F3D673" w14:textId="77777777" w:rsidR="00295140" w:rsidRPr="00537444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80DE359" w14:textId="77777777" w:rsidR="00713D58" w:rsidRPr="00537444" w:rsidRDefault="00713D58" w:rsidP="00713D58">
      <w:pPr>
        <w:tabs>
          <w:tab w:val="clear" w:pos="567"/>
        </w:tabs>
        <w:spacing w:line="240" w:lineRule="auto"/>
        <w:rPr>
          <w:szCs w:val="22"/>
        </w:rPr>
      </w:pPr>
      <w:r w:rsidRPr="00537444">
        <w:t>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13D58" w:rsidRPr="00537444" w14:paraId="53FB07A4" w14:textId="77777777" w:rsidTr="001A140F">
        <w:tc>
          <w:tcPr>
            <w:tcW w:w="1957" w:type="pct"/>
          </w:tcPr>
          <w:p w14:paraId="47D7B901" w14:textId="77777777" w:rsidR="00713D58" w:rsidRPr="00537444" w:rsidRDefault="00713D58" w:rsidP="001A140F">
            <w:pPr>
              <w:spacing w:before="60" w:after="60"/>
              <w:rPr>
                <w:szCs w:val="22"/>
              </w:rPr>
            </w:pPr>
            <w:r w:rsidRPr="00537444">
              <w:t>Velmi časté</w:t>
            </w:r>
          </w:p>
          <w:p w14:paraId="39E135F4" w14:textId="77777777" w:rsidR="00713D58" w:rsidRPr="00537444" w:rsidRDefault="00713D58" w:rsidP="001A140F">
            <w:pPr>
              <w:spacing w:before="60" w:after="60"/>
              <w:rPr>
                <w:szCs w:val="22"/>
              </w:rPr>
            </w:pPr>
            <w:r w:rsidRPr="00537444">
              <w:t>(&gt; 1 zvíře / 10 ošetřených zvířat):</w:t>
            </w:r>
          </w:p>
        </w:tc>
        <w:tc>
          <w:tcPr>
            <w:tcW w:w="3043" w:type="pct"/>
          </w:tcPr>
          <w:p w14:paraId="0FDF9C46" w14:textId="77777777" w:rsidR="00713D58" w:rsidRPr="00537444" w:rsidRDefault="00713D58" w:rsidP="001A140F">
            <w:pPr>
              <w:spacing w:before="60" w:after="60"/>
              <w:rPr>
                <w:szCs w:val="22"/>
              </w:rPr>
            </w:pPr>
            <w:r w:rsidRPr="00537444">
              <w:rPr>
                <w:szCs w:val="22"/>
              </w:rPr>
              <w:t xml:space="preserve">Zvracení </w:t>
            </w:r>
            <w:r w:rsidRPr="00537444">
              <w:rPr>
                <w:szCs w:val="22"/>
                <w:vertAlign w:val="superscript"/>
              </w:rPr>
              <w:t>1</w:t>
            </w:r>
            <w:r w:rsidRPr="00537444">
              <w:rPr>
                <w:szCs w:val="22"/>
              </w:rPr>
              <w:t xml:space="preserve">, Hyperplastická gingivitis </w:t>
            </w:r>
            <w:r w:rsidRPr="00537444">
              <w:rPr>
                <w:szCs w:val="22"/>
                <w:vertAlign w:val="superscript"/>
              </w:rPr>
              <w:t>2</w:t>
            </w:r>
          </w:p>
          <w:p w14:paraId="107AD99D" w14:textId="77777777" w:rsidR="00713D58" w:rsidRPr="00537444" w:rsidRDefault="00713D58" w:rsidP="001A140F">
            <w:pPr>
              <w:spacing w:before="60" w:after="60"/>
              <w:rPr>
                <w:iCs/>
                <w:szCs w:val="22"/>
              </w:rPr>
            </w:pPr>
            <w:r w:rsidRPr="00537444">
              <w:rPr>
                <w:szCs w:val="22"/>
              </w:rPr>
              <w:t xml:space="preserve">Zvětšení lymfatických uzlin (lokalizováno) </w:t>
            </w:r>
            <w:r w:rsidRPr="00537444">
              <w:rPr>
                <w:szCs w:val="22"/>
                <w:vertAlign w:val="superscript"/>
              </w:rPr>
              <w:t>2,3</w:t>
            </w:r>
          </w:p>
        </w:tc>
      </w:tr>
      <w:tr w:rsidR="00713D58" w:rsidRPr="00537444" w14:paraId="1846141C" w14:textId="77777777" w:rsidTr="001A140F">
        <w:tc>
          <w:tcPr>
            <w:tcW w:w="1957" w:type="pct"/>
          </w:tcPr>
          <w:p w14:paraId="606113D7" w14:textId="77777777" w:rsidR="00713D58" w:rsidRPr="00537444" w:rsidRDefault="00713D58" w:rsidP="001A140F">
            <w:pPr>
              <w:spacing w:before="60" w:after="60"/>
              <w:rPr>
                <w:szCs w:val="22"/>
              </w:rPr>
            </w:pPr>
            <w:r w:rsidRPr="00537444">
              <w:t>Časté</w:t>
            </w:r>
          </w:p>
          <w:p w14:paraId="07430337" w14:textId="77777777" w:rsidR="00713D58" w:rsidRPr="00537444" w:rsidRDefault="00713D58" w:rsidP="001A140F">
            <w:pPr>
              <w:spacing w:before="60" w:after="60"/>
              <w:rPr>
                <w:szCs w:val="22"/>
              </w:rPr>
            </w:pPr>
            <w:r w:rsidRPr="00537444">
              <w:t>(1 až 10 zvířat / 100 ošetřených zvířat):</w:t>
            </w:r>
          </w:p>
        </w:tc>
        <w:tc>
          <w:tcPr>
            <w:tcW w:w="3043" w:type="pct"/>
          </w:tcPr>
          <w:p w14:paraId="30DEFBDF" w14:textId="77777777" w:rsidR="00713D58" w:rsidRPr="00537444" w:rsidRDefault="00713D58" w:rsidP="001A140F">
            <w:pPr>
              <w:spacing w:before="60" w:after="60"/>
              <w:rPr>
                <w:szCs w:val="22"/>
              </w:rPr>
            </w:pPr>
            <w:r w:rsidRPr="00537444">
              <w:rPr>
                <w:szCs w:val="22"/>
              </w:rPr>
              <w:t xml:space="preserve">Poruchy trávicího traktu (např. anorexie nebo průjem) </w:t>
            </w:r>
            <w:r w:rsidRPr="00537444">
              <w:rPr>
                <w:szCs w:val="22"/>
                <w:vertAlign w:val="superscript"/>
              </w:rPr>
              <w:t>1</w:t>
            </w:r>
          </w:p>
          <w:p w14:paraId="757157E6" w14:textId="77777777" w:rsidR="00713D58" w:rsidRPr="00537444" w:rsidRDefault="00713D58" w:rsidP="001A140F">
            <w:pPr>
              <w:spacing w:before="60" w:after="60"/>
              <w:rPr>
                <w:iCs/>
                <w:szCs w:val="22"/>
              </w:rPr>
            </w:pPr>
            <w:r w:rsidRPr="00537444">
              <w:rPr>
                <w:szCs w:val="22"/>
              </w:rPr>
              <w:t xml:space="preserve">Letargie </w:t>
            </w:r>
            <w:r w:rsidRPr="00537444">
              <w:rPr>
                <w:szCs w:val="22"/>
                <w:vertAlign w:val="superscript"/>
              </w:rPr>
              <w:t>1</w:t>
            </w:r>
            <w:r w:rsidRPr="00537444">
              <w:rPr>
                <w:szCs w:val="22"/>
              </w:rPr>
              <w:t xml:space="preserve">, Dehydratace </w:t>
            </w:r>
            <w:r w:rsidRPr="00537444">
              <w:rPr>
                <w:szCs w:val="22"/>
                <w:vertAlign w:val="superscript"/>
              </w:rPr>
              <w:t>1</w:t>
            </w:r>
          </w:p>
        </w:tc>
      </w:tr>
    </w:tbl>
    <w:p w14:paraId="537E2BE5" w14:textId="77777777" w:rsidR="00713D58" w:rsidRPr="00537444" w:rsidRDefault="00713D58" w:rsidP="00713D58">
      <w:pPr>
        <w:tabs>
          <w:tab w:val="clear" w:pos="567"/>
        </w:tabs>
        <w:spacing w:line="240" w:lineRule="auto"/>
        <w:rPr>
          <w:szCs w:val="22"/>
        </w:rPr>
      </w:pPr>
      <w:r w:rsidRPr="00537444">
        <w:rPr>
          <w:szCs w:val="22"/>
          <w:vertAlign w:val="superscript"/>
        </w:rPr>
        <w:t>1</w:t>
      </w:r>
      <w:r w:rsidRPr="00537444">
        <w:rPr>
          <w:szCs w:val="22"/>
        </w:rPr>
        <w:t xml:space="preserve"> Mírné a přechodné.</w:t>
      </w:r>
    </w:p>
    <w:p w14:paraId="2A66D319" w14:textId="242367DC" w:rsidR="00713D58" w:rsidRPr="00537444" w:rsidRDefault="00713D58" w:rsidP="00713D58">
      <w:pPr>
        <w:tabs>
          <w:tab w:val="clear" w:pos="567"/>
        </w:tabs>
        <w:spacing w:line="240" w:lineRule="auto"/>
        <w:rPr>
          <w:szCs w:val="22"/>
        </w:rPr>
      </w:pPr>
      <w:r w:rsidRPr="00537444">
        <w:rPr>
          <w:szCs w:val="22"/>
          <w:vertAlign w:val="superscript"/>
        </w:rPr>
        <w:t>2</w:t>
      </w:r>
      <w:r w:rsidRPr="00537444">
        <w:rPr>
          <w:szCs w:val="22"/>
        </w:rPr>
        <w:t xml:space="preserve"> Mírná, pozorována při dávce 0,25 mg/kg byla velmi často u zdravých </w:t>
      </w:r>
      <w:bookmarkStart w:id="2" w:name="_Hlk190863211"/>
      <w:r w:rsidR="001C58F9">
        <w:rPr>
          <w:szCs w:val="22"/>
        </w:rPr>
        <w:t xml:space="preserve">mladých </w:t>
      </w:r>
      <w:r w:rsidRPr="00537444">
        <w:rPr>
          <w:szCs w:val="22"/>
        </w:rPr>
        <w:t>dospělých koček, která obvykle nevyžaduje ukončení léčby.</w:t>
      </w:r>
      <w:r w:rsidR="001C58F9">
        <w:rPr>
          <w:szCs w:val="22"/>
        </w:rPr>
        <w:t xml:space="preserve"> U starších koček jsou tyto příznaky velmi </w:t>
      </w:r>
      <w:r w:rsidR="00D55F3E">
        <w:rPr>
          <w:szCs w:val="22"/>
        </w:rPr>
        <w:t>vzácné</w:t>
      </w:r>
      <w:r w:rsidR="001C58F9">
        <w:rPr>
          <w:szCs w:val="22"/>
        </w:rPr>
        <w:t>.</w:t>
      </w:r>
    </w:p>
    <w:bookmarkEnd w:id="2"/>
    <w:p w14:paraId="45BD36EE" w14:textId="77777777" w:rsidR="00713D58" w:rsidRPr="00537444" w:rsidRDefault="00713D58" w:rsidP="00713D58">
      <w:pPr>
        <w:tabs>
          <w:tab w:val="clear" w:pos="567"/>
        </w:tabs>
        <w:spacing w:line="240" w:lineRule="auto"/>
        <w:rPr>
          <w:szCs w:val="22"/>
        </w:rPr>
      </w:pPr>
      <w:r w:rsidRPr="00537444">
        <w:rPr>
          <w:szCs w:val="22"/>
          <w:vertAlign w:val="superscript"/>
        </w:rPr>
        <w:t>3</w:t>
      </w:r>
      <w:r w:rsidRPr="00537444">
        <w:rPr>
          <w:szCs w:val="22"/>
        </w:rPr>
        <w:t xml:space="preserve"> </w:t>
      </w:r>
      <w:proofErr w:type="spellStart"/>
      <w:r w:rsidRPr="00537444">
        <w:rPr>
          <w:szCs w:val="22"/>
        </w:rPr>
        <w:t>Submandibulární</w:t>
      </w:r>
      <w:proofErr w:type="spellEnd"/>
      <w:r w:rsidRPr="00537444">
        <w:rPr>
          <w:szCs w:val="22"/>
        </w:rPr>
        <w:t>.</w:t>
      </w:r>
    </w:p>
    <w:p w14:paraId="06F121EE" w14:textId="77777777" w:rsidR="00713D58" w:rsidRPr="00537444" w:rsidRDefault="00713D58" w:rsidP="00713D58">
      <w:pPr>
        <w:tabs>
          <w:tab w:val="clear" w:pos="567"/>
        </w:tabs>
        <w:spacing w:line="240" w:lineRule="auto"/>
        <w:rPr>
          <w:szCs w:val="22"/>
        </w:rPr>
      </w:pPr>
    </w:p>
    <w:p w14:paraId="6BAF564A" w14:textId="77777777" w:rsidR="00713D58" w:rsidRPr="00537444" w:rsidRDefault="00713D58" w:rsidP="00713D58">
      <w:bookmarkStart w:id="3" w:name="_Hlk66891708"/>
      <w:r w:rsidRPr="00537444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3"/>
    <w:p w14:paraId="6871F765" w14:textId="77777777" w:rsidR="00247A48" w:rsidRPr="00537444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537444" w:rsidRDefault="00C76DD3" w:rsidP="00507E22">
      <w:pPr>
        <w:pStyle w:val="Style1"/>
        <w:keepNext/>
      </w:pPr>
      <w:r w:rsidRPr="00537444">
        <w:t>3.7</w:t>
      </w:r>
      <w:r w:rsidRPr="00537444">
        <w:tab/>
        <w:t>Použití v průběhu březosti, laktace nebo snášky</w:t>
      </w:r>
    </w:p>
    <w:p w14:paraId="0DFBFADE" w14:textId="77777777" w:rsidR="00C114FF" w:rsidRPr="00537444" w:rsidRDefault="00C114FF" w:rsidP="00507E2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84ACC95" w14:textId="676E3F7B" w:rsidR="00103BAE" w:rsidRPr="00537444" w:rsidRDefault="00103BAE" w:rsidP="00145C3F">
      <w:pPr>
        <w:tabs>
          <w:tab w:val="clear" w:pos="567"/>
        </w:tabs>
        <w:spacing w:line="240" w:lineRule="auto"/>
        <w:rPr>
          <w:szCs w:val="22"/>
        </w:rPr>
      </w:pPr>
      <w:r w:rsidRPr="00537444">
        <w:rPr>
          <w:u w:val="single"/>
        </w:rPr>
        <w:t>Březost</w:t>
      </w:r>
      <w:r w:rsidRPr="00537444">
        <w:t xml:space="preserve"> </w:t>
      </w:r>
      <w:r w:rsidRPr="00537444">
        <w:rPr>
          <w:szCs w:val="22"/>
          <w:u w:val="single"/>
        </w:rPr>
        <w:t>a laktace</w:t>
      </w:r>
      <w:r w:rsidRPr="00537444">
        <w:t>:</w:t>
      </w:r>
    </w:p>
    <w:p w14:paraId="3FDA3C40" w14:textId="2DFD6516" w:rsidR="00103BAE" w:rsidRPr="00537444" w:rsidRDefault="00103BAE" w:rsidP="00103BAE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lastRenderedPageBreak/>
        <w:t>Laboratorní studie u hlodavců nepodaly důkaz o teratogenním účinku anebo reprodukční toxicitě.</w:t>
      </w:r>
      <w:r w:rsidRPr="00537444" w:rsidDel="004C77E9">
        <w:rPr>
          <w:color w:val="000000"/>
          <w:szCs w:val="22"/>
          <w:lang w:eastAsia="sk-SK"/>
        </w:rPr>
        <w:t xml:space="preserve"> </w:t>
      </w:r>
      <w:r w:rsidR="00F25E2B" w:rsidRPr="00537444">
        <w:t>Nebyla stanovena bezpečnost veterinárního léčivého přípravku pro použití</w:t>
      </w:r>
      <w:r w:rsidRPr="00537444">
        <w:rPr>
          <w:color w:val="000000"/>
          <w:szCs w:val="22"/>
          <w:lang w:eastAsia="sk-SK"/>
        </w:rPr>
        <w:t xml:space="preserve"> během březosti a laktace u koček. Použít pouze po zvážení terapeutického prospěchu a rizika příslušným veterinárním lékařem.</w:t>
      </w:r>
    </w:p>
    <w:p w14:paraId="774A02AE" w14:textId="77777777" w:rsidR="00103BAE" w:rsidRPr="00537444" w:rsidRDefault="00103BA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537444" w:rsidRDefault="00C76DD3" w:rsidP="00B13B6D">
      <w:pPr>
        <w:pStyle w:val="Style1"/>
      </w:pPr>
      <w:r w:rsidRPr="00537444">
        <w:t>3.8</w:t>
      </w:r>
      <w:r w:rsidRPr="00537444">
        <w:tab/>
        <w:t>Interakce s jinými léčivými přípravky a další formy interakce</w:t>
      </w:r>
    </w:p>
    <w:p w14:paraId="54454937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2C2F66" w14:textId="6D1BD8A1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Souběžné použití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s jinými látkami, které mohou redukovat krevní tlak</w:t>
      </w:r>
      <w:r w:rsidR="00D55F3E">
        <w:rPr>
          <w:color w:val="000000"/>
          <w:szCs w:val="22"/>
          <w:lang w:eastAsia="sk-SK"/>
        </w:rPr>
        <w:t>,</w:t>
      </w:r>
      <w:r w:rsidRPr="00537444">
        <w:rPr>
          <w:color w:val="000000"/>
          <w:szCs w:val="22"/>
          <w:lang w:eastAsia="sk-SK"/>
        </w:rPr>
        <w:t xml:space="preserve"> může způsobit hypotenzi. Tyto látky zahrnují diuretika, beta-blokátory, jiné blokátory kalciových kanálů, inhibitory renin-angiotensin-aldosteronového systému (reninové inhibitory, blokátory receptoru pro </w:t>
      </w:r>
      <w:proofErr w:type="spellStart"/>
      <w:r w:rsidRPr="00537444">
        <w:rPr>
          <w:color w:val="000000"/>
          <w:szCs w:val="22"/>
          <w:lang w:eastAsia="sk-SK"/>
        </w:rPr>
        <w:t>angiotenzin</w:t>
      </w:r>
      <w:proofErr w:type="spellEnd"/>
      <w:r w:rsidRPr="00537444">
        <w:rPr>
          <w:color w:val="000000"/>
          <w:szCs w:val="22"/>
          <w:lang w:eastAsia="sk-SK"/>
        </w:rPr>
        <w:t xml:space="preserve"> II, inhibitory </w:t>
      </w:r>
      <w:proofErr w:type="spellStart"/>
      <w:r w:rsidRPr="00537444">
        <w:rPr>
          <w:color w:val="000000"/>
          <w:szCs w:val="22"/>
          <w:lang w:eastAsia="sk-SK"/>
        </w:rPr>
        <w:t>angiotenzin</w:t>
      </w:r>
      <w:proofErr w:type="spellEnd"/>
      <w:r w:rsidRPr="00537444">
        <w:rPr>
          <w:color w:val="000000"/>
          <w:szCs w:val="22"/>
          <w:lang w:eastAsia="sk-SK"/>
        </w:rPr>
        <w:t xml:space="preserve"> konvertujícího enzymu (ACEI) a antagonisté aldosteronu), jiné vazodilatátory a agonisty alfa-2. Před podáním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s těmito látkami se doporučuje změřit krevní tlak a zajistit, aby byly kočky adekvátně hydratované.</w:t>
      </w:r>
    </w:p>
    <w:p w14:paraId="29232C01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V klinických případech hypertenze u koček však nebylo prokázáno, že by hypotenze nastávala v důsledku kombinace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s ACE inhibitorem </w:t>
      </w:r>
      <w:proofErr w:type="spellStart"/>
      <w:r w:rsidRPr="00537444">
        <w:rPr>
          <w:color w:val="000000"/>
          <w:szCs w:val="22"/>
          <w:lang w:eastAsia="sk-SK"/>
        </w:rPr>
        <w:t>benazeprilem</w:t>
      </w:r>
      <w:proofErr w:type="spellEnd"/>
      <w:r w:rsidRPr="00537444">
        <w:rPr>
          <w:color w:val="000000"/>
          <w:szCs w:val="22"/>
          <w:lang w:eastAsia="sk-SK"/>
        </w:rPr>
        <w:t>.</w:t>
      </w:r>
    </w:p>
    <w:p w14:paraId="455BF4EF" w14:textId="605277F2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Souběžné použití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s negativně </w:t>
      </w:r>
      <w:proofErr w:type="spellStart"/>
      <w:r w:rsidRPr="00537444">
        <w:rPr>
          <w:color w:val="000000"/>
          <w:szCs w:val="22"/>
          <w:lang w:eastAsia="sk-SK"/>
        </w:rPr>
        <w:t>chronotropními</w:t>
      </w:r>
      <w:proofErr w:type="spellEnd"/>
      <w:r w:rsidRPr="00537444">
        <w:rPr>
          <w:color w:val="000000"/>
          <w:szCs w:val="22"/>
          <w:lang w:eastAsia="sk-SK"/>
        </w:rPr>
        <w:t xml:space="preserve"> a </w:t>
      </w:r>
      <w:proofErr w:type="spellStart"/>
      <w:r w:rsidRPr="00537444">
        <w:rPr>
          <w:color w:val="000000"/>
          <w:szCs w:val="22"/>
          <w:lang w:eastAsia="sk-SK"/>
        </w:rPr>
        <w:t>inotropními</w:t>
      </w:r>
      <w:proofErr w:type="spellEnd"/>
      <w:r w:rsidRPr="00537444">
        <w:rPr>
          <w:color w:val="000000"/>
          <w:szCs w:val="22"/>
          <w:lang w:eastAsia="sk-SK"/>
        </w:rPr>
        <w:t xml:space="preserve"> látkami (jako jsou beta-blokátory, </w:t>
      </w:r>
      <w:proofErr w:type="spellStart"/>
      <w:r w:rsidRPr="00537444">
        <w:rPr>
          <w:color w:val="000000"/>
          <w:szCs w:val="22"/>
          <w:lang w:eastAsia="sk-SK"/>
        </w:rPr>
        <w:t>kardioselektivní</w:t>
      </w:r>
      <w:proofErr w:type="spellEnd"/>
      <w:r w:rsidRPr="00537444">
        <w:rPr>
          <w:color w:val="000000"/>
          <w:szCs w:val="22"/>
          <w:lang w:eastAsia="sk-SK"/>
        </w:rPr>
        <w:t xml:space="preserve"> blokátory kalciového kanálu a antimykotické azoly (např. </w:t>
      </w:r>
      <w:proofErr w:type="spellStart"/>
      <w:r w:rsidRPr="00537444">
        <w:rPr>
          <w:color w:val="000000"/>
          <w:szCs w:val="22"/>
          <w:lang w:eastAsia="sk-SK"/>
        </w:rPr>
        <w:t>itrakonazol</w:t>
      </w:r>
      <w:proofErr w:type="spellEnd"/>
      <w:r w:rsidRPr="00537444">
        <w:rPr>
          <w:color w:val="000000"/>
          <w:szCs w:val="22"/>
          <w:lang w:eastAsia="sk-SK"/>
        </w:rPr>
        <w:t xml:space="preserve">)) může snižovat sílu a rychlost kontrakce srdečního svalu. Před podáním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s těmito </w:t>
      </w:r>
      <w:r w:rsidR="00D55F3E" w:rsidRPr="00537444">
        <w:rPr>
          <w:color w:val="000000"/>
          <w:szCs w:val="22"/>
          <w:lang w:eastAsia="sk-SK"/>
        </w:rPr>
        <w:t>l</w:t>
      </w:r>
      <w:r w:rsidR="00D55F3E">
        <w:rPr>
          <w:color w:val="000000"/>
          <w:szCs w:val="22"/>
          <w:lang w:eastAsia="sk-SK"/>
        </w:rPr>
        <w:t>átkami</w:t>
      </w:r>
      <w:r w:rsidR="00D55F3E" w:rsidRPr="00537444">
        <w:rPr>
          <w:color w:val="000000"/>
          <w:szCs w:val="22"/>
          <w:lang w:eastAsia="sk-SK"/>
        </w:rPr>
        <w:t xml:space="preserve"> </w:t>
      </w:r>
      <w:r w:rsidRPr="00537444">
        <w:rPr>
          <w:color w:val="000000"/>
          <w:szCs w:val="22"/>
          <w:lang w:eastAsia="sk-SK"/>
        </w:rPr>
        <w:t>kočkám s dysfunkcí komor je třeba dbát zvláštní pozornosti.</w:t>
      </w:r>
    </w:p>
    <w:p w14:paraId="53E846C4" w14:textId="73D0551B" w:rsidR="00344281" w:rsidRPr="00537444" w:rsidRDefault="00344281" w:rsidP="00344281">
      <w:pPr>
        <w:tabs>
          <w:tab w:val="clear" w:pos="567"/>
        </w:tabs>
        <w:spacing w:line="240" w:lineRule="auto"/>
        <w:rPr>
          <w:szCs w:val="22"/>
        </w:rPr>
      </w:pPr>
      <w:r w:rsidRPr="00537444">
        <w:rPr>
          <w:color w:val="000000"/>
          <w:szCs w:val="22"/>
          <w:lang w:eastAsia="sk-SK"/>
        </w:rPr>
        <w:t xml:space="preserve">Bezpečnost souběžného podávání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a antiemetických látek </w:t>
      </w:r>
      <w:proofErr w:type="spellStart"/>
      <w:r w:rsidRPr="00537444">
        <w:rPr>
          <w:color w:val="000000"/>
          <w:szCs w:val="22"/>
          <w:lang w:eastAsia="sk-SK"/>
        </w:rPr>
        <w:t>dolasetronu</w:t>
      </w:r>
      <w:proofErr w:type="spellEnd"/>
      <w:r w:rsidRPr="00537444">
        <w:rPr>
          <w:color w:val="000000"/>
          <w:szCs w:val="22"/>
          <w:lang w:eastAsia="sk-SK"/>
        </w:rPr>
        <w:t xml:space="preserve"> a </w:t>
      </w:r>
      <w:proofErr w:type="spellStart"/>
      <w:r w:rsidRPr="00537444">
        <w:rPr>
          <w:color w:val="000000"/>
          <w:szCs w:val="22"/>
          <w:lang w:eastAsia="sk-SK"/>
        </w:rPr>
        <w:t>ondansetronu</w:t>
      </w:r>
      <w:proofErr w:type="spellEnd"/>
      <w:r w:rsidRPr="00537444">
        <w:rPr>
          <w:color w:val="000000"/>
          <w:szCs w:val="22"/>
          <w:lang w:eastAsia="sk-SK"/>
        </w:rPr>
        <w:t xml:space="preserve"> nebyla u koček hodnocena.</w:t>
      </w:r>
    </w:p>
    <w:p w14:paraId="0B86F3A7" w14:textId="77777777" w:rsidR="00C90EDA" w:rsidRPr="00537444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537444" w:rsidRDefault="00C76DD3" w:rsidP="00B13B6D">
      <w:pPr>
        <w:pStyle w:val="Style1"/>
      </w:pPr>
      <w:r w:rsidRPr="00537444">
        <w:t>3.9</w:t>
      </w:r>
      <w:r w:rsidRPr="00537444">
        <w:tab/>
        <w:t>Cesty podání a dávkování</w:t>
      </w:r>
    </w:p>
    <w:p w14:paraId="0C31E074" w14:textId="77777777" w:rsidR="00145D34" w:rsidRPr="0053744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F2C763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Perorální podání</w:t>
      </w:r>
    </w:p>
    <w:p w14:paraId="7ED80F68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41D3FF18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Tablety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by se měly podávat perorálně s doporučenou počáteční dávkou 0,125 - 0,25 mg/kg/den.</w:t>
      </w:r>
    </w:p>
    <w:p w14:paraId="7CEE0E5C" w14:textId="77777777" w:rsidR="00344281" w:rsidRPr="00537444" w:rsidRDefault="00344281" w:rsidP="00344281">
      <w:pPr>
        <w:widowControl w:val="0"/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Po 14 dnech léčby může být dávka následně zdvojnásobena nebo zvýšena do 0,5 mg/kg jednou denně, pokud nebyla dosažena adekvátní klinická reakce (např. systolický krevní tlak </w:t>
      </w:r>
      <w:r w:rsidRPr="00537444">
        <w:rPr>
          <w:color w:val="000000"/>
          <w:szCs w:val="22"/>
          <w:highlight w:val="white"/>
          <w:lang w:eastAsia="sk-SK"/>
        </w:rPr>
        <w:t xml:space="preserve">přetrvávající nad 150 </w:t>
      </w:r>
      <w:proofErr w:type="spellStart"/>
      <w:r w:rsidRPr="00537444">
        <w:rPr>
          <w:color w:val="000000"/>
          <w:szCs w:val="22"/>
          <w:highlight w:val="white"/>
          <w:lang w:eastAsia="sk-SK"/>
        </w:rPr>
        <w:t>mmHg</w:t>
      </w:r>
      <w:proofErr w:type="spellEnd"/>
      <w:r w:rsidRPr="00537444">
        <w:rPr>
          <w:color w:val="000000"/>
          <w:szCs w:val="22"/>
          <w:highlight w:val="white"/>
          <w:lang w:eastAsia="sk-SK"/>
        </w:rPr>
        <w:t xml:space="preserve"> nebo pokles o méně než 15 % od výchozího měření).</w:t>
      </w:r>
    </w:p>
    <w:p w14:paraId="53A9ED09" w14:textId="77777777" w:rsidR="00344281" w:rsidRPr="00537444" w:rsidRDefault="00344281" w:rsidP="00344281">
      <w:pPr>
        <w:widowControl w:val="0"/>
        <w:spacing w:line="240" w:lineRule="auto"/>
        <w:contextualSpacing/>
        <w:rPr>
          <w:color w:val="000000"/>
          <w:szCs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35"/>
      </w:tblGrid>
      <w:tr w:rsidR="00344281" w:rsidRPr="00537444" w14:paraId="2AFC81CE" w14:textId="77777777" w:rsidTr="00F36E4D">
        <w:trPr>
          <w:jc w:val="center"/>
        </w:trPr>
        <w:tc>
          <w:tcPr>
            <w:tcW w:w="2127" w:type="dxa"/>
          </w:tcPr>
          <w:p w14:paraId="38F757CC" w14:textId="77777777" w:rsidR="00344281" w:rsidRPr="00537444" w:rsidRDefault="00344281" w:rsidP="00344281">
            <w:pPr>
              <w:widowControl w:val="0"/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Hmotnost kočky (kg)</w:t>
            </w:r>
          </w:p>
        </w:tc>
        <w:tc>
          <w:tcPr>
            <w:tcW w:w="2535" w:type="dxa"/>
          </w:tcPr>
          <w:p w14:paraId="03F00BAC" w14:textId="77777777" w:rsidR="00344281" w:rsidRPr="00537444" w:rsidRDefault="00344281" w:rsidP="00344281">
            <w:pPr>
              <w:widowControl w:val="0"/>
              <w:spacing w:line="240" w:lineRule="auto"/>
              <w:contextualSpacing/>
              <w:jc w:val="center"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Počáteční dávka (počet tablet)</w:t>
            </w:r>
          </w:p>
        </w:tc>
      </w:tr>
      <w:tr w:rsidR="00344281" w:rsidRPr="00537444" w14:paraId="2B8AC055" w14:textId="77777777" w:rsidTr="00F36E4D">
        <w:trPr>
          <w:jc w:val="center"/>
        </w:trPr>
        <w:tc>
          <w:tcPr>
            <w:tcW w:w="2127" w:type="dxa"/>
          </w:tcPr>
          <w:p w14:paraId="340C77C8" w14:textId="77777777" w:rsidR="00344281" w:rsidRPr="00537444" w:rsidRDefault="00344281" w:rsidP="00344281">
            <w:pPr>
              <w:widowControl w:val="0"/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2,5 – 5,0</w:t>
            </w:r>
          </w:p>
        </w:tc>
        <w:tc>
          <w:tcPr>
            <w:tcW w:w="2535" w:type="dxa"/>
          </w:tcPr>
          <w:p w14:paraId="5D5BF31E" w14:textId="77777777" w:rsidR="00344281" w:rsidRPr="00537444" w:rsidRDefault="00344281" w:rsidP="00344281">
            <w:pPr>
              <w:widowControl w:val="0"/>
              <w:spacing w:line="240" w:lineRule="auto"/>
              <w:contextualSpacing/>
              <w:jc w:val="center"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0,5</w:t>
            </w:r>
          </w:p>
        </w:tc>
      </w:tr>
      <w:tr w:rsidR="00344281" w:rsidRPr="00537444" w14:paraId="1C214A7F" w14:textId="77777777" w:rsidTr="00F36E4D">
        <w:trPr>
          <w:jc w:val="center"/>
        </w:trPr>
        <w:tc>
          <w:tcPr>
            <w:tcW w:w="2127" w:type="dxa"/>
          </w:tcPr>
          <w:p w14:paraId="05014F14" w14:textId="77777777" w:rsidR="00344281" w:rsidRPr="00537444" w:rsidRDefault="00344281" w:rsidP="00344281">
            <w:pPr>
              <w:widowControl w:val="0"/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5,1 – 10,0</w:t>
            </w:r>
          </w:p>
        </w:tc>
        <w:tc>
          <w:tcPr>
            <w:tcW w:w="2535" w:type="dxa"/>
          </w:tcPr>
          <w:p w14:paraId="1E436FB6" w14:textId="77777777" w:rsidR="00344281" w:rsidRPr="00537444" w:rsidRDefault="00344281" w:rsidP="00344281">
            <w:pPr>
              <w:widowControl w:val="0"/>
              <w:spacing w:line="240" w:lineRule="auto"/>
              <w:contextualSpacing/>
              <w:jc w:val="center"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1</w:t>
            </w:r>
          </w:p>
        </w:tc>
      </w:tr>
      <w:tr w:rsidR="00344281" w:rsidRPr="00537444" w14:paraId="4B99B4E4" w14:textId="77777777" w:rsidTr="00F36E4D">
        <w:trPr>
          <w:jc w:val="center"/>
        </w:trPr>
        <w:tc>
          <w:tcPr>
            <w:tcW w:w="2127" w:type="dxa"/>
          </w:tcPr>
          <w:p w14:paraId="4433B883" w14:textId="77777777" w:rsidR="00344281" w:rsidRPr="00537444" w:rsidRDefault="00344281" w:rsidP="00344281">
            <w:pPr>
              <w:widowControl w:val="0"/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smartTag w:uri="urn:schemas-microsoft-com:office:smarttags" w:element="metricconverter">
              <w:smartTagPr>
                <w:attr w:name="ProductID" w:val="10,1 a"/>
              </w:smartTagPr>
              <w:r w:rsidRPr="00537444">
                <w:rPr>
                  <w:color w:val="000000"/>
                  <w:szCs w:val="22"/>
                  <w:lang w:eastAsia="sk-SK"/>
                </w:rPr>
                <w:t>10,1 a</w:t>
              </w:r>
            </w:smartTag>
            <w:r w:rsidRPr="00537444">
              <w:rPr>
                <w:color w:val="000000"/>
                <w:szCs w:val="22"/>
                <w:lang w:eastAsia="sk-SK"/>
              </w:rPr>
              <w:t xml:space="preserve"> vyšší</w:t>
            </w:r>
          </w:p>
        </w:tc>
        <w:tc>
          <w:tcPr>
            <w:tcW w:w="2535" w:type="dxa"/>
          </w:tcPr>
          <w:p w14:paraId="0F3A5348" w14:textId="77777777" w:rsidR="00344281" w:rsidRPr="00537444" w:rsidRDefault="00344281" w:rsidP="00344281">
            <w:pPr>
              <w:widowControl w:val="0"/>
              <w:spacing w:line="240" w:lineRule="auto"/>
              <w:contextualSpacing/>
              <w:jc w:val="center"/>
              <w:rPr>
                <w:color w:val="000000"/>
                <w:szCs w:val="22"/>
                <w:lang w:eastAsia="sk-SK"/>
              </w:rPr>
            </w:pPr>
            <w:r w:rsidRPr="00537444">
              <w:rPr>
                <w:color w:val="000000"/>
                <w:szCs w:val="22"/>
                <w:lang w:eastAsia="sk-SK"/>
              </w:rPr>
              <w:t>2</w:t>
            </w:r>
          </w:p>
        </w:tc>
      </w:tr>
    </w:tbl>
    <w:p w14:paraId="62BD7075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bCs/>
          <w:color w:val="000000"/>
          <w:szCs w:val="22"/>
          <w:lang w:eastAsia="sk-SK"/>
        </w:rPr>
      </w:pPr>
    </w:p>
    <w:p w14:paraId="20A55189" w14:textId="3610D2B2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</w:pPr>
      <w:r w:rsidRPr="00537444">
        <w:t>Pro zajištění správného dávkování je třeba co nejpřesněji stanovit živou hmotnost.</w:t>
      </w:r>
    </w:p>
    <w:p w14:paraId="5E4FDB1F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bCs/>
          <w:color w:val="000000"/>
          <w:szCs w:val="22"/>
          <w:lang w:eastAsia="sk-SK"/>
        </w:rPr>
      </w:pPr>
    </w:p>
    <w:p w14:paraId="00E478DF" w14:textId="56D068A3" w:rsidR="00344281" w:rsidRPr="00537444" w:rsidRDefault="00344281" w:rsidP="00344281">
      <w:pPr>
        <w:tabs>
          <w:tab w:val="clear" w:pos="567"/>
        </w:tabs>
        <w:spacing w:line="240" w:lineRule="auto"/>
        <w:rPr>
          <w:szCs w:val="22"/>
        </w:rPr>
      </w:pPr>
      <w:r w:rsidRPr="00537444">
        <w:rPr>
          <w:color w:val="000000"/>
          <w:szCs w:val="22"/>
          <w:lang w:eastAsia="sk-SK"/>
        </w:rPr>
        <w:t>Tablety je možné podat přímo zvířeti nebo s malým množstvím krmiva.</w:t>
      </w:r>
    </w:p>
    <w:p w14:paraId="13504C24" w14:textId="77777777" w:rsidR="00247A48" w:rsidRPr="00537444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537444" w:rsidRDefault="00C76DD3" w:rsidP="00B13B6D">
      <w:pPr>
        <w:pStyle w:val="Style1"/>
      </w:pPr>
      <w:r w:rsidRPr="00537444">
        <w:t>3.10</w:t>
      </w:r>
      <w:r w:rsidRPr="00537444">
        <w:tab/>
        <w:t xml:space="preserve">Příznaky předávkování </w:t>
      </w:r>
      <w:r w:rsidR="00EC5045" w:rsidRPr="00537444">
        <w:t>(</w:t>
      </w:r>
      <w:r w:rsidRPr="00537444">
        <w:t xml:space="preserve">a </w:t>
      </w:r>
      <w:r w:rsidR="00202A85" w:rsidRPr="00537444">
        <w:t>kde</w:t>
      </w:r>
      <w:r w:rsidR="005E66FC" w:rsidRPr="00537444">
        <w:t xml:space="preserve"> </w:t>
      </w:r>
      <w:r w:rsidR="00202A85" w:rsidRPr="00537444">
        <w:t>je</w:t>
      </w:r>
      <w:r w:rsidR="005E66FC" w:rsidRPr="00537444">
        <w:t xml:space="preserve"> </w:t>
      </w:r>
      <w:r w:rsidR="00FB6F2F" w:rsidRPr="00537444">
        <w:t>relevantní</w:t>
      </w:r>
      <w:r w:rsidR="00202A85" w:rsidRPr="00537444">
        <w:t>, první pomoc</w:t>
      </w:r>
      <w:r w:rsidRPr="00537444">
        <w:t xml:space="preserve"> a antidota</w:t>
      </w:r>
      <w:r w:rsidR="00202A85" w:rsidRPr="00537444">
        <w:t>)</w:t>
      </w:r>
      <w:r w:rsidRPr="00537444">
        <w:t xml:space="preserve"> </w:t>
      </w:r>
    </w:p>
    <w:p w14:paraId="45A34650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8F4346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V případě náhodného předávkování se může objevit reverzibilní hypotenze. Léčba je symptomatická.</w:t>
      </w:r>
    </w:p>
    <w:p w14:paraId="0514A1FC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Při podávání 0,75 mg/kg a 1,25 mg/kg jednou denně po dobu 6 měsíců u zdravých mladých dospělých koček byly pozorovány případy hyperplastické gingivitidy, reaktivní lymfoidní hyperplazie mandibulárních lymfatických uzlin a zvýšení </w:t>
      </w:r>
      <w:proofErr w:type="spellStart"/>
      <w:r w:rsidRPr="00537444">
        <w:rPr>
          <w:color w:val="000000"/>
          <w:szCs w:val="22"/>
          <w:lang w:eastAsia="sk-SK"/>
        </w:rPr>
        <w:t>vakuolizace</w:t>
      </w:r>
      <w:proofErr w:type="spellEnd"/>
      <w:r w:rsidRPr="00537444">
        <w:rPr>
          <w:color w:val="000000"/>
          <w:szCs w:val="22"/>
          <w:lang w:eastAsia="sk-SK"/>
        </w:rPr>
        <w:t xml:space="preserve"> a hyperplazie </w:t>
      </w:r>
      <w:proofErr w:type="spellStart"/>
      <w:r w:rsidRPr="00537444">
        <w:rPr>
          <w:color w:val="000000"/>
          <w:szCs w:val="22"/>
          <w:lang w:eastAsia="sk-SK"/>
        </w:rPr>
        <w:t>Leydigových</w:t>
      </w:r>
      <w:proofErr w:type="spellEnd"/>
      <w:r w:rsidRPr="00537444">
        <w:rPr>
          <w:color w:val="000000"/>
          <w:szCs w:val="22"/>
          <w:lang w:eastAsia="sk-SK"/>
        </w:rPr>
        <w:t xml:space="preserve"> buněk. Při stejné úrovni dávky byly hladiny plazmatického draslíku a chloridu snížené a byl pozorován zvýšený objem moči spojený se snížením specifické hmotnosti moči. Není pravděpodobné, že by byly tyto účinky pozorovány za klinických podmínek s krátkodobým náhodným předávkováním.</w:t>
      </w:r>
    </w:p>
    <w:p w14:paraId="0396F3F4" w14:textId="77777777" w:rsidR="00344281" w:rsidRPr="00537444" w:rsidRDefault="00344281" w:rsidP="00344281">
      <w:pPr>
        <w:widowControl w:val="0"/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V malé dvoutýdenní toleranční studii u zdravých koček (n=4) byly podávány dávky mezi 1,75 mg/kg a 2,5 mg/kg a došlo k mortalitě (n=1) a závažné morbiditě (n=1).</w:t>
      </w:r>
    </w:p>
    <w:p w14:paraId="7C74E9B1" w14:textId="77777777" w:rsidR="00344281" w:rsidRPr="00537444" w:rsidRDefault="003442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CFF45B" w14:textId="77777777" w:rsidR="00344281" w:rsidRPr="00537444" w:rsidRDefault="00344281" w:rsidP="00344281">
      <w:pPr>
        <w:pStyle w:val="Style1"/>
      </w:pPr>
      <w:r w:rsidRPr="00537444">
        <w:t>3.11</w:t>
      </w:r>
      <w:r w:rsidRPr="00537444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7DE3069" w14:textId="77777777" w:rsidR="00344281" w:rsidRPr="00537444" w:rsidRDefault="00344281" w:rsidP="00344281">
      <w:pPr>
        <w:tabs>
          <w:tab w:val="clear" w:pos="567"/>
        </w:tabs>
        <w:spacing w:line="240" w:lineRule="auto"/>
        <w:rPr>
          <w:szCs w:val="22"/>
        </w:rPr>
      </w:pPr>
    </w:p>
    <w:p w14:paraId="11F3EE76" w14:textId="77777777" w:rsidR="00344281" w:rsidRPr="00537444" w:rsidRDefault="00344281" w:rsidP="00344281">
      <w:pPr>
        <w:tabs>
          <w:tab w:val="clear" w:pos="567"/>
        </w:tabs>
        <w:spacing w:line="240" w:lineRule="auto"/>
        <w:rPr>
          <w:szCs w:val="22"/>
        </w:rPr>
      </w:pPr>
      <w:r w:rsidRPr="00537444">
        <w:lastRenderedPageBreak/>
        <w:t>Neuplatňuje se.</w:t>
      </w:r>
    </w:p>
    <w:p w14:paraId="23184928" w14:textId="77777777" w:rsidR="009A6509" w:rsidRPr="00537444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537444" w:rsidRDefault="00C76DD3" w:rsidP="00B13B6D">
      <w:pPr>
        <w:pStyle w:val="Style1"/>
      </w:pPr>
      <w:r w:rsidRPr="00537444">
        <w:t>3.12</w:t>
      </w:r>
      <w:r w:rsidRPr="00537444">
        <w:tab/>
        <w:t>Ochranné lhůty</w:t>
      </w:r>
    </w:p>
    <w:p w14:paraId="2DC95067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203F6A3B" w:rsidR="00C114FF" w:rsidRPr="00537444" w:rsidRDefault="00344281" w:rsidP="00A9226B">
      <w:pPr>
        <w:tabs>
          <w:tab w:val="clear" w:pos="567"/>
        </w:tabs>
        <w:spacing w:line="240" w:lineRule="auto"/>
        <w:rPr>
          <w:szCs w:val="22"/>
        </w:rPr>
      </w:pPr>
      <w:r w:rsidRPr="00537444">
        <w:t>Neuplatňuje se.</w:t>
      </w:r>
    </w:p>
    <w:p w14:paraId="1A1B55BD" w14:textId="4604AAA4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131EC9" w14:textId="77777777" w:rsidR="00507E22" w:rsidRPr="00537444" w:rsidRDefault="00507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7EBCC90" w:rsidR="00C114FF" w:rsidRPr="00537444" w:rsidRDefault="00C76DD3" w:rsidP="00507E22">
      <w:pPr>
        <w:pStyle w:val="Style1"/>
        <w:keepNext/>
      </w:pPr>
      <w:r w:rsidRPr="00537444">
        <w:t>4.</w:t>
      </w:r>
      <w:r w:rsidRPr="00537444">
        <w:tab/>
        <w:t>FARMAKOLOGICKÉ INFORMACE</w:t>
      </w:r>
    </w:p>
    <w:p w14:paraId="2C2A4C50" w14:textId="77777777" w:rsidR="00C114FF" w:rsidRPr="00537444" w:rsidRDefault="00C114FF" w:rsidP="00507E2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7FB5BF8A" w:rsidR="005B04A8" w:rsidRPr="00537444" w:rsidRDefault="00C76DD3" w:rsidP="00B13B6D">
      <w:pPr>
        <w:pStyle w:val="Style1"/>
      </w:pPr>
      <w:r w:rsidRPr="00537444">
        <w:t>4.1</w:t>
      </w:r>
      <w:r w:rsidRPr="00537444">
        <w:tab/>
        <w:t>ATCvet kód:</w:t>
      </w:r>
      <w:r w:rsidR="00344281" w:rsidRPr="00537444">
        <w:t xml:space="preserve"> </w:t>
      </w:r>
      <w:r w:rsidR="00344281" w:rsidRPr="00537444">
        <w:rPr>
          <w:b w:val="0"/>
          <w:bCs/>
        </w:rPr>
        <w:t>QC08CA01</w:t>
      </w:r>
    </w:p>
    <w:p w14:paraId="5C965196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40AB73C8" w:rsidR="00C114FF" w:rsidRPr="00537444" w:rsidRDefault="00C76DD3" w:rsidP="00B13B6D">
      <w:pPr>
        <w:pStyle w:val="Style1"/>
      </w:pPr>
      <w:r w:rsidRPr="00537444">
        <w:t>4.2</w:t>
      </w:r>
      <w:r w:rsidRPr="00537444">
        <w:tab/>
        <w:t>Farmakodynamika</w:t>
      </w:r>
    </w:p>
    <w:p w14:paraId="50FA42E3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E57D75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after="200" w:line="240" w:lineRule="auto"/>
        <w:contextualSpacing/>
        <w:jc w:val="both"/>
        <w:rPr>
          <w:color w:val="000000"/>
          <w:szCs w:val="22"/>
          <w:lang w:eastAsia="sk-SK"/>
        </w:rPr>
      </w:pP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je blokátor kalciového kanálu závislý na napětí, člen skupiny </w:t>
      </w:r>
      <w:proofErr w:type="spellStart"/>
      <w:r w:rsidRPr="00537444">
        <w:rPr>
          <w:color w:val="000000"/>
          <w:szCs w:val="22"/>
          <w:lang w:eastAsia="sk-SK"/>
        </w:rPr>
        <w:t>dihydropyridinů</w:t>
      </w:r>
      <w:proofErr w:type="spellEnd"/>
      <w:r w:rsidRPr="00537444">
        <w:rPr>
          <w:color w:val="000000"/>
          <w:szCs w:val="22"/>
          <w:lang w:eastAsia="sk-SK"/>
        </w:rPr>
        <w:t>, se selektivní vazbou na kanály typu L, které se nacházejí v hladké svalovině, srdeční svalovině a nodální tkáni srdce.</w:t>
      </w:r>
    </w:p>
    <w:p w14:paraId="340AD502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after="200" w:line="240" w:lineRule="auto"/>
        <w:contextualSpacing/>
        <w:jc w:val="both"/>
        <w:rPr>
          <w:color w:val="000000"/>
          <w:szCs w:val="22"/>
          <w:lang w:eastAsia="sk-SK"/>
        </w:rPr>
      </w:pP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upřednostňuje kalciové kanály typu L, které se nacházejí v cévní hladké svalovině, a působí pak převážně snížením cévní rezistence. Hlavní účinek na snižování krevního tlaku u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souvisí s jeho dilatačním účinkem na arterie a arterioly, zatímco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má malý vliv na žilní cirkulaci. Trvání a odeznívání anti-hypertenzních účinků je závislé na dávce.</w:t>
      </w:r>
    </w:p>
    <w:p w14:paraId="1E9A8FF6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after="200"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I když má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větší afinitu k cévním kalciovým kanálům typu L, může současně působit na ty, které se nacházejí v srdečním svalu a srdeční nodální tkáni. Snížení srdeční frekvence a negativní </w:t>
      </w:r>
      <w:proofErr w:type="spellStart"/>
      <w:r w:rsidRPr="00537444">
        <w:rPr>
          <w:color w:val="000000"/>
          <w:szCs w:val="22"/>
          <w:lang w:eastAsia="sk-SK"/>
        </w:rPr>
        <w:t>inotropní</w:t>
      </w:r>
      <w:proofErr w:type="spellEnd"/>
      <w:r w:rsidRPr="00537444">
        <w:rPr>
          <w:color w:val="000000"/>
          <w:szCs w:val="22"/>
          <w:lang w:eastAsia="sk-SK"/>
        </w:rPr>
        <w:t xml:space="preserve"> efekt na srdce byl pozorován in vitro u izolovaných srdcí morčat. V 26týdenní bezpečnostní studii u cílových zvířat provedené u koček neovlivnil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v dávce 0,25 až 1,25 mg/kg podaný perorálně srdeční frekvenci a nebyly pozorovány žádné abnormality na elektrokardiogramu (EKG).</w:t>
      </w:r>
    </w:p>
    <w:p w14:paraId="2A9188DD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after="200"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Vazba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na kalciové kanály typu L je pomalá a tím brání rychlým poklesům krevního tlaku, které vedou k reflexní tachykardii jako důsledku aktivace baroreceptorů. U koček s hypertenzí poskytovalo podávání tablet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jednou denně tablet klinicky významný pokles krevního tlaku a v důsledku pomalého nástupu účinku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není tendence ke vzniku akutní hypotenze a reflexní tachykardie.</w:t>
      </w:r>
    </w:p>
    <w:p w14:paraId="2C3C5E7A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after="200"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In vitro údaje ukázaly, že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zlepšuje funkci endoteliálních buněk zvyšováním tvorby oxidu dusnatého a prostřednictvím antioxidačního a protizánětlivého účinku. U člověka jde o důležitý účinek, protože endoteliální dysfunkce doprovází hypertenzi, onemocnění koronárních tepen a diabetes, všechny stavy, při nichž se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používá jako součást léčebného režimu. U koček je třeba ještě určit význam těchto dalších účinků, protože úloha endoteliální dysfunkce v patofyziologii hypertenze koček nebyla dosud hodnocena.</w:t>
      </w:r>
    </w:p>
    <w:p w14:paraId="23014025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after="200"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Ledvina je, spolu se srdcem, okem a CNS, hlavním cílovým orgánem hypertenze. Přijímá 20 až 25 % srdečního výdeje a obsahuje vysokotlaké kapilární řečiště (glomerulární kapiláry), umožňující tvorbu glomerulárního filtrátu. Blokátory kalciového kanálu, jako je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, pravděpodobně preferenčně dilatují aferentní arterioly než eferentní arterioly. Protože ACE inhibitory preferenčně dilatují eferentní arterioly, snižují </w:t>
      </w:r>
      <w:proofErr w:type="spellStart"/>
      <w:r w:rsidRPr="00537444">
        <w:rPr>
          <w:color w:val="000000"/>
          <w:szCs w:val="22"/>
          <w:lang w:eastAsia="sk-SK"/>
        </w:rPr>
        <w:t>intraglomerulární</w:t>
      </w:r>
      <w:proofErr w:type="spellEnd"/>
      <w:r w:rsidRPr="00537444">
        <w:rPr>
          <w:color w:val="000000"/>
          <w:szCs w:val="22"/>
          <w:lang w:eastAsia="sk-SK"/>
        </w:rPr>
        <w:t xml:space="preserve"> tlak a často snižují rozsah proteinurie. Z tohoto důvodu může být kombinace ACE inhibitoru a blokátorů kalciového kanálu obzvlášť přínosná u hypertenzních koček s proteinurií.</w:t>
      </w:r>
    </w:p>
    <w:p w14:paraId="02068C69" w14:textId="77777777" w:rsidR="00344281" w:rsidRPr="00537444" w:rsidRDefault="00344281" w:rsidP="00344281">
      <w:pPr>
        <w:widowControl w:val="0"/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V klinické studii byly pro danou lokalitu reprezentativní vzorky klientem vlastněných koček s perzistentní hypertenzí (systolický krevní tlak (STK) &gt;165 </w:t>
      </w:r>
      <w:proofErr w:type="spellStart"/>
      <w:r w:rsidRPr="00537444">
        <w:rPr>
          <w:color w:val="000000"/>
          <w:szCs w:val="22"/>
          <w:lang w:eastAsia="sk-SK"/>
        </w:rPr>
        <w:t>mmHg</w:t>
      </w:r>
      <w:proofErr w:type="spellEnd"/>
      <w:r w:rsidRPr="00537444">
        <w:rPr>
          <w:color w:val="000000"/>
          <w:szCs w:val="22"/>
          <w:lang w:eastAsia="sk-SK"/>
        </w:rPr>
        <w:t xml:space="preserve">) randomizovány pro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(úvodní dávka 0,125 - 0,25 mg/kg, zvýšená na 0,25 - 0,50 mg/kg, pokud nebyla odpověď po 14 dnech uspokojivá) nebo placebo jednou denně. STK byl změřen po 28 dnech a léčba byla považována za úspěšnou, pokud byl STK snížen o 15 % nebo více oproti SKT před léčbou nebo byl nižší než 150 </w:t>
      </w:r>
      <w:proofErr w:type="spellStart"/>
      <w:r w:rsidRPr="00537444">
        <w:rPr>
          <w:color w:val="000000"/>
          <w:szCs w:val="22"/>
          <w:lang w:eastAsia="sk-SK"/>
        </w:rPr>
        <w:t>mmHg</w:t>
      </w:r>
      <w:proofErr w:type="spellEnd"/>
      <w:r w:rsidRPr="00537444">
        <w:rPr>
          <w:color w:val="000000"/>
          <w:szCs w:val="22"/>
          <w:lang w:eastAsia="sk-SK"/>
        </w:rPr>
        <w:t xml:space="preserve">. 25 z 40 koček (62,5 %), které dostávaly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, bylo úspěšně léčených ve srovnání s 6 z 34 (17,6 %), které dostávaly placebo. Bylo odhadnuto, že </w:t>
      </w:r>
      <w:proofErr w:type="spellStart"/>
      <w:r w:rsidRPr="00537444">
        <w:rPr>
          <w:color w:val="000000"/>
          <w:szCs w:val="22"/>
          <w:lang w:eastAsia="sk-SK"/>
        </w:rPr>
        <w:t>amlodipinem</w:t>
      </w:r>
      <w:proofErr w:type="spellEnd"/>
      <w:r w:rsidRPr="00537444">
        <w:rPr>
          <w:color w:val="000000"/>
          <w:szCs w:val="22"/>
          <w:lang w:eastAsia="sk-SK"/>
        </w:rPr>
        <w:t xml:space="preserve"> léčená zvířata mají </w:t>
      </w:r>
      <w:proofErr w:type="gramStart"/>
      <w:r w:rsidRPr="00537444">
        <w:rPr>
          <w:color w:val="000000"/>
          <w:szCs w:val="22"/>
          <w:lang w:eastAsia="sk-SK"/>
        </w:rPr>
        <w:t>8 násobně</w:t>
      </w:r>
      <w:proofErr w:type="gramEnd"/>
      <w:r w:rsidRPr="00537444">
        <w:rPr>
          <w:color w:val="000000"/>
          <w:szCs w:val="22"/>
          <w:lang w:eastAsia="sk-SK"/>
        </w:rPr>
        <w:t xml:space="preserve"> vyšší pravděpodobnost léčebného úspěchu než kočky léčené placebem (</w:t>
      </w:r>
      <w:proofErr w:type="spellStart"/>
      <w:r w:rsidRPr="00537444">
        <w:rPr>
          <w:color w:val="000000"/>
          <w:szCs w:val="22"/>
          <w:lang w:eastAsia="sk-SK"/>
        </w:rPr>
        <w:t>odds</w:t>
      </w:r>
      <w:proofErr w:type="spellEnd"/>
      <w:r w:rsidRPr="00537444">
        <w:rPr>
          <w:color w:val="000000"/>
          <w:szCs w:val="22"/>
          <w:lang w:eastAsia="sk-SK"/>
        </w:rPr>
        <w:t xml:space="preserve"> ratio7,94, 95% interval spolehlivosti 2,62 - 24,09).</w:t>
      </w:r>
    </w:p>
    <w:p w14:paraId="46174F76" w14:textId="77777777" w:rsidR="00344281" w:rsidRPr="00537444" w:rsidRDefault="003442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28F0EC0" w:rsidR="00C114FF" w:rsidRPr="00537444" w:rsidRDefault="005A2941" w:rsidP="00507E22">
      <w:pPr>
        <w:pStyle w:val="Style1"/>
        <w:keepNext/>
      </w:pPr>
      <w:bookmarkStart w:id="4" w:name="_Hlk127343568"/>
      <w:bookmarkStart w:id="5" w:name="_Hlk127276978"/>
      <w:r w:rsidRPr="00537444">
        <w:t>4.3</w:t>
      </w:r>
      <w:r w:rsidRPr="00537444">
        <w:tab/>
        <w:t>Farmakokinetika</w:t>
      </w:r>
      <w:r w:rsidRPr="00537444" w:rsidDel="005219B6">
        <w:rPr>
          <w:b w:val="0"/>
        </w:rPr>
        <w:t xml:space="preserve"> </w:t>
      </w:r>
      <w:bookmarkEnd w:id="4"/>
    </w:p>
    <w:p w14:paraId="2F275BA3" w14:textId="77777777" w:rsidR="00507E22" w:rsidRDefault="00507E22" w:rsidP="00344281">
      <w:pPr>
        <w:keepNext/>
        <w:tabs>
          <w:tab w:val="clear" w:pos="567"/>
          <w:tab w:val="left" w:pos="708"/>
        </w:tabs>
        <w:spacing w:line="240" w:lineRule="auto"/>
        <w:contextualSpacing/>
        <w:rPr>
          <w:i/>
          <w:color w:val="000000"/>
          <w:szCs w:val="22"/>
          <w:lang w:eastAsia="sk-SK"/>
        </w:rPr>
      </w:pPr>
    </w:p>
    <w:p w14:paraId="5F10D3BA" w14:textId="2EC3F8AA" w:rsidR="00344281" w:rsidRPr="00537444" w:rsidRDefault="00344281" w:rsidP="00344281">
      <w:pPr>
        <w:keepNext/>
        <w:tabs>
          <w:tab w:val="clear" w:pos="567"/>
          <w:tab w:val="left" w:pos="708"/>
        </w:tabs>
        <w:spacing w:line="240" w:lineRule="auto"/>
        <w:contextualSpacing/>
        <w:rPr>
          <w:i/>
          <w:color w:val="000000"/>
          <w:szCs w:val="22"/>
          <w:lang w:eastAsia="sk-SK"/>
        </w:rPr>
      </w:pPr>
      <w:r w:rsidRPr="00537444">
        <w:rPr>
          <w:i/>
          <w:color w:val="000000"/>
          <w:szCs w:val="22"/>
          <w:lang w:eastAsia="sk-SK"/>
        </w:rPr>
        <w:t>Vstřebávání</w:t>
      </w:r>
    </w:p>
    <w:p w14:paraId="04348CF9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Po perorálním podání terapeutických dávek je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dobře absorbován s vrcholovými plazmatickými hladinami mezi 3 až 6 hodinami po dávce. Po jedné dávce 0,25 mg/kg na lačno je </w:t>
      </w:r>
      <w:r w:rsidRPr="00537444">
        <w:rPr>
          <w:color w:val="000000"/>
          <w:szCs w:val="22"/>
          <w:lang w:eastAsia="sk-SK"/>
        </w:rPr>
        <w:lastRenderedPageBreak/>
        <w:t xml:space="preserve">odhadovaná absolutní biologická dostupnost 74 % a vrcholová plazmatická hladina 25 </w:t>
      </w:r>
      <w:proofErr w:type="spellStart"/>
      <w:r w:rsidRPr="00537444">
        <w:rPr>
          <w:color w:val="000000"/>
          <w:szCs w:val="22"/>
          <w:lang w:eastAsia="sk-SK"/>
        </w:rPr>
        <w:t>ng</w:t>
      </w:r>
      <w:proofErr w:type="spellEnd"/>
      <w:r w:rsidRPr="00537444">
        <w:rPr>
          <w:color w:val="000000"/>
          <w:szCs w:val="22"/>
          <w:lang w:eastAsia="sk-SK"/>
        </w:rPr>
        <w:t xml:space="preserve">/ml. Vstřebávání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není u člověka ovlivněno souběžným příjmem jídla. Tablety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je možné kočkám při klinickém použití podávat s krmivem nebo bez krmiva.</w:t>
      </w:r>
    </w:p>
    <w:p w14:paraId="6F10D48B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73B6B927" w14:textId="77777777" w:rsidR="00344281" w:rsidRPr="00537444" w:rsidRDefault="00344281" w:rsidP="00344281">
      <w:pPr>
        <w:keepNext/>
        <w:tabs>
          <w:tab w:val="clear" w:pos="567"/>
          <w:tab w:val="left" w:pos="708"/>
        </w:tabs>
        <w:spacing w:line="240" w:lineRule="auto"/>
        <w:contextualSpacing/>
        <w:rPr>
          <w:i/>
          <w:color w:val="000000"/>
          <w:szCs w:val="22"/>
          <w:lang w:eastAsia="sk-SK"/>
        </w:rPr>
      </w:pPr>
      <w:r w:rsidRPr="00537444">
        <w:rPr>
          <w:i/>
          <w:color w:val="000000"/>
          <w:szCs w:val="22"/>
          <w:lang w:eastAsia="sk-SK"/>
        </w:rPr>
        <w:t>Distribuce</w:t>
      </w:r>
    </w:p>
    <w:p w14:paraId="01277445" w14:textId="064943DA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Hodnota </w:t>
      </w:r>
      <w:proofErr w:type="spellStart"/>
      <w:r w:rsidRPr="00537444">
        <w:rPr>
          <w:color w:val="000000"/>
          <w:szCs w:val="22"/>
          <w:lang w:eastAsia="sk-SK"/>
        </w:rPr>
        <w:t>pKa</w:t>
      </w:r>
      <w:proofErr w:type="spellEnd"/>
      <w:r w:rsidRPr="00537444">
        <w:rPr>
          <w:color w:val="000000"/>
          <w:szCs w:val="22"/>
          <w:lang w:eastAsia="sk-SK"/>
        </w:rPr>
        <w:t xml:space="preserve">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je 8,6. </w:t>
      </w: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je </w:t>
      </w:r>
      <w:r w:rsidR="00D55F3E">
        <w:rPr>
          <w:color w:val="000000"/>
          <w:szCs w:val="22"/>
          <w:lang w:eastAsia="sk-SK"/>
        </w:rPr>
        <w:t>silně</w:t>
      </w:r>
      <w:r w:rsidR="00D55F3E" w:rsidRPr="00537444">
        <w:rPr>
          <w:color w:val="000000"/>
          <w:szCs w:val="22"/>
          <w:lang w:eastAsia="sk-SK"/>
        </w:rPr>
        <w:t xml:space="preserve"> </w:t>
      </w:r>
      <w:r w:rsidRPr="00537444">
        <w:rPr>
          <w:color w:val="000000"/>
          <w:szCs w:val="22"/>
          <w:lang w:eastAsia="sk-SK"/>
        </w:rPr>
        <w:t xml:space="preserve">vázán na plazmatické </w:t>
      </w:r>
      <w:r w:rsidR="00D55F3E">
        <w:rPr>
          <w:color w:val="000000"/>
          <w:szCs w:val="22"/>
          <w:lang w:eastAsia="sk-SK"/>
        </w:rPr>
        <w:t>bílkovi</w:t>
      </w:r>
      <w:r w:rsidR="00D55F3E" w:rsidRPr="00537444">
        <w:rPr>
          <w:color w:val="000000"/>
          <w:szCs w:val="22"/>
          <w:lang w:eastAsia="sk-SK"/>
        </w:rPr>
        <w:t>ny</w:t>
      </w:r>
      <w:r w:rsidRPr="00537444">
        <w:rPr>
          <w:color w:val="000000"/>
          <w:szCs w:val="22"/>
          <w:lang w:eastAsia="sk-SK"/>
        </w:rPr>
        <w:t xml:space="preserve">. Vazba na </w:t>
      </w:r>
      <w:r w:rsidR="00D55F3E">
        <w:rPr>
          <w:color w:val="000000"/>
          <w:szCs w:val="22"/>
          <w:lang w:eastAsia="sk-SK"/>
        </w:rPr>
        <w:t>bílkovi</w:t>
      </w:r>
      <w:r w:rsidR="00D55F3E" w:rsidRPr="00537444">
        <w:rPr>
          <w:color w:val="000000"/>
          <w:szCs w:val="22"/>
          <w:lang w:eastAsia="sk-SK"/>
        </w:rPr>
        <w:t xml:space="preserve">ny </w:t>
      </w:r>
      <w:r w:rsidRPr="00537444">
        <w:rPr>
          <w:color w:val="000000"/>
          <w:szCs w:val="22"/>
          <w:lang w:eastAsia="sk-SK"/>
        </w:rPr>
        <w:t>v plazmě in vitro u koček je 97 %. Distribuční objem je asi 10 l/kg.</w:t>
      </w:r>
    </w:p>
    <w:p w14:paraId="61A41D62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700819C8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i/>
          <w:color w:val="000000"/>
          <w:szCs w:val="22"/>
          <w:lang w:eastAsia="sk-SK"/>
        </w:rPr>
      </w:pPr>
      <w:r w:rsidRPr="00537444">
        <w:rPr>
          <w:i/>
          <w:color w:val="000000"/>
          <w:szCs w:val="22"/>
          <w:lang w:eastAsia="sk-SK"/>
        </w:rPr>
        <w:t>Biotransformace</w:t>
      </w:r>
    </w:p>
    <w:p w14:paraId="71C3CA2B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proofErr w:type="spellStart"/>
      <w:r w:rsidRPr="00537444">
        <w:rPr>
          <w:color w:val="000000"/>
          <w:szCs w:val="22"/>
          <w:lang w:eastAsia="sk-SK"/>
        </w:rPr>
        <w:t>Amlodipin</w:t>
      </w:r>
      <w:proofErr w:type="spellEnd"/>
      <w:r w:rsidRPr="00537444">
        <w:rPr>
          <w:color w:val="000000"/>
          <w:szCs w:val="22"/>
          <w:lang w:eastAsia="sk-SK"/>
        </w:rPr>
        <w:t xml:space="preserve"> je rozsáhle metabolizován játry u laboratorních zvířat a člověka. Všechny známé metabolity postrádají farmakologickou aktivitu. Všechny metabolity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nalezené in vitro v </w:t>
      </w:r>
      <w:proofErr w:type="spellStart"/>
      <w:r w:rsidRPr="00537444">
        <w:rPr>
          <w:color w:val="000000"/>
          <w:szCs w:val="22"/>
          <w:lang w:eastAsia="sk-SK"/>
        </w:rPr>
        <w:t>hepatocytech</w:t>
      </w:r>
      <w:proofErr w:type="spellEnd"/>
      <w:r w:rsidRPr="00537444">
        <w:rPr>
          <w:color w:val="000000"/>
          <w:szCs w:val="22"/>
          <w:lang w:eastAsia="sk-SK"/>
        </w:rPr>
        <w:t xml:space="preserve"> koček byly již dříve identifikované při inkubacích </w:t>
      </w:r>
      <w:proofErr w:type="spellStart"/>
      <w:r w:rsidRPr="00537444">
        <w:rPr>
          <w:color w:val="000000"/>
          <w:szCs w:val="22"/>
          <w:lang w:eastAsia="sk-SK"/>
        </w:rPr>
        <w:t>hepatocytů</w:t>
      </w:r>
      <w:proofErr w:type="spellEnd"/>
      <w:r w:rsidRPr="00537444">
        <w:rPr>
          <w:color w:val="000000"/>
          <w:szCs w:val="22"/>
          <w:lang w:eastAsia="sk-SK"/>
        </w:rPr>
        <w:t xml:space="preserve"> potkanů, psů a člověka. Proto nejsou žádné z nich unikátní pro kočky.</w:t>
      </w:r>
    </w:p>
    <w:p w14:paraId="7F2FBCD2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656BB61A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i/>
          <w:color w:val="000000"/>
          <w:szCs w:val="22"/>
          <w:lang w:eastAsia="sk-SK"/>
        </w:rPr>
      </w:pPr>
      <w:r w:rsidRPr="00537444">
        <w:rPr>
          <w:i/>
          <w:color w:val="000000"/>
          <w:szCs w:val="22"/>
          <w:lang w:eastAsia="sk-SK"/>
        </w:rPr>
        <w:t>Eliminace</w:t>
      </w:r>
    </w:p>
    <w:p w14:paraId="62B84EAA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 xml:space="preserve">Průměrný poločas eliminace z plazmy je u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53 hodin pro zdravé kočky. Při dávce 0,125 mg/kg/den se plazmatická hladina </w:t>
      </w:r>
      <w:proofErr w:type="spellStart"/>
      <w:r w:rsidRPr="00537444">
        <w:rPr>
          <w:color w:val="000000"/>
          <w:szCs w:val="22"/>
          <w:lang w:eastAsia="sk-SK"/>
        </w:rPr>
        <w:t>amlodipinu</w:t>
      </w:r>
      <w:proofErr w:type="spellEnd"/>
      <w:r w:rsidRPr="00537444">
        <w:rPr>
          <w:color w:val="000000"/>
          <w:szCs w:val="22"/>
          <w:lang w:eastAsia="sk-SK"/>
        </w:rPr>
        <w:t xml:space="preserve"> u zdravých koček blížila ustálenému stavu do 2 týdnů. Celková plazmatická </w:t>
      </w:r>
      <w:proofErr w:type="spellStart"/>
      <w:r w:rsidRPr="00537444">
        <w:rPr>
          <w:color w:val="000000"/>
          <w:szCs w:val="22"/>
          <w:lang w:eastAsia="sk-SK"/>
        </w:rPr>
        <w:t>clearance</w:t>
      </w:r>
      <w:proofErr w:type="spellEnd"/>
      <w:r w:rsidRPr="00537444">
        <w:rPr>
          <w:color w:val="000000"/>
          <w:szCs w:val="22"/>
          <w:lang w:eastAsia="sk-SK"/>
        </w:rPr>
        <w:t xml:space="preserve"> u zdravých koček se odhaduje na 2,3 ml/min/kg.</w:t>
      </w:r>
    </w:p>
    <w:p w14:paraId="72CEF4A9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Rovnováha vylučování byla charakterizována u člověka a u několika druhů zvířat, nikoliv však u koček. U psů byla pozorována stejná distribuce radioaktivity v moči i stolici.</w:t>
      </w:r>
    </w:p>
    <w:p w14:paraId="041767DA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5"/>
    <w:p w14:paraId="44B643E5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537444" w:rsidRDefault="00C76DD3" w:rsidP="00B13B6D">
      <w:pPr>
        <w:pStyle w:val="Style1"/>
      </w:pPr>
      <w:bookmarkStart w:id="6" w:name="_Hlk127276991"/>
      <w:r w:rsidRPr="00537444">
        <w:t>5.</w:t>
      </w:r>
      <w:r w:rsidRPr="00537444">
        <w:tab/>
        <w:t>FARMACEUTICKÉ ÚDAJE</w:t>
      </w:r>
    </w:p>
    <w:bookmarkEnd w:id="6"/>
    <w:p w14:paraId="7BC53755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537444" w:rsidRDefault="00C76DD3" w:rsidP="00B13B6D">
      <w:pPr>
        <w:pStyle w:val="Style1"/>
      </w:pPr>
      <w:r w:rsidRPr="00537444">
        <w:t>5.1</w:t>
      </w:r>
      <w:r w:rsidRPr="00537444">
        <w:tab/>
        <w:t>Hlavní inkompatibility</w:t>
      </w:r>
    </w:p>
    <w:p w14:paraId="15C29130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57D4C2" w14:textId="0543D0EB" w:rsidR="00344281" w:rsidRPr="00BB2413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BB2413">
        <w:rPr>
          <w:color w:val="000000"/>
          <w:szCs w:val="22"/>
          <w:lang w:eastAsia="sk-SK"/>
        </w:rPr>
        <w:t>Neuplatňuje se</w:t>
      </w:r>
      <w:r w:rsidR="00FD1179" w:rsidRPr="00BB2413">
        <w:rPr>
          <w:color w:val="000000"/>
          <w:szCs w:val="22"/>
          <w:lang w:eastAsia="sk-SK"/>
        </w:rPr>
        <w:t>.</w:t>
      </w:r>
    </w:p>
    <w:p w14:paraId="288F0D5C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537444" w:rsidRDefault="00C76DD3" w:rsidP="00B13B6D">
      <w:pPr>
        <w:pStyle w:val="Style1"/>
      </w:pPr>
      <w:bookmarkStart w:id="7" w:name="_Hlk127277051"/>
      <w:r w:rsidRPr="00537444">
        <w:t>5.2</w:t>
      </w:r>
      <w:bookmarkEnd w:id="7"/>
      <w:r w:rsidRPr="00537444">
        <w:tab/>
        <w:t>Doba použitelnosti</w:t>
      </w:r>
    </w:p>
    <w:p w14:paraId="100B6613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FF36F2" w14:textId="77777777" w:rsidR="00344281" w:rsidRPr="00BB2413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BB2413">
        <w:rPr>
          <w:color w:val="000000"/>
          <w:szCs w:val="22"/>
          <w:lang w:eastAsia="sk-SK"/>
        </w:rPr>
        <w:t>Doba použitelnosti veterinárního léčivého přípravku v neporušeném obalu: 3 roky.</w:t>
      </w:r>
    </w:p>
    <w:p w14:paraId="78EBA32C" w14:textId="77777777" w:rsidR="00344281" w:rsidRPr="00BB2413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BB2413">
        <w:rPr>
          <w:color w:val="000000"/>
          <w:szCs w:val="22"/>
          <w:lang w:eastAsia="sk-SK"/>
        </w:rPr>
        <w:t>Doba použitelnosti zbylých polovin tablet: 24 hodin.</w:t>
      </w:r>
    </w:p>
    <w:p w14:paraId="7A22FBE8" w14:textId="77777777" w:rsidR="00344281" w:rsidRPr="00537444" w:rsidRDefault="0034428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537444" w:rsidRDefault="00C76DD3" w:rsidP="00B13B6D">
      <w:pPr>
        <w:pStyle w:val="Style1"/>
      </w:pPr>
      <w:r w:rsidRPr="00537444">
        <w:t>5.3</w:t>
      </w:r>
      <w:r w:rsidRPr="00537444">
        <w:tab/>
        <w:t>Zvláštní opatření pro uchovávání</w:t>
      </w:r>
    </w:p>
    <w:p w14:paraId="7826F268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BEA9A5" w14:textId="77777777" w:rsidR="00344281" w:rsidRPr="00BB2413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BB2413">
        <w:rPr>
          <w:color w:val="000000"/>
          <w:szCs w:val="22"/>
          <w:lang w:eastAsia="sk-SK"/>
        </w:rPr>
        <w:t>Uchovávejte při teplotě do 30 °C.</w:t>
      </w:r>
    </w:p>
    <w:p w14:paraId="147EE66D" w14:textId="77777777" w:rsidR="00344281" w:rsidRPr="00BB2413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BB2413">
        <w:rPr>
          <w:color w:val="000000"/>
          <w:szCs w:val="22"/>
          <w:lang w:eastAsia="sk-SK"/>
        </w:rPr>
        <w:t>Zbylé nepoužité poloviny tablet vraťte zpět do blistru.</w:t>
      </w:r>
    </w:p>
    <w:p w14:paraId="0548CCF5" w14:textId="77777777" w:rsidR="00344281" w:rsidRPr="00537444" w:rsidRDefault="0034428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537444" w:rsidRDefault="00C76DD3" w:rsidP="00B13B6D">
      <w:pPr>
        <w:pStyle w:val="Style1"/>
      </w:pPr>
      <w:r w:rsidRPr="00537444">
        <w:t>5.4</w:t>
      </w:r>
      <w:r w:rsidRPr="00537444">
        <w:tab/>
        <w:t>Druh a složení vnitřního obalu</w:t>
      </w:r>
    </w:p>
    <w:p w14:paraId="3EB26241" w14:textId="77777777" w:rsidR="00C114FF" w:rsidRPr="00537444" w:rsidRDefault="00C114FF" w:rsidP="005E66FC">
      <w:pPr>
        <w:pStyle w:val="Style1"/>
      </w:pPr>
    </w:p>
    <w:p w14:paraId="77A4BEC0" w14:textId="38FCBAF2" w:rsidR="00344281" w:rsidRPr="00BB2413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BB2413">
        <w:rPr>
          <w:color w:val="000000"/>
          <w:szCs w:val="22"/>
          <w:lang w:eastAsia="sk-SK"/>
        </w:rPr>
        <w:t>Polyamid/aluminium/PVC-</w:t>
      </w:r>
      <w:proofErr w:type="gramStart"/>
      <w:r w:rsidRPr="00BB2413">
        <w:rPr>
          <w:color w:val="000000"/>
          <w:szCs w:val="22"/>
          <w:lang w:eastAsia="sk-SK"/>
        </w:rPr>
        <w:t>aluminium - tepelně</w:t>
      </w:r>
      <w:proofErr w:type="gramEnd"/>
      <w:r w:rsidRPr="00BB2413">
        <w:rPr>
          <w:color w:val="000000"/>
          <w:szCs w:val="22"/>
          <w:lang w:eastAsia="sk-SK"/>
        </w:rPr>
        <w:t xml:space="preserve"> zatavené blistry s 10 tabletami v jednom blistru.</w:t>
      </w:r>
    </w:p>
    <w:p w14:paraId="0636D579" w14:textId="529C97B3" w:rsidR="00344281" w:rsidRPr="00BB2413" w:rsidRDefault="00D64EAD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Papír</w:t>
      </w:r>
      <w:r w:rsidRPr="00BB2413">
        <w:rPr>
          <w:color w:val="000000"/>
          <w:szCs w:val="22"/>
          <w:lang w:eastAsia="sk-SK"/>
        </w:rPr>
        <w:t xml:space="preserve">ová </w:t>
      </w:r>
      <w:r w:rsidR="00344281" w:rsidRPr="00BB2413">
        <w:rPr>
          <w:color w:val="000000"/>
          <w:szCs w:val="22"/>
          <w:lang w:eastAsia="sk-SK"/>
        </w:rPr>
        <w:t xml:space="preserve">krabička s 30, </w:t>
      </w:r>
      <w:smartTag w:uri="urn:schemas-microsoft-com:office:smarttags" w:element="metricconverter">
        <w:smartTagPr>
          <w:attr w:name="ProductID" w:val="100 a"/>
        </w:smartTagPr>
        <w:r w:rsidR="00344281" w:rsidRPr="00BB2413">
          <w:rPr>
            <w:color w:val="000000"/>
            <w:szCs w:val="22"/>
            <w:lang w:eastAsia="sk-SK"/>
          </w:rPr>
          <w:t>100 a</w:t>
        </w:r>
      </w:smartTag>
      <w:r w:rsidR="00344281" w:rsidRPr="00BB2413">
        <w:rPr>
          <w:color w:val="000000"/>
          <w:szCs w:val="22"/>
          <w:lang w:eastAsia="sk-SK"/>
        </w:rPr>
        <w:t xml:space="preserve"> 200 tabletami.</w:t>
      </w:r>
    </w:p>
    <w:p w14:paraId="00A8310B" w14:textId="77777777" w:rsidR="00344281" w:rsidRPr="00BB2413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4F6E1B4F" w14:textId="77777777" w:rsidR="00344281" w:rsidRPr="00BB2413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BB2413">
        <w:rPr>
          <w:color w:val="000000"/>
          <w:szCs w:val="22"/>
          <w:lang w:eastAsia="sk-SK"/>
        </w:rPr>
        <w:t>Na trhu nemusí být všechny velikosti balení.</w:t>
      </w:r>
    </w:p>
    <w:p w14:paraId="584B339F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537444" w:rsidRDefault="00C76DD3" w:rsidP="002A69D1">
      <w:pPr>
        <w:pStyle w:val="Style1"/>
        <w:keepNext/>
      </w:pPr>
      <w:bookmarkStart w:id="8" w:name="_Hlk127277130"/>
      <w:r w:rsidRPr="00537444">
        <w:t>5.5</w:t>
      </w:r>
      <w:r w:rsidRPr="00537444">
        <w:tab/>
        <w:t xml:space="preserve">Zvláštní opatření pro </w:t>
      </w:r>
      <w:r w:rsidR="00CF069C" w:rsidRPr="00537444">
        <w:t xml:space="preserve">likvidaci </w:t>
      </w:r>
      <w:r w:rsidRPr="00537444">
        <w:t>nepoužit</w:t>
      </w:r>
      <w:r w:rsidR="002F64C6" w:rsidRPr="00537444">
        <w:t>ých</w:t>
      </w:r>
      <w:r w:rsidR="00905CAB" w:rsidRPr="00537444">
        <w:t xml:space="preserve"> </w:t>
      </w:r>
      <w:r w:rsidRPr="00537444">
        <w:t>veterinární</w:t>
      </w:r>
      <w:r w:rsidR="002F64C6" w:rsidRPr="00537444">
        <w:t>ch</w:t>
      </w:r>
      <w:r w:rsidRPr="00537444">
        <w:t xml:space="preserve"> léčiv</w:t>
      </w:r>
      <w:r w:rsidR="002F64C6" w:rsidRPr="00537444">
        <w:t>ých</w:t>
      </w:r>
      <w:r w:rsidRPr="00537444">
        <w:t xml:space="preserve"> přípravk</w:t>
      </w:r>
      <w:r w:rsidR="002F64C6" w:rsidRPr="00537444">
        <w:t>ů</w:t>
      </w:r>
      <w:r w:rsidRPr="00537444">
        <w:t xml:space="preserve"> nebo odpad</w:t>
      </w:r>
      <w:r w:rsidR="00F84AED" w:rsidRPr="00537444">
        <w:t>ů</w:t>
      </w:r>
      <w:r w:rsidR="00B36E65" w:rsidRPr="00537444">
        <w:t>, kter</w:t>
      </w:r>
      <w:r w:rsidR="00F84AED" w:rsidRPr="00537444">
        <w:t>é</w:t>
      </w:r>
      <w:r w:rsidRPr="00537444">
        <w:t xml:space="preserve"> pocház</w:t>
      </w:r>
      <w:r w:rsidR="00B36E65" w:rsidRPr="00537444">
        <w:t>í</w:t>
      </w:r>
      <w:r w:rsidRPr="00537444">
        <w:t xml:space="preserve"> z</w:t>
      </w:r>
      <w:r w:rsidR="002F64C6" w:rsidRPr="00537444">
        <w:t> </w:t>
      </w:r>
      <w:r w:rsidRPr="00537444">
        <w:t>t</w:t>
      </w:r>
      <w:r w:rsidR="002F64C6" w:rsidRPr="00537444">
        <w:t xml:space="preserve">ěchto </w:t>
      </w:r>
      <w:r w:rsidRPr="00537444">
        <w:t>přípravk</w:t>
      </w:r>
      <w:r w:rsidR="002F64C6" w:rsidRPr="00537444">
        <w:t>ů</w:t>
      </w:r>
    </w:p>
    <w:bookmarkEnd w:id="8"/>
    <w:p w14:paraId="4E04C78C" w14:textId="77777777" w:rsidR="00C114FF" w:rsidRPr="00537444" w:rsidRDefault="00C114FF" w:rsidP="002A69D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79306493" w:rsidR="00FD1E45" w:rsidRPr="00537444" w:rsidRDefault="00C76DD3" w:rsidP="00FD1E45">
      <w:pPr>
        <w:rPr>
          <w:szCs w:val="22"/>
        </w:rPr>
      </w:pPr>
      <w:bookmarkStart w:id="9" w:name="_Hlk127277139"/>
      <w:r w:rsidRPr="00537444">
        <w:t>Léčivé přípravky se nesmí likvidovat prostřednictvím odpadní vody či domovního odpadu.</w:t>
      </w:r>
      <w:bookmarkEnd w:id="9"/>
    </w:p>
    <w:p w14:paraId="3F2195DA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537444" w:rsidRDefault="00C76DD3" w:rsidP="00FD1E45">
      <w:pPr>
        <w:tabs>
          <w:tab w:val="clear" w:pos="567"/>
        </w:tabs>
        <w:spacing w:line="240" w:lineRule="auto"/>
        <w:rPr>
          <w:szCs w:val="22"/>
        </w:rPr>
      </w:pPr>
      <w:bookmarkStart w:id="10" w:name="_Hlk127277158"/>
      <w:r w:rsidRPr="00537444">
        <w:t>Všechen n</w:t>
      </w:r>
      <w:r w:rsidR="00DA2A06" w:rsidRPr="00537444">
        <w:t xml:space="preserve">epoužitý veterinární léčivý přípravek nebo </w:t>
      </w:r>
      <w:r w:rsidR="00905CAB" w:rsidRPr="00537444">
        <w:t>odpad, který pochází z tohoto přípravku,</w:t>
      </w:r>
      <w:r w:rsidR="00DA2A06" w:rsidRPr="00537444">
        <w:t xml:space="preserve"> </w:t>
      </w:r>
      <w:r w:rsidR="004C0568" w:rsidRPr="00537444">
        <w:t xml:space="preserve">likvidujte </w:t>
      </w:r>
      <w:r w:rsidR="007464DA" w:rsidRPr="00537444">
        <w:t>odevzdáním</w:t>
      </w:r>
      <w:r w:rsidR="00730908" w:rsidRPr="00537444">
        <w:t xml:space="preserve"> </w:t>
      </w:r>
      <w:r w:rsidR="00DA2A06" w:rsidRPr="00537444">
        <w:t>v souladu s místními požadavky a národními systémy sběru, které jsou platné pro příslušný veterinární léčivý přípravek.</w:t>
      </w:r>
    </w:p>
    <w:bookmarkEnd w:id="10"/>
    <w:p w14:paraId="42D2D2CF" w14:textId="77777777" w:rsidR="0078538F" w:rsidRPr="00537444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537444" w:rsidRDefault="00C76DD3" w:rsidP="00B13B6D">
      <w:pPr>
        <w:pStyle w:val="Style1"/>
      </w:pPr>
      <w:bookmarkStart w:id="11" w:name="_Hlk127277169"/>
      <w:r w:rsidRPr="00537444">
        <w:t>6.</w:t>
      </w:r>
      <w:r w:rsidRPr="00537444">
        <w:tab/>
        <w:t>JMÉNO DRŽITELE ROZHODNUTÍ O REGISTRACI</w:t>
      </w:r>
    </w:p>
    <w:bookmarkEnd w:id="11"/>
    <w:p w14:paraId="2E652F1A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73EDBCCA" w:rsidR="00C114FF" w:rsidRPr="00537444" w:rsidRDefault="00344281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37444">
        <w:rPr>
          <w:szCs w:val="22"/>
        </w:rPr>
        <w:t>Ceva</w:t>
      </w:r>
      <w:proofErr w:type="spellEnd"/>
      <w:r w:rsidRPr="00537444">
        <w:rPr>
          <w:szCs w:val="22"/>
        </w:rPr>
        <w:t xml:space="preserve"> </w:t>
      </w:r>
      <w:proofErr w:type="spellStart"/>
      <w:r w:rsidRPr="00537444">
        <w:rPr>
          <w:szCs w:val="22"/>
        </w:rPr>
        <w:t>Santé</w:t>
      </w:r>
      <w:proofErr w:type="spellEnd"/>
      <w:r w:rsidRPr="00537444">
        <w:rPr>
          <w:szCs w:val="22"/>
        </w:rPr>
        <w:t xml:space="preserve"> Animale</w:t>
      </w:r>
    </w:p>
    <w:p w14:paraId="285EE22C" w14:textId="77777777" w:rsidR="00344281" w:rsidRPr="00537444" w:rsidRDefault="003442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537444" w:rsidRDefault="00C76DD3" w:rsidP="00B13B6D">
      <w:pPr>
        <w:pStyle w:val="Style1"/>
      </w:pPr>
      <w:r w:rsidRPr="00537444">
        <w:t>7.</w:t>
      </w:r>
      <w:r w:rsidRPr="00537444">
        <w:tab/>
        <w:t>REGISTRAČNÍ ČÍSLO(A)</w:t>
      </w:r>
    </w:p>
    <w:p w14:paraId="1FA2C56F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A5A246" w14:textId="77777777" w:rsidR="00344281" w:rsidRPr="00537444" w:rsidRDefault="00344281" w:rsidP="00344281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537444">
        <w:rPr>
          <w:color w:val="000000"/>
          <w:szCs w:val="22"/>
          <w:lang w:eastAsia="sk-SK"/>
        </w:rPr>
        <w:t>96/001/</w:t>
      </w:r>
      <w:proofErr w:type="gramStart"/>
      <w:r w:rsidRPr="00537444">
        <w:rPr>
          <w:color w:val="000000"/>
          <w:szCs w:val="22"/>
          <w:lang w:eastAsia="sk-SK"/>
        </w:rPr>
        <w:t>16-C</w:t>
      </w:r>
      <w:proofErr w:type="gramEnd"/>
    </w:p>
    <w:p w14:paraId="427D05E5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C3D9FA" w14:textId="77777777" w:rsidR="00344281" w:rsidRPr="00537444" w:rsidRDefault="003442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537444" w:rsidRDefault="00C76DD3" w:rsidP="00B13B6D">
      <w:pPr>
        <w:pStyle w:val="Style1"/>
      </w:pPr>
      <w:bookmarkStart w:id="12" w:name="_Hlk127277187"/>
      <w:r w:rsidRPr="00537444">
        <w:t>8.</w:t>
      </w:r>
      <w:r w:rsidRPr="00537444">
        <w:tab/>
        <w:t>DATUM PRVNÍ REGISTRACE</w:t>
      </w:r>
    </w:p>
    <w:bookmarkEnd w:id="12"/>
    <w:p w14:paraId="3863C575" w14:textId="77777777" w:rsidR="00C114FF" w:rsidRPr="005374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537444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FDDBA70" w:rsidR="00C114FF" w:rsidRPr="00537444" w:rsidRDefault="00C76DD3" w:rsidP="00A9226B">
      <w:pPr>
        <w:tabs>
          <w:tab w:val="clear" w:pos="567"/>
        </w:tabs>
        <w:spacing w:line="240" w:lineRule="auto"/>
        <w:rPr>
          <w:szCs w:val="22"/>
        </w:rPr>
      </w:pPr>
      <w:r w:rsidRPr="00537444">
        <w:t>Datum první registrace:</w:t>
      </w:r>
      <w:r w:rsidR="00344281" w:rsidRPr="00537444">
        <w:t xml:space="preserve"> </w:t>
      </w:r>
      <w:r w:rsidR="00344281" w:rsidRPr="00537444">
        <w:rPr>
          <w:szCs w:val="22"/>
        </w:rPr>
        <w:t>4. 1. 2016</w:t>
      </w:r>
    </w:p>
    <w:p w14:paraId="6E98A2F6" w14:textId="77777777" w:rsidR="00D65777" w:rsidRPr="00537444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537444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537444" w:rsidRDefault="00C76DD3" w:rsidP="00B13B6D">
      <w:pPr>
        <w:pStyle w:val="Style1"/>
      </w:pPr>
      <w:bookmarkStart w:id="13" w:name="_Hlk127277204"/>
      <w:r w:rsidRPr="00537444">
        <w:t>9.</w:t>
      </w:r>
      <w:r w:rsidRPr="00537444">
        <w:tab/>
        <w:t>DATUM POSLEDNÍ AKTUALIZACE SOUHRNU ÚDAJŮ O PŘÍPRAVKU</w:t>
      </w:r>
    </w:p>
    <w:bookmarkEnd w:id="13"/>
    <w:p w14:paraId="30326986" w14:textId="77777777" w:rsidR="00C114FF" w:rsidRPr="005374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5C749A4C" w:rsidR="00C114FF" w:rsidRPr="00537444" w:rsidRDefault="00D55F3E" w:rsidP="00A9226B">
      <w:pPr>
        <w:tabs>
          <w:tab w:val="clear" w:pos="567"/>
        </w:tabs>
        <w:spacing w:line="240" w:lineRule="auto"/>
        <w:rPr>
          <w:szCs w:val="22"/>
        </w:rPr>
      </w:pPr>
      <w:r>
        <w:t>02/2025</w:t>
      </w:r>
    </w:p>
    <w:p w14:paraId="224434F8" w14:textId="77777777" w:rsidR="0078538F" w:rsidRPr="00537444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537444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537444" w:rsidRDefault="00C76DD3" w:rsidP="00127F35">
      <w:pPr>
        <w:pStyle w:val="Style1"/>
      </w:pPr>
      <w:bookmarkStart w:id="14" w:name="_Hlk127277223"/>
      <w:r w:rsidRPr="00537444">
        <w:t>10.</w:t>
      </w:r>
      <w:r w:rsidRPr="00537444">
        <w:tab/>
        <w:t>KLASIFIKACE VETERINÁRNÍCH LÉČIVÝCH PŘÍPRAVKŮ</w:t>
      </w:r>
    </w:p>
    <w:bookmarkEnd w:id="14"/>
    <w:p w14:paraId="1F12B426" w14:textId="77777777" w:rsidR="0078538F" w:rsidRPr="00537444" w:rsidRDefault="0078538F" w:rsidP="00127F35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7A6EFCD" w:rsidR="0078538F" w:rsidRPr="00537444" w:rsidRDefault="00C76DD3" w:rsidP="00127F35">
      <w:pPr>
        <w:numPr>
          <w:ilvl w:val="12"/>
          <w:numId w:val="0"/>
        </w:numPr>
        <w:rPr>
          <w:szCs w:val="22"/>
        </w:rPr>
      </w:pPr>
      <w:bookmarkStart w:id="15" w:name="_Hlk127277247"/>
      <w:r w:rsidRPr="00537444">
        <w:t>Veterinární léčivý přípravek je vydáván pouze na předpis.</w:t>
      </w:r>
      <w:bookmarkEnd w:id="15"/>
    </w:p>
    <w:p w14:paraId="05E12133" w14:textId="77777777" w:rsidR="0078538F" w:rsidRPr="00537444" w:rsidRDefault="0078538F" w:rsidP="00127F35">
      <w:pPr>
        <w:rPr>
          <w:szCs w:val="22"/>
        </w:rPr>
      </w:pPr>
    </w:p>
    <w:p w14:paraId="28C35B4C" w14:textId="5D07ABCB" w:rsidR="0078538F" w:rsidRPr="00537444" w:rsidRDefault="00C76DD3" w:rsidP="00127F35">
      <w:pPr>
        <w:rPr>
          <w:i/>
          <w:szCs w:val="22"/>
        </w:rPr>
      </w:pPr>
      <w:bookmarkStart w:id="16" w:name="_Hlk73467306"/>
      <w:r w:rsidRPr="00537444">
        <w:t xml:space="preserve">Podrobné informace o tomto veterinárním léčivém přípravku jsou k dispozici v databázi přípravků Unie </w:t>
      </w:r>
      <w:r w:rsidRPr="00537444">
        <w:rPr>
          <w:szCs w:val="22"/>
        </w:rPr>
        <w:t>(</w:t>
      </w:r>
      <w:hyperlink r:id="rId8" w:history="1">
        <w:r w:rsidRPr="00537444">
          <w:rPr>
            <w:rStyle w:val="Hypertextovodkaz"/>
            <w:szCs w:val="22"/>
          </w:rPr>
          <w:t>https://medicines.health.europa.eu/veterinary</w:t>
        </w:r>
      </w:hyperlink>
      <w:r w:rsidRPr="00537444">
        <w:rPr>
          <w:szCs w:val="22"/>
        </w:rPr>
        <w:t>)</w:t>
      </w:r>
      <w:r w:rsidRPr="00537444">
        <w:rPr>
          <w:i/>
          <w:szCs w:val="22"/>
        </w:rPr>
        <w:t>.</w:t>
      </w:r>
    </w:p>
    <w:p w14:paraId="3988A478" w14:textId="77777777" w:rsidR="002977CC" w:rsidRPr="00537444" w:rsidRDefault="002977CC" w:rsidP="00127F35">
      <w:pPr>
        <w:rPr>
          <w:i/>
          <w:szCs w:val="22"/>
        </w:rPr>
      </w:pPr>
    </w:p>
    <w:p w14:paraId="23399C39" w14:textId="7686A0EC" w:rsidR="002977CC" w:rsidRPr="00537444" w:rsidRDefault="002977CC" w:rsidP="00127F35">
      <w:pPr>
        <w:rPr>
          <w:szCs w:val="22"/>
        </w:rPr>
      </w:pPr>
      <w:r w:rsidRPr="00537444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537444">
          <w:rPr>
            <w:rStyle w:val="Hypertextovodkaz"/>
          </w:rPr>
          <w:t>https://www.uskvbl.cz</w:t>
        </w:r>
      </w:hyperlink>
      <w:r w:rsidRPr="00537444">
        <w:rPr>
          <w:rStyle w:val="markedcontent"/>
        </w:rPr>
        <w:t>).</w:t>
      </w:r>
    </w:p>
    <w:bookmarkEnd w:id="16"/>
    <w:p w14:paraId="72BBFD3F" w14:textId="39CB50FA" w:rsidR="005F346D" w:rsidRPr="00537444" w:rsidRDefault="005F346D" w:rsidP="00127F35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537444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639A4" w14:textId="77777777" w:rsidR="0008292B" w:rsidRDefault="0008292B">
      <w:pPr>
        <w:spacing w:line="240" w:lineRule="auto"/>
      </w:pPr>
      <w:r>
        <w:separator/>
      </w:r>
    </w:p>
  </w:endnote>
  <w:endnote w:type="continuationSeparator" w:id="0">
    <w:p w14:paraId="3D4A6D72" w14:textId="77777777" w:rsidR="0008292B" w:rsidRDefault="0008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76D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76D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284BC" w14:textId="77777777" w:rsidR="0008292B" w:rsidRDefault="0008292B">
      <w:pPr>
        <w:spacing w:line="240" w:lineRule="auto"/>
      </w:pPr>
      <w:r>
        <w:separator/>
      </w:r>
    </w:p>
  </w:footnote>
  <w:footnote w:type="continuationSeparator" w:id="0">
    <w:p w14:paraId="0832DC03" w14:textId="77777777" w:rsidR="0008292B" w:rsidRDefault="00082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C1A3" w14:textId="1770901A" w:rsidR="006B3811" w:rsidRDefault="006B3811" w:rsidP="006B3811">
    <w:r>
      <w:t xml:space="preserve"> </w:t>
    </w:r>
  </w:p>
  <w:p w14:paraId="6E902EAB" w14:textId="77777777" w:rsidR="006B3811" w:rsidRDefault="006B38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27B88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292B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0D6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BAE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F35"/>
    <w:rsid w:val="001342E1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8F9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69D1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B3B"/>
    <w:rsid w:val="002E0CD4"/>
    <w:rsid w:val="002E3A90"/>
    <w:rsid w:val="002E46CC"/>
    <w:rsid w:val="002E4954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281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15A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44CE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167C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5EFA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4B1E"/>
    <w:rsid w:val="00506AAE"/>
    <w:rsid w:val="00507E22"/>
    <w:rsid w:val="00517756"/>
    <w:rsid w:val="005202C6"/>
    <w:rsid w:val="00523C53"/>
    <w:rsid w:val="005272F4"/>
    <w:rsid w:val="00527B8F"/>
    <w:rsid w:val="00536031"/>
    <w:rsid w:val="005367DB"/>
    <w:rsid w:val="00537444"/>
    <w:rsid w:val="0054134B"/>
    <w:rsid w:val="00542012"/>
    <w:rsid w:val="00543DF5"/>
    <w:rsid w:val="00545A61"/>
    <w:rsid w:val="0055260D"/>
    <w:rsid w:val="00555422"/>
    <w:rsid w:val="00555810"/>
    <w:rsid w:val="00556BE3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71F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3811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3D58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1F5F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01C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413"/>
    <w:rsid w:val="00BB2539"/>
    <w:rsid w:val="00BB4CE2"/>
    <w:rsid w:val="00BB5EF0"/>
    <w:rsid w:val="00BB6724"/>
    <w:rsid w:val="00BC0B87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488C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DD3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3F74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5F3E"/>
    <w:rsid w:val="00D606B2"/>
    <w:rsid w:val="00D625A7"/>
    <w:rsid w:val="00D63575"/>
    <w:rsid w:val="00D63A92"/>
    <w:rsid w:val="00D64074"/>
    <w:rsid w:val="00D64EAD"/>
    <w:rsid w:val="00D65777"/>
    <w:rsid w:val="00D728A0"/>
    <w:rsid w:val="00D74018"/>
    <w:rsid w:val="00D83661"/>
    <w:rsid w:val="00D9216A"/>
    <w:rsid w:val="00D9304C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3097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46F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5E2B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81A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179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BFF4-9036-4456-826C-27EA134E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2133</Words>
  <Characters>12588</Characters>
  <Application>Microsoft Office Word</Application>
  <DocSecurity>0</DocSecurity>
  <Lines>104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30</cp:revision>
  <cp:lastPrinted>2025-02-24T12:52:00Z</cp:lastPrinted>
  <dcterms:created xsi:type="dcterms:W3CDTF">2022-10-26T09:20:00Z</dcterms:created>
  <dcterms:modified xsi:type="dcterms:W3CDTF">2025-02-24T12:52:00Z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