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p>
    <w:p w:rsidR="00422063" w:rsidRPr="00282C4B" w:rsidRDefault="00422063" w:rsidP="00422063">
      <w:pPr>
        <w:jc w:val="center"/>
        <w:outlineLvl w:val="0"/>
        <w:rPr>
          <w:b/>
          <w:szCs w:val="22"/>
        </w:rPr>
      </w:pPr>
      <w:r w:rsidRPr="00282C4B">
        <w:rPr>
          <w:b/>
          <w:szCs w:val="22"/>
        </w:rPr>
        <w:t>PŘÍLOHA 1</w:t>
      </w:r>
    </w:p>
    <w:p w:rsidR="00422063" w:rsidRPr="00282C4B" w:rsidRDefault="00422063" w:rsidP="00422063">
      <w:pPr>
        <w:jc w:val="center"/>
        <w:rPr>
          <w:b/>
          <w:szCs w:val="22"/>
        </w:rPr>
      </w:pPr>
    </w:p>
    <w:p w:rsidR="00422063" w:rsidRPr="00282C4B" w:rsidRDefault="00422063" w:rsidP="00422063">
      <w:pPr>
        <w:jc w:val="center"/>
        <w:outlineLvl w:val="0"/>
        <w:rPr>
          <w:b/>
          <w:szCs w:val="22"/>
        </w:rPr>
      </w:pPr>
      <w:r w:rsidRPr="00282C4B">
        <w:rPr>
          <w:b/>
          <w:szCs w:val="22"/>
        </w:rPr>
        <w:t>SOUHRN ÚDAJŮ O PŘÍPRAVKU</w:t>
      </w:r>
    </w:p>
    <w:p w:rsidR="00422063" w:rsidRPr="00282C4B" w:rsidRDefault="00422063" w:rsidP="00422063">
      <w:pPr>
        <w:jc w:val="center"/>
        <w:rPr>
          <w:szCs w:val="22"/>
        </w:rPr>
      </w:pPr>
    </w:p>
    <w:p w:rsidR="00422063" w:rsidRPr="00282C4B" w:rsidRDefault="00422063" w:rsidP="00422063">
      <w:pPr>
        <w:jc w:val="both"/>
        <w:outlineLvl w:val="0"/>
        <w:rPr>
          <w:b/>
          <w:szCs w:val="22"/>
        </w:rPr>
      </w:pPr>
      <w:r w:rsidRPr="00282C4B">
        <w:rPr>
          <w:b/>
          <w:szCs w:val="22"/>
        </w:rPr>
        <w:br w:type="page"/>
      </w:r>
      <w:r w:rsidRPr="00282C4B">
        <w:rPr>
          <w:b/>
          <w:szCs w:val="22"/>
        </w:rPr>
        <w:lastRenderedPageBreak/>
        <w:t>1.</w:t>
      </w:r>
      <w:r w:rsidRPr="00282C4B">
        <w:rPr>
          <w:b/>
          <w:szCs w:val="22"/>
        </w:rPr>
        <w:tab/>
        <w:t>NÁZEV VETERINÁRNÍHO LÉČIVÉHO PŘÍPRAVKU</w:t>
      </w:r>
    </w:p>
    <w:p w:rsidR="00422063" w:rsidRPr="00282C4B" w:rsidRDefault="00422063" w:rsidP="00422063">
      <w:pPr>
        <w:jc w:val="both"/>
        <w:outlineLvl w:val="0"/>
        <w:rPr>
          <w:szCs w:val="22"/>
        </w:rPr>
      </w:pPr>
    </w:p>
    <w:p w:rsidR="00422063" w:rsidRPr="001B10ED" w:rsidRDefault="00422063" w:rsidP="00422063">
      <w:pPr>
        <w:jc w:val="both"/>
        <w:rPr>
          <w:szCs w:val="22"/>
        </w:rPr>
      </w:pPr>
      <w:proofErr w:type="spellStart"/>
      <w:r w:rsidRPr="00282C4B">
        <w:rPr>
          <w:szCs w:val="22"/>
        </w:rPr>
        <w:t>Baycox</w:t>
      </w:r>
      <w:proofErr w:type="spellEnd"/>
      <w:r w:rsidRPr="00BF75E8">
        <w:rPr>
          <w:szCs w:val="22"/>
        </w:rPr>
        <w:t xml:space="preserve"> </w:t>
      </w:r>
      <w:proofErr w:type="spellStart"/>
      <w:r w:rsidRPr="00490450">
        <w:rPr>
          <w:szCs w:val="22"/>
        </w:rPr>
        <w:t>Multi</w:t>
      </w:r>
      <w:proofErr w:type="spellEnd"/>
      <w:r w:rsidRPr="00490450">
        <w:rPr>
          <w:szCs w:val="22"/>
        </w:rPr>
        <w:t xml:space="preserve"> 50 mg/ml perorální suspenze pro skot, prasata </w:t>
      </w:r>
      <w:r w:rsidRPr="00710826">
        <w:rPr>
          <w:szCs w:val="22"/>
        </w:rPr>
        <w:t>a ovce</w:t>
      </w:r>
    </w:p>
    <w:p w:rsidR="00422063" w:rsidRPr="001B10ED" w:rsidRDefault="00422063" w:rsidP="00422063">
      <w:pPr>
        <w:jc w:val="both"/>
        <w:rPr>
          <w:szCs w:val="22"/>
        </w:rPr>
      </w:pPr>
    </w:p>
    <w:p w:rsidR="00422063" w:rsidRPr="001B10ED" w:rsidRDefault="00422063" w:rsidP="00422063">
      <w:pPr>
        <w:jc w:val="both"/>
        <w:rPr>
          <w:szCs w:val="22"/>
        </w:rPr>
      </w:pPr>
    </w:p>
    <w:p w:rsidR="00422063" w:rsidRPr="001B10ED" w:rsidRDefault="00422063" w:rsidP="00422063">
      <w:pPr>
        <w:jc w:val="both"/>
        <w:outlineLvl w:val="0"/>
        <w:rPr>
          <w:szCs w:val="22"/>
        </w:rPr>
      </w:pPr>
      <w:r w:rsidRPr="001B10ED">
        <w:rPr>
          <w:b/>
          <w:szCs w:val="22"/>
        </w:rPr>
        <w:t>2.</w:t>
      </w:r>
      <w:r w:rsidRPr="001B10ED">
        <w:rPr>
          <w:b/>
          <w:szCs w:val="22"/>
        </w:rPr>
        <w:tab/>
        <w:t xml:space="preserve">KVALITATIVNÍ A KVANTITATIVNÍ SLOŽENÍ </w:t>
      </w:r>
    </w:p>
    <w:p w:rsidR="00422063" w:rsidRPr="001B10ED" w:rsidRDefault="00422063" w:rsidP="00422063">
      <w:pPr>
        <w:jc w:val="both"/>
        <w:rPr>
          <w:szCs w:val="22"/>
        </w:rPr>
      </w:pPr>
    </w:p>
    <w:p w:rsidR="00422063" w:rsidRPr="001B10ED" w:rsidRDefault="00422063" w:rsidP="00422063">
      <w:pPr>
        <w:jc w:val="both"/>
        <w:rPr>
          <w:szCs w:val="22"/>
        </w:rPr>
      </w:pPr>
      <w:r w:rsidRPr="001B10ED">
        <w:rPr>
          <w:szCs w:val="22"/>
        </w:rPr>
        <w:t xml:space="preserve">Každý ml obsahuje: </w:t>
      </w:r>
    </w:p>
    <w:p w:rsidR="00422063" w:rsidRPr="001B10ED" w:rsidRDefault="00422063" w:rsidP="00422063">
      <w:pPr>
        <w:jc w:val="both"/>
        <w:rPr>
          <w:szCs w:val="22"/>
        </w:rPr>
      </w:pPr>
    </w:p>
    <w:p w:rsidR="00422063" w:rsidRPr="001B10ED" w:rsidRDefault="00422063" w:rsidP="00422063">
      <w:pPr>
        <w:jc w:val="both"/>
        <w:outlineLvl w:val="0"/>
        <w:rPr>
          <w:szCs w:val="22"/>
        </w:rPr>
      </w:pPr>
      <w:r w:rsidRPr="001B10ED">
        <w:rPr>
          <w:b/>
          <w:szCs w:val="22"/>
        </w:rPr>
        <w:t>Léčivá(é) látka(y)</w:t>
      </w:r>
      <w:r w:rsidRPr="001B10ED">
        <w:rPr>
          <w:szCs w:val="22"/>
        </w:rPr>
        <w:t>:</w:t>
      </w:r>
    </w:p>
    <w:p w:rsidR="00422063" w:rsidRPr="001B10ED" w:rsidRDefault="00422063" w:rsidP="00422063">
      <w:pPr>
        <w:jc w:val="both"/>
        <w:outlineLvl w:val="0"/>
        <w:rPr>
          <w:szCs w:val="22"/>
        </w:rPr>
      </w:pPr>
    </w:p>
    <w:p w:rsidR="00422063" w:rsidRPr="00F0024C" w:rsidRDefault="00422063" w:rsidP="00422063">
      <w:pPr>
        <w:jc w:val="both"/>
        <w:rPr>
          <w:iCs/>
          <w:szCs w:val="22"/>
        </w:rPr>
      </w:pPr>
      <w:proofErr w:type="spellStart"/>
      <w:r w:rsidRPr="001B10ED">
        <w:rPr>
          <w:szCs w:val="22"/>
        </w:rPr>
        <w:t>Toltrazurilum</w:t>
      </w:r>
      <w:proofErr w:type="spellEnd"/>
      <w:r w:rsidRPr="001B10ED">
        <w:rPr>
          <w:szCs w:val="22"/>
        </w:rPr>
        <w:tab/>
      </w:r>
      <w:r w:rsidRPr="001B10ED">
        <w:rPr>
          <w:szCs w:val="22"/>
        </w:rPr>
        <w:tab/>
      </w:r>
      <w:r w:rsidRPr="001B10ED">
        <w:rPr>
          <w:szCs w:val="22"/>
        </w:rPr>
        <w:tab/>
      </w:r>
      <w:r w:rsidRPr="001B10ED">
        <w:rPr>
          <w:szCs w:val="22"/>
        </w:rPr>
        <w:tab/>
        <w:t>50</w:t>
      </w:r>
      <w:r w:rsidRPr="00F0024C">
        <w:rPr>
          <w:szCs w:val="22"/>
        </w:rPr>
        <w:t xml:space="preserve"> mg</w:t>
      </w:r>
    </w:p>
    <w:p w:rsidR="00422063" w:rsidRPr="00F0024C" w:rsidRDefault="00422063" w:rsidP="00422063">
      <w:pPr>
        <w:jc w:val="both"/>
        <w:rPr>
          <w:szCs w:val="22"/>
        </w:rPr>
      </w:pPr>
    </w:p>
    <w:p w:rsidR="00422063" w:rsidRPr="00BF401C" w:rsidRDefault="00422063" w:rsidP="00422063">
      <w:pPr>
        <w:jc w:val="both"/>
        <w:outlineLvl w:val="0"/>
        <w:rPr>
          <w:b/>
          <w:szCs w:val="22"/>
        </w:rPr>
      </w:pPr>
      <w:r w:rsidRPr="00BF401C">
        <w:rPr>
          <w:b/>
          <w:szCs w:val="22"/>
        </w:rPr>
        <w:t>Pomocné látky:</w:t>
      </w:r>
    </w:p>
    <w:p w:rsidR="00422063" w:rsidRPr="00BF401C" w:rsidRDefault="00422063" w:rsidP="00422063">
      <w:pPr>
        <w:jc w:val="both"/>
        <w:outlineLvl w:val="0"/>
        <w:rPr>
          <w:b/>
          <w:szCs w:val="22"/>
        </w:rPr>
      </w:pPr>
    </w:p>
    <w:p w:rsidR="00422063" w:rsidRPr="00BF401C" w:rsidRDefault="00422063" w:rsidP="00422063">
      <w:pPr>
        <w:ind w:left="0" w:firstLine="0"/>
        <w:jc w:val="both"/>
        <w:rPr>
          <w:szCs w:val="22"/>
        </w:rPr>
      </w:pPr>
      <w:r w:rsidRPr="00BF401C">
        <w:rPr>
          <w:szCs w:val="22"/>
        </w:rPr>
        <w:t>Natrium-benzoát (E 211)</w:t>
      </w:r>
      <w:r w:rsidRPr="00BF401C">
        <w:rPr>
          <w:szCs w:val="22"/>
        </w:rPr>
        <w:tab/>
      </w:r>
      <w:r w:rsidRPr="00BF401C">
        <w:rPr>
          <w:szCs w:val="22"/>
        </w:rPr>
        <w:tab/>
      </w:r>
      <w:proofErr w:type="gramStart"/>
      <w:r w:rsidRPr="00BF401C">
        <w:rPr>
          <w:szCs w:val="22"/>
        </w:rPr>
        <w:tab/>
        <w:t xml:space="preserve">  2</w:t>
      </w:r>
      <w:proofErr w:type="gramEnd"/>
      <w:r w:rsidRPr="00BF401C">
        <w:rPr>
          <w:szCs w:val="22"/>
        </w:rPr>
        <w:t xml:space="preserve">,1 mg </w:t>
      </w:r>
    </w:p>
    <w:p w:rsidR="00422063" w:rsidRPr="00BF401C" w:rsidRDefault="00422063" w:rsidP="00422063">
      <w:pPr>
        <w:ind w:left="0" w:firstLine="0"/>
        <w:jc w:val="both"/>
        <w:rPr>
          <w:szCs w:val="22"/>
        </w:rPr>
      </w:pPr>
      <w:r w:rsidRPr="00BF401C">
        <w:rPr>
          <w:szCs w:val="22"/>
        </w:rPr>
        <w:t>Natrium-propionát (E 281)</w:t>
      </w:r>
      <w:r w:rsidRPr="00BF401C">
        <w:rPr>
          <w:szCs w:val="22"/>
        </w:rPr>
        <w:tab/>
      </w:r>
      <w:proofErr w:type="gramStart"/>
      <w:r w:rsidRPr="00BF401C">
        <w:rPr>
          <w:szCs w:val="22"/>
        </w:rPr>
        <w:tab/>
        <w:t xml:space="preserve">  2</w:t>
      </w:r>
      <w:proofErr w:type="gramEnd"/>
      <w:r w:rsidRPr="00BF401C">
        <w:rPr>
          <w:szCs w:val="22"/>
        </w:rPr>
        <w:t>,1 mg</w:t>
      </w:r>
    </w:p>
    <w:p w:rsidR="00422063" w:rsidRPr="00BF401C" w:rsidRDefault="00422063" w:rsidP="00422063">
      <w:pPr>
        <w:ind w:left="0" w:firstLine="0"/>
        <w:jc w:val="both"/>
        <w:rPr>
          <w:szCs w:val="22"/>
        </w:rPr>
      </w:pPr>
    </w:p>
    <w:p w:rsidR="00422063" w:rsidRPr="00BF401C" w:rsidRDefault="00422063" w:rsidP="00422063">
      <w:pPr>
        <w:ind w:left="0" w:firstLine="0"/>
        <w:jc w:val="both"/>
        <w:outlineLvl w:val="0"/>
        <w:rPr>
          <w:szCs w:val="22"/>
        </w:rPr>
      </w:pPr>
      <w:r w:rsidRPr="00BF401C">
        <w:rPr>
          <w:szCs w:val="22"/>
        </w:rPr>
        <w:t>Úplný seznam pomocných látek viz bod 6.1.</w:t>
      </w:r>
    </w:p>
    <w:p w:rsidR="00422063" w:rsidRPr="00BF401C" w:rsidRDefault="00422063" w:rsidP="00422063">
      <w:pPr>
        <w:jc w:val="both"/>
        <w:rPr>
          <w:szCs w:val="22"/>
        </w:rPr>
      </w:pPr>
    </w:p>
    <w:p w:rsidR="00422063" w:rsidRPr="00BF401C" w:rsidRDefault="00422063" w:rsidP="00422063">
      <w:pPr>
        <w:jc w:val="both"/>
        <w:rPr>
          <w:szCs w:val="22"/>
        </w:rPr>
      </w:pPr>
    </w:p>
    <w:p w:rsidR="00422063" w:rsidRPr="00BF401C" w:rsidRDefault="00422063" w:rsidP="00422063">
      <w:pPr>
        <w:jc w:val="both"/>
        <w:outlineLvl w:val="0"/>
        <w:rPr>
          <w:b/>
          <w:szCs w:val="22"/>
        </w:rPr>
      </w:pPr>
      <w:r w:rsidRPr="00BF401C">
        <w:rPr>
          <w:b/>
          <w:szCs w:val="22"/>
        </w:rPr>
        <w:t>3.</w:t>
      </w:r>
      <w:r w:rsidRPr="00BF401C">
        <w:rPr>
          <w:b/>
          <w:szCs w:val="22"/>
        </w:rPr>
        <w:tab/>
        <w:t>LÉKOVÁ FORMA</w:t>
      </w:r>
    </w:p>
    <w:p w:rsidR="00422063" w:rsidRPr="00BF401C" w:rsidRDefault="00422063" w:rsidP="00422063">
      <w:pPr>
        <w:jc w:val="both"/>
        <w:outlineLvl w:val="0"/>
        <w:rPr>
          <w:szCs w:val="22"/>
        </w:rPr>
      </w:pPr>
    </w:p>
    <w:p w:rsidR="00422063" w:rsidRPr="001B10ED" w:rsidRDefault="00422063" w:rsidP="00422063">
      <w:pPr>
        <w:jc w:val="both"/>
        <w:rPr>
          <w:szCs w:val="22"/>
        </w:rPr>
      </w:pPr>
      <w:r w:rsidRPr="00BF401C">
        <w:rPr>
          <w:szCs w:val="22"/>
        </w:rPr>
        <w:t>Perorální suspenze</w:t>
      </w:r>
    </w:p>
    <w:p w:rsidR="00422063" w:rsidRPr="001B10ED" w:rsidRDefault="00422063" w:rsidP="00422063">
      <w:pPr>
        <w:jc w:val="both"/>
        <w:rPr>
          <w:szCs w:val="22"/>
        </w:rPr>
      </w:pPr>
      <w:r w:rsidRPr="001B10ED">
        <w:rPr>
          <w:szCs w:val="22"/>
        </w:rPr>
        <w:t>Bílá nebo nažloutlá suspenze</w:t>
      </w:r>
    </w:p>
    <w:p w:rsidR="00422063" w:rsidRPr="001B10ED" w:rsidRDefault="00422063" w:rsidP="00422063">
      <w:pPr>
        <w:jc w:val="both"/>
        <w:rPr>
          <w:szCs w:val="22"/>
        </w:rPr>
      </w:pPr>
    </w:p>
    <w:p w:rsidR="00422063" w:rsidRPr="001B10ED" w:rsidRDefault="00422063" w:rsidP="00422063">
      <w:pPr>
        <w:jc w:val="both"/>
        <w:rPr>
          <w:szCs w:val="22"/>
        </w:rPr>
      </w:pPr>
    </w:p>
    <w:p w:rsidR="00422063" w:rsidRPr="001B10ED" w:rsidRDefault="00422063" w:rsidP="00422063">
      <w:pPr>
        <w:jc w:val="both"/>
        <w:outlineLvl w:val="0"/>
        <w:rPr>
          <w:b/>
          <w:szCs w:val="22"/>
        </w:rPr>
      </w:pPr>
      <w:r w:rsidRPr="001B10ED">
        <w:rPr>
          <w:b/>
          <w:szCs w:val="22"/>
        </w:rPr>
        <w:t>4.</w:t>
      </w:r>
      <w:r w:rsidRPr="001B10ED">
        <w:rPr>
          <w:b/>
          <w:szCs w:val="22"/>
        </w:rPr>
        <w:tab/>
        <w:t>KLINICKÉ ÚDAJE</w:t>
      </w:r>
    </w:p>
    <w:p w:rsidR="00422063" w:rsidRPr="001B10ED" w:rsidRDefault="00422063" w:rsidP="00422063">
      <w:pPr>
        <w:jc w:val="both"/>
        <w:rPr>
          <w:szCs w:val="22"/>
        </w:rPr>
      </w:pPr>
    </w:p>
    <w:p w:rsidR="00422063" w:rsidRPr="001B10ED" w:rsidRDefault="00422063" w:rsidP="00422063">
      <w:pPr>
        <w:jc w:val="both"/>
        <w:outlineLvl w:val="0"/>
        <w:rPr>
          <w:b/>
          <w:szCs w:val="22"/>
        </w:rPr>
      </w:pPr>
      <w:r w:rsidRPr="001B10ED">
        <w:rPr>
          <w:b/>
          <w:szCs w:val="22"/>
        </w:rPr>
        <w:t>4.1</w:t>
      </w:r>
      <w:r w:rsidRPr="001B10ED">
        <w:rPr>
          <w:b/>
          <w:szCs w:val="22"/>
        </w:rPr>
        <w:tab/>
        <w:t>Cílové druhy zvířat</w:t>
      </w:r>
    </w:p>
    <w:p w:rsidR="00422063" w:rsidRPr="001B10ED" w:rsidRDefault="00422063" w:rsidP="00422063">
      <w:pPr>
        <w:jc w:val="both"/>
        <w:rPr>
          <w:b/>
          <w:szCs w:val="22"/>
        </w:rPr>
      </w:pPr>
    </w:p>
    <w:p w:rsidR="00422063" w:rsidRPr="001B10ED" w:rsidRDefault="00422063" w:rsidP="00422063">
      <w:pPr>
        <w:ind w:left="0" w:firstLine="0"/>
        <w:jc w:val="both"/>
        <w:outlineLvl w:val="0"/>
        <w:rPr>
          <w:szCs w:val="22"/>
        </w:rPr>
      </w:pPr>
      <w:r w:rsidRPr="001B10ED">
        <w:rPr>
          <w:szCs w:val="22"/>
        </w:rPr>
        <w:t>Skot (telata: telata mléčných plemen skotu, která nejsou určena k jatečným účelům, telata masných plemen skotu určených k chovu a býčci určení k jatečným účelům), prasata (selata ve stáří 3-5 dní), ovce (jehňata)</w:t>
      </w:r>
    </w:p>
    <w:p w:rsidR="00422063" w:rsidRPr="001B10ED" w:rsidRDefault="00422063" w:rsidP="00422063">
      <w:pPr>
        <w:jc w:val="both"/>
        <w:rPr>
          <w:szCs w:val="22"/>
        </w:rPr>
      </w:pPr>
    </w:p>
    <w:p w:rsidR="00422063" w:rsidRPr="001B10ED" w:rsidRDefault="00422063" w:rsidP="00422063">
      <w:pPr>
        <w:jc w:val="both"/>
        <w:outlineLvl w:val="0"/>
        <w:rPr>
          <w:b/>
          <w:szCs w:val="22"/>
        </w:rPr>
      </w:pPr>
      <w:r w:rsidRPr="001B10ED">
        <w:rPr>
          <w:b/>
          <w:szCs w:val="22"/>
        </w:rPr>
        <w:t>4.2</w:t>
      </w:r>
      <w:r w:rsidRPr="001B10ED">
        <w:rPr>
          <w:b/>
          <w:szCs w:val="22"/>
        </w:rPr>
        <w:tab/>
        <w:t>Indikace s upřesněním pro cílový druh zvířat</w:t>
      </w:r>
    </w:p>
    <w:p w:rsidR="00422063" w:rsidRPr="001B10ED" w:rsidRDefault="00422063" w:rsidP="00422063">
      <w:pPr>
        <w:ind w:left="0" w:firstLine="0"/>
        <w:jc w:val="both"/>
        <w:outlineLvl w:val="0"/>
        <w:rPr>
          <w:szCs w:val="22"/>
        </w:rPr>
      </w:pPr>
    </w:p>
    <w:p w:rsidR="00422063" w:rsidRPr="001B10ED" w:rsidRDefault="00422063" w:rsidP="00422063">
      <w:pPr>
        <w:tabs>
          <w:tab w:val="left" w:pos="709"/>
        </w:tabs>
        <w:ind w:left="0" w:firstLine="0"/>
        <w:jc w:val="both"/>
        <w:rPr>
          <w:szCs w:val="22"/>
        </w:rPr>
      </w:pPr>
      <w:bookmarkStart w:id="0" w:name="_Hlk84931729"/>
      <w:r w:rsidRPr="001B10ED">
        <w:rPr>
          <w:szCs w:val="22"/>
          <w:u w:val="single"/>
        </w:rPr>
        <w:t>Skot</w:t>
      </w:r>
      <w:r w:rsidRPr="00B4374B">
        <w:rPr>
          <w:szCs w:val="22"/>
        </w:rPr>
        <w:t xml:space="preserve">: </w:t>
      </w:r>
      <w:r>
        <w:rPr>
          <w:szCs w:val="22"/>
        </w:rPr>
        <w:t>P</w:t>
      </w:r>
      <w:r w:rsidRPr="001B10ED">
        <w:rPr>
          <w:szCs w:val="22"/>
        </w:rPr>
        <w:t>revenc</w:t>
      </w:r>
      <w:r>
        <w:rPr>
          <w:szCs w:val="22"/>
        </w:rPr>
        <w:t>e</w:t>
      </w:r>
      <w:r w:rsidRPr="001B10ED">
        <w:rPr>
          <w:szCs w:val="22"/>
        </w:rPr>
        <w:t xml:space="preserve"> klinických příznaků kokcidiózy a snížení vylučování kokcidií u telat na farmách s potvrzenou anamnézou kokcidiózy vyvolané </w:t>
      </w:r>
      <w:proofErr w:type="spellStart"/>
      <w:r w:rsidRPr="001B10ED">
        <w:rPr>
          <w:i/>
          <w:iCs/>
          <w:szCs w:val="22"/>
        </w:rPr>
        <w:t>Eimeria</w:t>
      </w:r>
      <w:proofErr w:type="spellEnd"/>
      <w:r w:rsidRPr="001B10ED">
        <w:rPr>
          <w:i/>
          <w:iCs/>
          <w:szCs w:val="22"/>
        </w:rPr>
        <w:t xml:space="preserve"> </w:t>
      </w:r>
      <w:proofErr w:type="spellStart"/>
      <w:r w:rsidRPr="001B10ED">
        <w:rPr>
          <w:i/>
          <w:iCs/>
          <w:szCs w:val="22"/>
        </w:rPr>
        <w:t>bovis</w:t>
      </w:r>
      <w:proofErr w:type="spellEnd"/>
      <w:r w:rsidRPr="001B10ED">
        <w:rPr>
          <w:i/>
          <w:iCs/>
          <w:szCs w:val="22"/>
        </w:rPr>
        <w:t xml:space="preserve"> </w:t>
      </w:r>
      <w:r w:rsidRPr="001B10ED">
        <w:rPr>
          <w:szCs w:val="22"/>
        </w:rPr>
        <w:t xml:space="preserve">nebo </w:t>
      </w:r>
      <w:proofErr w:type="spellStart"/>
      <w:r w:rsidRPr="001B10ED">
        <w:rPr>
          <w:i/>
          <w:iCs/>
          <w:szCs w:val="22"/>
        </w:rPr>
        <w:t>Eimeria</w:t>
      </w:r>
      <w:proofErr w:type="spellEnd"/>
      <w:r w:rsidRPr="001B10ED">
        <w:rPr>
          <w:i/>
          <w:iCs/>
          <w:szCs w:val="22"/>
        </w:rPr>
        <w:t xml:space="preserve"> </w:t>
      </w:r>
      <w:proofErr w:type="spellStart"/>
      <w:r w:rsidRPr="001B10ED">
        <w:rPr>
          <w:i/>
          <w:iCs/>
          <w:szCs w:val="22"/>
        </w:rPr>
        <w:t>zuernii</w:t>
      </w:r>
      <w:proofErr w:type="spellEnd"/>
      <w:r w:rsidRPr="001B10ED">
        <w:rPr>
          <w:szCs w:val="22"/>
        </w:rPr>
        <w:t>.</w:t>
      </w:r>
    </w:p>
    <w:p w:rsidR="00422063" w:rsidRPr="001B10ED" w:rsidRDefault="00422063" w:rsidP="00422063">
      <w:pPr>
        <w:ind w:left="0" w:firstLine="0"/>
        <w:jc w:val="both"/>
        <w:rPr>
          <w:b/>
          <w:szCs w:val="22"/>
        </w:rPr>
      </w:pPr>
    </w:p>
    <w:p w:rsidR="00422063" w:rsidRPr="001B10ED" w:rsidRDefault="00422063" w:rsidP="00422063">
      <w:pPr>
        <w:tabs>
          <w:tab w:val="left" w:pos="709"/>
        </w:tabs>
        <w:ind w:left="0" w:firstLine="0"/>
        <w:jc w:val="both"/>
        <w:rPr>
          <w:szCs w:val="22"/>
        </w:rPr>
      </w:pPr>
      <w:r w:rsidRPr="001B10ED">
        <w:rPr>
          <w:szCs w:val="22"/>
          <w:u w:val="single"/>
        </w:rPr>
        <w:t>Prasata:</w:t>
      </w:r>
      <w:r w:rsidRPr="001B10ED">
        <w:rPr>
          <w:szCs w:val="22"/>
        </w:rPr>
        <w:t xml:space="preserve"> Prevence klinických příznaků kokcidiózy u novorozených selat (3-5 dnů stáří) na farmách s potvrzenou anamnézou kokcidiózy vyvolané </w:t>
      </w:r>
      <w:proofErr w:type="spellStart"/>
      <w:r w:rsidRPr="001B10ED">
        <w:rPr>
          <w:i/>
          <w:iCs/>
          <w:szCs w:val="22"/>
        </w:rPr>
        <w:t>Cystoisospora</w:t>
      </w:r>
      <w:proofErr w:type="spellEnd"/>
      <w:r w:rsidRPr="001B10ED">
        <w:rPr>
          <w:i/>
          <w:iCs/>
          <w:szCs w:val="22"/>
        </w:rPr>
        <w:t xml:space="preserve"> </w:t>
      </w:r>
      <w:proofErr w:type="spellStart"/>
      <w:r w:rsidRPr="001B10ED">
        <w:rPr>
          <w:i/>
          <w:szCs w:val="22"/>
        </w:rPr>
        <w:t>suis</w:t>
      </w:r>
      <w:proofErr w:type="spellEnd"/>
      <w:r w:rsidRPr="001B10ED">
        <w:rPr>
          <w:szCs w:val="22"/>
        </w:rPr>
        <w:t>.</w:t>
      </w:r>
    </w:p>
    <w:p w:rsidR="00422063" w:rsidRPr="001B10ED" w:rsidRDefault="00422063" w:rsidP="00422063">
      <w:pPr>
        <w:tabs>
          <w:tab w:val="left" w:pos="709"/>
        </w:tabs>
        <w:ind w:left="0" w:firstLine="0"/>
        <w:jc w:val="both"/>
        <w:rPr>
          <w:szCs w:val="22"/>
        </w:rPr>
      </w:pPr>
    </w:p>
    <w:p w:rsidR="00422063" w:rsidRPr="001B10ED" w:rsidRDefault="00422063" w:rsidP="00422063">
      <w:pPr>
        <w:tabs>
          <w:tab w:val="left" w:pos="709"/>
        </w:tabs>
        <w:ind w:left="0" w:firstLine="0"/>
        <w:jc w:val="both"/>
        <w:rPr>
          <w:szCs w:val="22"/>
          <w:u w:val="single"/>
        </w:rPr>
      </w:pPr>
      <w:r w:rsidRPr="001B10ED">
        <w:rPr>
          <w:szCs w:val="22"/>
          <w:u w:val="single"/>
        </w:rPr>
        <w:t>Ovce:</w:t>
      </w:r>
      <w:r w:rsidRPr="001B10ED">
        <w:rPr>
          <w:szCs w:val="22"/>
        </w:rPr>
        <w:t xml:space="preserve"> Prevence klinických příznaků kokcidiózy a snížení vylučování kokcidií u jehňat na farmách s potvrzenou anamnézou kokcidiózy vyvolané </w:t>
      </w:r>
      <w:proofErr w:type="spellStart"/>
      <w:r w:rsidRPr="001B10ED">
        <w:rPr>
          <w:i/>
          <w:szCs w:val="22"/>
        </w:rPr>
        <w:t>Eimeria</w:t>
      </w:r>
      <w:proofErr w:type="spellEnd"/>
      <w:r w:rsidRPr="001B10ED">
        <w:rPr>
          <w:i/>
          <w:szCs w:val="22"/>
        </w:rPr>
        <w:t xml:space="preserve"> </w:t>
      </w:r>
      <w:proofErr w:type="spellStart"/>
      <w:r w:rsidRPr="001B10ED">
        <w:rPr>
          <w:i/>
          <w:szCs w:val="22"/>
        </w:rPr>
        <w:t>crandallis</w:t>
      </w:r>
      <w:proofErr w:type="spellEnd"/>
      <w:r w:rsidRPr="001B10ED">
        <w:rPr>
          <w:szCs w:val="22"/>
        </w:rPr>
        <w:t xml:space="preserve"> a </w:t>
      </w:r>
      <w:proofErr w:type="spellStart"/>
      <w:r w:rsidRPr="001B10ED">
        <w:rPr>
          <w:i/>
          <w:szCs w:val="22"/>
        </w:rPr>
        <w:t>Eimeria</w:t>
      </w:r>
      <w:proofErr w:type="spellEnd"/>
      <w:r w:rsidRPr="001B10ED">
        <w:rPr>
          <w:i/>
          <w:szCs w:val="22"/>
        </w:rPr>
        <w:t xml:space="preserve"> </w:t>
      </w:r>
      <w:proofErr w:type="spellStart"/>
      <w:r w:rsidRPr="001B10ED">
        <w:rPr>
          <w:i/>
          <w:szCs w:val="22"/>
        </w:rPr>
        <w:t>ovinoidalis</w:t>
      </w:r>
      <w:proofErr w:type="spellEnd"/>
      <w:r w:rsidRPr="001B10ED">
        <w:rPr>
          <w:szCs w:val="22"/>
          <w:u w:val="single"/>
        </w:rPr>
        <w:t>.</w:t>
      </w:r>
    </w:p>
    <w:bookmarkEnd w:id="0"/>
    <w:p w:rsidR="00422063" w:rsidRPr="001B10ED" w:rsidRDefault="00422063" w:rsidP="00422063">
      <w:pPr>
        <w:rPr>
          <w:rFonts w:ascii="Arial" w:hAnsi="Arial" w:cs="Arial"/>
          <w:szCs w:val="22"/>
        </w:rPr>
      </w:pPr>
    </w:p>
    <w:p w:rsidR="00422063" w:rsidRPr="00B4374B" w:rsidRDefault="00422063" w:rsidP="00422063">
      <w:pPr>
        <w:jc w:val="both"/>
        <w:outlineLvl w:val="0"/>
        <w:rPr>
          <w:b/>
          <w:szCs w:val="22"/>
          <w:lang w:val="en-US"/>
        </w:rPr>
      </w:pPr>
      <w:r w:rsidRPr="001B10ED">
        <w:rPr>
          <w:b/>
          <w:szCs w:val="22"/>
        </w:rPr>
        <w:t>4.3</w:t>
      </w:r>
      <w:r w:rsidRPr="001B10ED">
        <w:rPr>
          <w:b/>
          <w:szCs w:val="22"/>
        </w:rPr>
        <w:tab/>
        <w:t xml:space="preserve">Kontraindikace </w:t>
      </w:r>
    </w:p>
    <w:p w:rsidR="00422063" w:rsidRPr="001B10ED" w:rsidRDefault="00422063" w:rsidP="00422063">
      <w:pPr>
        <w:jc w:val="both"/>
        <w:outlineLvl w:val="0"/>
        <w:rPr>
          <w:b/>
          <w:szCs w:val="22"/>
        </w:rPr>
      </w:pPr>
    </w:p>
    <w:p w:rsidR="00422063" w:rsidRPr="00BF401C" w:rsidRDefault="00422063" w:rsidP="00422063">
      <w:pPr>
        <w:ind w:left="0" w:firstLine="0"/>
        <w:jc w:val="both"/>
        <w:outlineLvl w:val="0"/>
        <w:rPr>
          <w:szCs w:val="22"/>
        </w:rPr>
      </w:pPr>
      <w:r w:rsidRPr="001B10ED">
        <w:rPr>
          <w:szCs w:val="22"/>
        </w:rPr>
        <w:t>Nepoužívat v případech</w:t>
      </w:r>
      <w:r w:rsidRPr="00F0024C">
        <w:rPr>
          <w:szCs w:val="22"/>
        </w:rPr>
        <w:t xml:space="preserve"> přecitlivělosti na léčivou látku</w:t>
      </w:r>
      <w:r w:rsidRPr="00BF401C">
        <w:rPr>
          <w:szCs w:val="22"/>
        </w:rPr>
        <w:t xml:space="preserve"> nebo na některou z pomocných látek</w:t>
      </w:r>
      <w:r>
        <w:rPr>
          <w:szCs w:val="22"/>
        </w:rPr>
        <w:t>. Další informace pro použití u skotu</w:t>
      </w:r>
      <w:r w:rsidRPr="00F0024C">
        <w:rPr>
          <w:szCs w:val="22"/>
        </w:rPr>
        <w:t xml:space="preserve"> viz tabulka v </w:t>
      </w:r>
      <w:r>
        <w:rPr>
          <w:szCs w:val="22"/>
        </w:rPr>
        <w:t xml:space="preserve">bodě </w:t>
      </w:r>
      <w:r w:rsidRPr="00F0024C">
        <w:rPr>
          <w:szCs w:val="22"/>
        </w:rPr>
        <w:t>4.5 Zvláštní opatření pro použití, Další opatření.</w:t>
      </w:r>
    </w:p>
    <w:p w:rsidR="00422063" w:rsidRPr="00BF401C" w:rsidRDefault="00422063" w:rsidP="00422063">
      <w:pPr>
        <w:ind w:left="0" w:firstLine="0"/>
        <w:jc w:val="both"/>
        <w:outlineLvl w:val="0"/>
        <w:rPr>
          <w:szCs w:val="22"/>
        </w:rPr>
      </w:pPr>
    </w:p>
    <w:p w:rsidR="00422063" w:rsidRPr="00BF401C" w:rsidRDefault="00422063" w:rsidP="00422063">
      <w:pPr>
        <w:tabs>
          <w:tab w:val="left" w:pos="709"/>
        </w:tabs>
        <w:jc w:val="both"/>
        <w:outlineLvl w:val="0"/>
        <w:rPr>
          <w:b/>
          <w:szCs w:val="22"/>
        </w:rPr>
      </w:pPr>
      <w:r w:rsidRPr="00BF401C">
        <w:rPr>
          <w:b/>
          <w:szCs w:val="22"/>
        </w:rPr>
        <w:t>4.4</w:t>
      </w:r>
      <w:r w:rsidRPr="00BF401C">
        <w:rPr>
          <w:b/>
          <w:szCs w:val="22"/>
        </w:rPr>
        <w:tab/>
        <w:t>Zvláštní upozornění pro každý cílový druh</w:t>
      </w:r>
    </w:p>
    <w:p w:rsidR="00422063" w:rsidRPr="000E6A23" w:rsidRDefault="00422063" w:rsidP="00422063">
      <w:pPr>
        <w:jc w:val="both"/>
        <w:rPr>
          <w:szCs w:val="22"/>
        </w:rPr>
      </w:pPr>
    </w:p>
    <w:p w:rsidR="00422063" w:rsidRDefault="00422063" w:rsidP="00422063">
      <w:pPr>
        <w:ind w:left="0" w:firstLine="0"/>
        <w:jc w:val="both"/>
        <w:rPr>
          <w:szCs w:val="22"/>
          <w:lang w:eastAsia="ar-SA"/>
        </w:rPr>
      </w:pPr>
      <w:r w:rsidRPr="000E6A23">
        <w:rPr>
          <w:szCs w:val="22"/>
          <w:lang w:eastAsia="ar-SA"/>
        </w:rPr>
        <w:t>Doporučuje se ošetřit všechna zvířata v kotci.</w:t>
      </w:r>
    </w:p>
    <w:p w:rsidR="00422063" w:rsidRPr="00316394" w:rsidRDefault="00422063" w:rsidP="00422063">
      <w:pPr>
        <w:ind w:left="0" w:firstLine="0"/>
        <w:jc w:val="both"/>
        <w:rPr>
          <w:szCs w:val="22"/>
          <w:lang w:eastAsia="ar-SA"/>
        </w:rPr>
      </w:pPr>
    </w:p>
    <w:p w:rsidR="00422063" w:rsidRDefault="00422063" w:rsidP="00422063">
      <w:pPr>
        <w:ind w:left="0" w:firstLine="0"/>
        <w:jc w:val="both"/>
        <w:rPr>
          <w:szCs w:val="22"/>
          <w:lang w:eastAsia="ar-SA"/>
        </w:rPr>
      </w:pPr>
      <w:r w:rsidRPr="00316394">
        <w:rPr>
          <w:szCs w:val="22"/>
          <w:lang w:eastAsia="ar-SA"/>
        </w:rPr>
        <w:t xml:space="preserve">Hygienická opatření mohou </w:t>
      </w:r>
      <w:bookmarkStart w:id="1" w:name="_Hlk84933997"/>
      <w:r w:rsidRPr="00316394">
        <w:rPr>
          <w:szCs w:val="22"/>
          <w:lang w:eastAsia="ar-SA"/>
        </w:rPr>
        <w:t>přispě</w:t>
      </w:r>
      <w:r w:rsidRPr="00021EDE">
        <w:rPr>
          <w:szCs w:val="22"/>
          <w:lang w:eastAsia="ar-SA"/>
        </w:rPr>
        <w:t xml:space="preserve">t ke snížení rizika </w:t>
      </w:r>
      <w:bookmarkEnd w:id="1"/>
      <w:r w:rsidRPr="00021EDE">
        <w:rPr>
          <w:szCs w:val="22"/>
          <w:lang w:eastAsia="ar-SA"/>
        </w:rPr>
        <w:t xml:space="preserve">kokcidiózy. Proto se doporučuje souběžně s léčbou zlepšit hygienické podmínky </w:t>
      </w:r>
      <w:bookmarkStart w:id="2" w:name="_Hlk84934030"/>
      <w:r w:rsidRPr="00021EDE">
        <w:rPr>
          <w:szCs w:val="22"/>
          <w:lang w:eastAsia="ar-SA"/>
        </w:rPr>
        <w:t>v daném objektu</w:t>
      </w:r>
      <w:bookmarkEnd w:id="2"/>
      <w:r w:rsidRPr="00021EDE">
        <w:rPr>
          <w:szCs w:val="22"/>
          <w:lang w:eastAsia="ar-SA"/>
        </w:rPr>
        <w:t>, především dbát na sucho a čistotu.</w:t>
      </w:r>
      <w:r w:rsidRPr="00DA6DD9">
        <w:rPr>
          <w:szCs w:val="22"/>
          <w:lang w:eastAsia="ar-SA"/>
        </w:rPr>
        <w:t xml:space="preserve"> </w:t>
      </w:r>
    </w:p>
    <w:p w:rsidR="00422063" w:rsidRPr="00316394" w:rsidRDefault="00422063" w:rsidP="00422063">
      <w:pPr>
        <w:ind w:left="0" w:firstLine="0"/>
        <w:jc w:val="both"/>
        <w:rPr>
          <w:szCs w:val="22"/>
          <w:lang w:eastAsia="ar-SA"/>
        </w:rPr>
      </w:pPr>
    </w:p>
    <w:p w:rsidR="00422063" w:rsidRDefault="00422063" w:rsidP="00422063">
      <w:pPr>
        <w:ind w:left="0" w:firstLine="0"/>
        <w:jc w:val="both"/>
        <w:rPr>
          <w:szCs w:val="22"/>
          <w:lang w:eastAsia="ar-SA"/>
        </w:rPr>
      </w:pPr>
      <w:r w:rsidRPr="00316394">
        <w:rPr>
          <w:szCs w:val="22"/>
          <w:lang w:eastAsia="ar-SA"/>
        </w:rPr>
        <w:t>K dosažení maximálního přínosu by</w:t>
      </w:r>
      <w:r w:rsidRPr="00021EDE">
        <w:rPr>
          <w:szCs w:val="22"/>
          <w:lang w:eastAsia="ar-SA"/>
        </w:rPr>
        <w:t xml:space="preserve"> zvířata měla být léčena před očekávaným </w:t>
      </w:r>
      <w:bookmarkStart w:id="3" w:name="_Hlk84934116"/>
      <w:r w:rsidRPr="00021EDE">
        <w:rPr>
          <w:szCs w:val="22"/>
          <w:lang w:eastAsia="ar-SA"/>
        </w:rPr>
        <w:t xml:space="preserve">nástupem </w:t>
      </w:r>
      <w:bookmarkEnd w:id="3"/>
      <w:r w:rsidRPr="00021EDE">
        <w:rPr>
          <w:szCs w:val="22"/>
          <w:lang w:eastAsia="ar-SA"/>
        </w:rPr>
        <w:t>klinických příznaků, tj. v </w:t>
      </w:r>
      <w:proofErr w:type="spellStart"/>
      <w:r w:rsidRPr="00021EDE">
        <w:rPr>
          <w:szCs w:val="22"/>
          <w:lang w:eastAsia="ar-SA"/>
        </w:rPr>
        <w:t>prepatentní</w:t>
      </w:r>
      <w:proofErr w:type="spellEnd"/>
      <w:r w:rsidRPr="00021EDE">
        <w:rPr>
          <w:szCs w:val="22"/>
          <w:lang w:eastAsia="ar-SA"/>
        </w:rPr>
        <w:t xml:space="preserve"> periodě. </w:t>
      </w:r>
    </w:p>
    <w:p w:rsidR="00422063" w:rsidRDefault="00422063" w:rsidP="00422063">
      <w:pPr>
        <w:ind w:left="0" w:firstLine="0"/>
        <w:jc w:val="both"/>
        <w:rPr>
          <w:szCs w:val="22"/>
          <w:lang w:eastAsia="ar-SA"/>
        </w:rPr>
      </w:pPr>
    </w:p>
    <w:p w:rsidR="00422063" w:rsidRDefault="00422063" w:rsidP="00422063">
      <w:pPr>
        <w:ind w:left="0" w:firstLine="0"/>
        <w:jc w:val="both"/>
        <w:rPr>
          <w:szCs w:val="22"/>
          <w:lang w:eastAsia="ar-SA"/>
        </w:rPr>
      </w:pPr>
      <w:r w:rsidRPr="00316394">
        <w:rPr>
          <w:szCs w:val="22"/>
          <w:lang w:eastAsia="ar-SA"/>
        </w:rPr>
        <w:t>Klinická kokcidióza projevující se u jednotlivých zvířat průjmem může vyžadovat podpůrnou terapii.</w:t>
      </w:r>
    </w:p>
    <w:p w:rsidR="00422063" w:rsidRPr="00316394" w:rsidRDefault="00422063" w:rsidP="00422063">
      <w:pPr>
        <w:ind w:left="0" w:firstLine="0"/>
        <w:jc w:val="both"/>
        <w:rPr>
          <w:szCs w:val="22"/>
          <w:lang w:eastAsia="ar-SA"/>
        </w:rPr>
      </w:pPr>
    </w:p>
    <w:p w:rsidR="00422063" w:rsidRPr="00021EDE" w:rsidRDefault="00422063" w:rsidP="00422063">
      <w:pPr>
        <w:ind w:left="0" w:firstLine="0"/>
        <w:jc w:val="both"/>
        <w:rPr>
          <w:szCs w:val="22"/>
          <w:lang w:eastAsia="ar-SA"/>
        </w:rPr>
      </w:pPr>
      <w:r w:rsidRPr="00316394">
        <w:rPr>
          <w:szCs w:val="22"/>
        </w:rPr>
        <w:t>Léčba během propuknutí nemoci bude mít pro jedince omezený přínos, neboť již došlo k poškození tenkého střeva.</w:t>
      </w:r>
    </w:p>
    <w:p w:rsidR="00422063" w:rsidRPr="00021EDE" w:rsidRDefault="00422063" w:rsidP="00422063">
      <w:pPr>
        <w:ind w:left="0" w:firstLine="0"/>
        <w:jc w:val="both"/>
        <w:rPr>
          <w:szCs w:val="22"/>
          <w:lang w:eastAsia="ar-SA"/>
        </w:rPr>
      </w:pPr>
    </w:p>
    <w:p w:rsidR="00422063" w:rsidRPr="00DA6DD9" w:rsidRDefault="00422063" w:rsidP="00422063">
      <w:pPr>
        <w:ind w:left="0" w:firstLine="0"/>
        <w:jc w:val="both"/>
        <w:rPr>
          <w:szCs w:val="22"/>
        </w:rPr>
      </w:pPr>
      <w:r w:rsidRPr="00021EDE">
        <w:rPr>
          <w:szCs w:val="22"/>
        </w:rPr>
        <w:t xml:space="preserve">Jako u ostatních </w:t>
      </w:r>
      <w:proofErr w:type="spellStart"/>
      <w:r w:rsidRPr="00021EDE">
        <w:rPr>
          <w:szCs w:val="22"/>
        </w:rPr>
        <w:t>antiparazitik</w:t>
      </w:r>
      <w:proofErr w:type="spellEnd"/>
      <w:r w:rsidRPr="00021EDE">
        <w:rPr>
          <w:szCs w:val="22"/>
        </w:rPr>
        <w:t xml:space="preserve"> časté a opakované používání </w:t>
      </w:r>
      <w:proofErr w:type="spellStart"/>
      <w:r w:rsidRPr="00021EDE">
        <w:rPr>
          <w:szCs w:val="22"/>
        </w:rPr>
        <w:t>antiprotozoik</w:t>
      </w:r>
      <w:proofErr w:type="spellEnd"/>
      <w:r w:rsidRPr="00021EDE">
        <w:rPr>
          <w:szCs w:val="22"/>
        </w:rPr>
        <w:t xml:space="preserve"> stejné skupiny může vést ke vzn</w:t>
      </w:r>
      <w:r w:rsidRPr="00DA6DD9">
        <w:rPr>
          <w:szCs w:val="22"/>
        </w:rPr>
        <w:t>iku rezistence.</w:t>
      </w:r>
    </w:p>
    <w:p w:rsidR="00422063" w:rsidRPr="00DA6DD9" w:rsidRDefault="00422063" w:rsidP="00422063">
      <w:pPr>
        <w:ind w:left="0" w:firstLine="0"/>
        <w:jc w:val="both"/>
        <w:rPr>
          <w:szCs w:val="22"/>
        </w:rPr>
      </w:pPr>
    </w:p>
    <w:p w:rsidR="00422063" w:rsidRPr="00F0024C" w:rsidRDefault="00422063" w:rsidP="00422063">
      <w:pPr>
        <w:ind w:left="0" w:firstLine="0"/>
        <w:jc w:val="both"/>
        <w:rPr>
          <w:szCs w:val="22"/>
        </w:rPr>
      </w:pPr>
      <w:r w:rsidRPr="0015368F">
        <w:rPr>
          <w:szCs w:val="22"/>
        </w:rPr>
        <w:t>V případě výskytu rezistence,</w:t>
      </w:r>
      <w:r w:rsidRPr="00DA6DD9">
        <w:rPr>
          <w:szCs w:val="22"/>
        </w:rPr>
        <w:t xml:space="preserve"> by se mělo zvážit použití jiných </w:t>
      </w:r>
      <w:proofErr w:type="spellStart"/>
      <w:r w:rsidRPr="00DA6DD9">
        <w:rPr>
          <w:szCs w:val="22"/>
        </w:rPr>
        <w:t>antiprotozoik</w:t>
      </w:r>
      <w:proofErr w:type="spellEnd"/>
      <w:r w:rsidRPr="00DA6DD9">
        <w:rPr>
          <w:szCs w:val="22"/>
        </w:rPr>
        <w:t xml:space="preserve"> z jiné </w:t>
      </w:r>
      <w:r>
        <w:rPr>
          <w:szCs w:val="22"/>
        </w:rPr>
        <w:t>skupiny</w:t>
      </w:r>
      <w:r w:rsidRPr="00DA6DD9">
        <w:rPr>
          <w:szCs w:val="22"/>
        </w:rPr>
        <w:t xml:space="preserve"> </w:t>
      </w:r>
      <w:r>
        <w:rPr>
          <w:szCs w:val="22"/>
        </w:rPr>
        <w:t>a</w:t>
      </w:r>
      <w:r w:rsidRPr="00F0024C">
        <w:rPr>
          <w:szCs w:val="22"/>
        </w:rPr>
        <w:t xml:space="preserve"> </w:t>
      </w:r>
      <w:r>
        <w:rPr>
          <w:szCs w:val="22"/>
        </w:rPr>
        <w:t>s </w:t>
      </w:r>
      <w:bookmarkStart w:id="4" w:name="_Hlk84934174"/>
      <w:r>
        <w:rPr>
          <w:szCs w:val="22"/>
        </w:rPr>
        <w:t xml:space="preserve">odlišným </w:t>
      </w:r>
      <w:bookmarkEnd w:id="4"/>
      <w:r w:rsidRPr="00F0024C">
        <w:rPr>
          <w:szCs w:val="22"/>
        </w:rPr>
        <w:t>mechanism</w:t>
      </w:r>
      <w:r>
        <w:rPr>
          <w:szCs w:val="22"/>
        </w:rPr>
        <w:t>em</w:t>
      </w:r>
      <w:r w:rsidRPr="00F0024C">
        <w:rPr>
          <w:szCs w:val="22"/>
        </w:rPr>
        <w:t xml:space="preserve"> účinku.</w:t>
      </w:r>
    </w:p>
    <w:p w:rsidR="00422063" w:rsidRPr="008218BA" w:rsidRDefault="00422063" w:rsidP="00422063">
      <w:pPr>
        <w:ind w:left="0" w:firstLine="0"/>
        <w:jc w:val="both"/>
        <w:rPr>
          <w:szCs w:val="22"/>
        </w:rPr>
      </w:pPr>
    </w:p>
    <w:p w:rsidR="00422063" w:rsidRPr="008218BA" w:rsidRDefault="00422063" w:rsidP="00422063">
      <w:pPr>
        <w:jc w:val="both"/>
        <w:outlineLvl w:val="0"/>
        <w:rPr>
          <w:szCs w:val="22"/>
        </w:rPr>
      </w:pPr>
      <w:r w:rsidRPr="008218BA">
        <w:rPr>
          <w:b/>
          <w:szCs w:val="22"/>
        </w:rPr>
        <w:t>4.5</w:t>
      </w:r>
      <w:r w:rsidRPr="008218BA">
        <w:rPr>
          <w:b/>
          <w:szCs w:val="22"/>
        </w:rPr>
        <w:tab/>
        <w:t xml:space="preserve">Zvláštní opatření pro použití </w:t>
      </w:r>
    </w:p>
    <w:p w:rsidR="00422063" w:rsidRPr="008218BA" w:rsidRDefault="00422063" w:rsidP="00422063">
      <w:pPr>
        <w:jc w:val="both"/>
        <w:rPr>
          <w:szCs w:val="22"/>
        </w:rPr>
      </w:pPr>
    </w:p>
    <w:p w:rsidR="00422063" w:rsidRPr="001B4AC5" w:rsidRDefault="00422063" w:rsidP="00422063">
      <w:pPr>
        <w:ind w:left="0" w:firstLine="0"/>
        <w:jc w:val="both"/>
        <w:outlineLvl w:val="0"/>
        <w:rPr>
          <w:szCs w:val="22"/>
          <w:u w:val="single"/>
        </w:rPr>
      </w:pPr>
      <w:r w:rsidRPr="008218BA">
        <w:rPr>
          <w:szCs w:val="22"/>
          <w:u w:val="single"/>
        </w:rPr>
        <w:t>Zvláštní opatření pro použití u zvířat</w:t>
      </w:r>
    </w:p>
    <w:p w:rsidR="00422063" w:rsidRPr="001B4AC5" w:rsidRDefault="00422063" w:rsidP="00422063">
      <w:pPr>
        <w:ind w:left="0" w:firstLine="0"/>
        <w:jc w:val="both"/>
        <w:rPr>
          <w:szCs w:val="22"/>
        </w:rPr>
      </w:pPr>
    </w:p>
    <w:p w:rsidR="00422063" w:rsidRPr="00F0024C" w:rsidRDefault="00422063" w:rsidP="00422063">
      <w:pPr>
        <w:ind w:left="0" w:firstLine="0"/>
        <w:jc w:val="both"/>
        <w:outlineLvl w:val="0"/>
        <w:rPr>
          <w:szCs w:val="22"/>
        </w:rPr>
      </w:pPr>
      <w:r w:rsidRPr="00F0024C">
        <w:rPr>
          <w:szCs w:val="22"/>
        </w:rPr>
        <w:t xml:space="preserve">Neuplatňuje se. </w:t>
      </w:r>
    </w:p>
    <w:p w:rsidR="00422063" w:rsidRPr="00F0024C" w:rsidRDefault="00422063" w:rsidP="00422063">
      <w:pPr>
        <w:ind w:left="0" w:firstLine="0"/>
        <w:jc w:val="both"/>
        <w:rPr>
          <w:b/>
          <w:szCs w:val="22"/>
        </w:rPr>
      </w:pPr>
    </w:p>
    <w:p w:rsidR="00422063" w:rsidRPr="00BF401C" w:rsidRDefault="00422063" w:rsidP="00422063">
      <w:pPr>
        <w:tabs>
          <w:tab w:val="left" w:pos="709"/>
        </w:tabs>
        <w:ind w:left="0" w:firstLine="0"/>
        <w:jc w:val="both"/>
        <w:outlineLvl w:val="0"/>
        <w:rPr>
          <w:szCs w:val="22"/>
          <w:u w:val="single"/>
        </w:rPr>
      </w:pPr>
      <w:r w:rsidRPr="00BF401C">
        <w:rPr>
          <w:szCs w:val="22"/>
          <w:u w:val="single"/>
        </w:rPr>
        <w:t xml:space="preserve">Zvláštní opatření určené osobám, které podávají veterinární léčivý přípravek zvířatům </w:t>
      </w:r>
    </w:p>
    <w:p w:rsidR="00422063" w:rsidRPr="00BF401C" w:rsidRDefault="00422063" w:rsidP="00422063">
      <w:pPr>
        <w:tabs>
          <w:tab w:val="left" w:pos="709"/>
        </w:tabs>
        <w:ind w:left="0" w:firstLine="0"/>
        <w:jc w:val="both"/>
        <w:rPr>
          <w:szCs w:val="22"/>
        </w:rPr>
      </w:pPr>
    </w:p>
    <w:p w:rsidR="00422063" w:rsidRPr="00BF401C" w:rsidRDefault="00422063" w:rsidP="00422063">
      <w:pPr>
        <w:tabs>
          <w:tab w:val="left" w:pos="709"/>
        </w:tabs>
        <w:ind w:left="0" w:firstLine="0"/>
        <w:jc w:val="both"/>
        <w:rPr>
          <w:szCs w:val="22"/>
        </w:rPr>
      </w:pPr>
      <w:r w:rsidRPr="00BF401C">
        <w:rPr>
          <w:szCs w:val="22"/>
        </w:rPr>
        <w:t>Lidé se známou přecitlivělostí na léčivou látku nebo na některou z pomocných látek by se měli</w:t>
      </w:r>
      <w:r>
        <w:rPr>
          <w:szCs w:val="22"/>
        </w:rPr>
        <w:t xml:space="preserve"> </w:t>
      </w:r>
      <w:r w:rsidRPr="00BF401C">
        <w:rPr>
          <w:szCs w:val="22"/>
        </w:rPr>
        <w:t>vyhnout kontaktu s veterinárním léčivým přípravkem.</w:t>
      </w:r>
    </w:p>
    <w:p w:rsidR="00422063" w:rsidRPr="00BF401C" w:rsidRDefault="00422063" w:rsidP="00422063">
      <w:pPr>
        <w:tabs>
          <w:tab w:val="left" w:pos="709"/>
        </w:tabs>
        <w:ind w:left="0" w:firstLine="0"/>
        <w:jc w:val="both"/>
        <w:rPr>
          <w:szCs w:val="22"/>
        </w:rPr>
      </w:pPr>
      <w:r w:rsidRPr="00BF401C">
        <w:rPr>
          <w:szCs w:val="22"/>
        </w:rPr>
        <w:t>Zabraňte kontaktu přípravku s kůží a očima.</w:t>
      </w:r>
    </w:p>
    <w:p w:rsidR="00422063" w:rsidRPr="00BF401C" w:rsidRDefault="00422063" w:rsidP="00422063">
      <w:pPr>
        <w:tabs>
          <w:tab w:val="left" w:pos="709"/>
        </w:tabs>
        <w:ind w:left="0" w:firstLine="0"/>
        <w:jc w:val="both"/>
        <w:rPr>
          <w:szCs w:val="22"/>
        </w:rPr>
      </w:pPr>
      <w:r w:rsidRPr="00BF401C">
        <w:rPr>
          <w:szCs w:val="22"/>
        </w:rPr>
        <w:t xml:space="preserve">V případě náhodného potřísnění pokožky nebo zasažení očí ihned opláchněte vodou. </w:t>
      </w:r>
    </w:p>
    <w:p w:rsidR="00422063" w:rsidRPr="00021EDE" w:rsidRDefault="00422063" w:rsidP="00422063">
      <w:pPr>
        <w:rPr>
          <w:szCs w:val="22"/>
        </w:rPr>
      </w:pPr>
      <w:r w:rsidRPr="00BF401C">
        <w:rPr>
          <w:szCs w:val="22"/>
        </w:rPr>
        <w:t xml:space="preserve">Při nakládání s veterinárním léčivým přípravkem nejezte, nepijte </w:t>
      </w:r>
      <w:r w:rsidRPr="00473179">
        <w:rPr>
          <w:szCs w:val="22"/>
        </w:rPr>
        <w:t>a</w:t>
      </w:r>
      <w:r w:rsidRPr="00021EDE">
        <w:rPr>
          <w:szCs w:val="22"/>
        </w:rPr>
        <w:t xml:space="preserve"> nekuřte.</w:t>
      </w:r>
    </w:p>
    <w:p w:rsidR="00422063" w:rsidRPr="00021EDE" w:rsidRDefault="00422063" w:rsidP="00422063">
      <w:pPr>
        <w:tabs>
          <w:tab w:val="left" w:pos="709"/>
        </w:tabs>
        <w:ind w:left="0" w:firstLine="0"/>
        <w:jc w:val="both"/>
        <w:rPr>
          <w:b/>
          <w:szCs w:val="22"/>
        </w:rPr>
      </w:pPr>
    </w:p>
    <w:p w:rsidR="00422063" w:rsidRPr="00021EDE" w:rsidRDefault="00422063" w:rsidP="00422063">
      <w:pPr>
        <w:tabs>
          <w:tab w:val="left" w:pos="709"/>
        </w:tabs>
        <w:ind w:left="0" w:firstLine="0"/>
        <w:jc w:val="both"/>
        <w:outlineLvl w:val="0"/>
        <w:rPr>
          <w:szCs w:val="22"/>
          <w:u w:val="single"/>
        </w:rPr>
      </w:pPr>
      <w:r w:rsidRPr="00021EDE">
        <w:rPr>
          <w:szCs w:val="22"/>
          <w:u w:val="single"/>
        </w:rPr>
        <w:t>Další opatření</w:t>
      </w:r>
    </w:p>
    <w:p w:rsidR="00422063" w:rsidRPr="00021EDE" w:rsidRDefault="00422063" w:rsidP="00422063">
      <w:pPr>
        <w:tabs>
          <w:tab w:val="left" w:pos="709"/>
        </w:tabs>
        <w:ind w:left="0" w:firstLine="0"/>
        <w:jc w:val="both"/>
        <w:outlineLvl w:val="0"/>
        <w:rPr>
          <w:b/>
          <w:szCs w:val="22"/>
        </w:rPr>
      </w:pPr>
    </w:p>
    <w:p w:rsidR="00422063" w:rsidRPr="00BF401C" w:rsidRDefault="00422063" w:rsidP="00422063">
      <w:pPr>
        <w:ind w:left="0" w:firstLine="0"/>
        <w:jc w:val="both"/>
        <w:rPr>
          <w:szCs w:val="22"/>
          <w:lang w:eastAsia="ar-SA"/>
        </w:rPr>
      </w:pPr>
      <w:r w:rsidRPr="00021EDE">
        <w:rPr>
          <w:szCs w:val="22"/>
        </w:rPr>
        <w:t xml:space="preserve">Hlavní metabolit </w:t>
      </w:r>
      <w:proofErr w:type="spellStart"/>
      <w:r w:rsidRPr="00021EDE">
        <w:rPr>
          <w:szCs w:val="22"/>
        </w:rPr>
        <w:t>toltrazurilu</w:t>
      </w:r>
      <w:proofErr w:type="spellEnd"/>
      <w:r w:rsidRPr="00021EDE">
        <w:rPr>
          <w:szCs w:val="22"/>
        </w:rPr>
        <w:t xml:space="preserve">, </w:t>
      </w:r>
      <w:proofErr w:type="spellStart"/>
      <w:r w:rsidRPr="00021EDE">
        <w:rPr>
          <w:szCs w:val="22"/>
        </w:rPr>
        <w:t>toltrazuril</w:t>
      </w:r>
      <w:proofErr w:type="spellEnd"/>
      <w:r w:rsidRPr="00021EDE">
        <w:rPr>
          <w:szCs w:val="22"/>
        </w:rPr>
        <w:t xml:space="preserve"> sulfon (</w:t>
      </w:r>
      <w:proofErr w:type="spellStart"/>
      <w:r w:rsidRPr="00021EDE">
        <w:rPr>
          <w:szCs w:val="22"/>
        </w:rPr>
        <w:t>ponazuril</w:t>
      </w:r>
      <w:proofErr w:type="spellEnd"/>
      <w:r w:rsidRPr="00021EDE">
        <w:rPr>
          <w:szCs w:val="22"/>
        </w:rPr>
        <w:t xml:space="preserve">), vykazuje jak velkou perzistenci </w:t>
      </w:r>
      <w:r w:rsidRPr="00021EDE">
        <w:rPr>
          <w:szCs w:val="22"/>
          <w:lang w:eastAsia="ar-SA"/>
        </w:rPr>
        <w:t xml:space="preserve">(poločas </w:t>
      </w:r>
      <w:r>
        <w:rPr>
          <w:szCs w:val="22"/>
          <w:lang w:eastAsia="ar-SA"/>
        </w:rPr>
        <w:t>eliminace</w:t>
      </w:r>
      <w:r w:rsidRPr="00DA6DD9">
        <w:rPr>
          <w:szCs w:val="22"/>
          <w:lang w:eastAsia="ar-SA"/>
        </w:rPr>
        <w:t xml:space="preserve"> </w:t>
      </w:r>
      <w:r>
        <w:rPr>
          <w:szCs w:val="22"/>
          <w:lang w:eastAsia="ar-SA"/>
        </w:rPr>
        <w:t>c</w:t>
      </w:r>
      <w:r w:rsidRPr="00F0024C">
        <w:rPr>
          <w:szCs w:val="22"/>
          <w:lang w:eastAsia="ar-SA"/>
        </w:rPr>
        <w:t xml:space="preserve">ca 1 rok) </w:t>
      </w:r>
      <w:r w:rsidRPr="00BF401C">
        <w:rPr>
          <w:szCs w:val="22"/>
        </w:rPr>
        <w:t xml:space="preserve">a mobilitu </w:t>
      </w:r>
      <w:r w:rsidRPr="00BF401C">
        <w:rPr>
          <w:szCs w:val="22"/>
          <w:lang w:eastAsia="ar-SA"/>
        </w:rPr>
        <w:t>v půdě, tak toxicitu pro rostliny včetně plodin.</w:t>
      </w:r>
    </w:p>
    <w:p w:rsidR="00422063" w:rsidRPr="00BF401C" w:rsidRDefault="00422063" w:rsidP="00422063">
      <w:pPr>
        <w:ind w:left="0" w:firstLine="0"/>
        <w:jc w:val="both"/>
        <w:rPr>
          <w:szCs w:val="22"/>
          <w:u w:val="single"/>
          <w:lang w:eastAsia="ar-SA"/>
        </w:rPr>
      </w:pPr>
    </w:p>
    <w:p w:rsidR="00422063" w:rsidRPr="00BF401C" w:rsidRDefault="00422063" w:rsidP="00422063">
      <w:pPr>
        <w:ind w:left="0" w:firstLine="0"/>
        <w:jc w:val="both"/>
        <w:rPr>
          <w:szCs w:val="22"/>
          <w:lang w:eastAsia="ar-SA"/>
        </w:rPr>
      </w:pPr>
      <w:r w:rsidRPr="00BF401C">
        <w:rPr>
          <w:szCs w:val="22"/>
          <w:lang w:eastAsia="ar-SA"/>
        </w:rPr>
        <w:t>Vzhledem k uvedeným environmentálním důvodům platí pro používání následující omezení:</w:t>
      </w:r>
    </w:p>
    <w:p w:rsidR="00422063" w:rsidRPr="00BF401C" w:rsidRDefault="00422063" w:rsidP="00422063">
      <w:pPr>
        <w:ind w:left="0" w:firstLine="0"/>
        <w:jc w:val="both"/>
        <w:rPr>
          <w:szCs w:val="22"/>
          <w:lang w:eastAsia="ar-SA"/>
        </w:rPr>
      </w:pPr>
    </w:p>
    <w:p w:rsidR="00422063" w:rsidRPr="00BF401C" w:rsidRDefault="00422063" w:rsidP="00422063">
      <w:pPr>
        <w:ind w:left="0" w:firstLine="0"/>
        <w:jc w:val="both"/>
        <w:rPr>
          <w:szCs w:val="22"/>
          <w:u w:val="single"/>
          <w:lang w:eastAsia="ar-SA"/>
        </w:rPr>
      </w:pPr>
      <w:r w:rsidRPr="00BF401C">
        <w:rPr>
          <w:szCs w:val="22"/>
          <w:u w:val="single"/>
          <w:lang w:eastAsia="ar-SA"/>
        </w:rPr>
        <w:t>Skot:</w:t>
      </w:r>
    </w:p>
    <w:p w:rsidR="00422063" w:rsidRPr="00BF401C" w:rsidRDefault="00422063" w:rsidP="00422063">
      <w:pPr>
        <w:ind w:left="0" w:firstLine="0"/>
        <w:jc w:val="both"/>
        <w:rPr>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5465"/>
      </w:tblGrid>
      <w:tr w:rsidR="00422063" w:rsidRPr="00B4374B" w:rsidTr="000A59E8">
        <w:tc>
          <w:tcPr>
            <w:tcW w:w="3040" w:type="dxa"/>
            <w:shd w:val="clear" w:color="auto" w:fill="auto"/>
          </w:tcPr>
          <w:p w:rsidR="00422063" w:rsidRPr="00BF401C" w:rsidRDefault="00422063" w:rsidP="000A59E8">
            <w:pPr>
              <w:ind w:left="0" w:firstLine="0"/>
              <w:rPr>
                <w:szCs w:val="22"/>
                <w:lang w:eastAsia="ar-SA"/>
              </w:rPr>
            </w:pPr>
            <w:r w:rsidRPr="00BF401C">
              <w:rPr>
                <w:szCs w:val="22"/>
                <w:lang w:eastAsia="ar-SA"/>
              </w:rPr>
              <w:t>Telata určená k jatečným účelům</w:t>
            </w:r>
          </w:p>
        </w:tc>
        <w:tc>
          <w:tcPr>
            <w:tcW w:w="5465" w:type="dxa"/>
            <w:shd w:val="clear" w:color="auto" w:fill="auto"/>
          </w:tcPr>
          <w:p w:rsidR="00422063" w:rsidRPr="00F0024C" w:rsidRDefault="00422063" w:rsidP="000A59E8">
            <w:pPr>
              <w:ind w:left="0" w:firstLine="0"/>
              <w:jc w:val="both"/>
              <w:rPr>
                <w:szCs w:val="22"/>
                <w:lang w:eastAsia="ar-SA"/>
              </w:rPr>
            </w:pPr>
            <w:r w:rsidRPr="00BF401C">
              <w:rPr>
                <w:szCs w:val="22"/>
                <w:lang w:eastAsia="ar-SA"/>
              </w:rPr>
              <w:t>Není určen k použití u telat určených k jatečným účelům</w:t>
            </w:r>
            <w:r>
              <w:rPr>
                <w:szCs w:val="22"/>
                <w:lang w:eastAsia="ar-SA"/>
              </w:rPr>
              <w:t>.</w:t>
            </w:r>
          </w:p>
        </w:tc>
      </w:tr>
      <w:tr w:rsidR="00422063" w:rsidRPr="00B4374B" w:rsidTr="000A59E8">
        <w:tc>
          <w:tcPr>
            <w:tcW w:w="3040" w:type="dxa"/>
            <w:shd w:val="clear" w:color="auto" w:fill="auto"/>
          </w:tcPr>
          <w:p w:rsidR="00422063" w:rsidRPr="003462BB" w:rsidRDefault="00422063" w:rsidP="000A59E8">
            <w:pPr>
              <w:ind w:left="0" w:firstLine="0"/>
              <w:rPr>
                <w:szCs w:val="22"/>
                <w:lang w:eastAsia="ar-SA"/>
              </w:rPr>
            </w:pPr>
            <w:r w:rsidRPr="00B4374B">
              <w:rPr>
                <w:szCs w:val="22"/>
                <w:lang w:eastAsia="ar-SA"/>
              </w:rPr>
              <w:t>Telata mléčných plemen skotu, která nejsou ur</w:t>
            </w:r>
            <w:r w:rsidRPr="00930811">
              <w:rPr>
                <w:szCs w:val="22"/>
                <w:lang w:eastAsia="ar-SA"/>
              </w:rPr>
              <w:t xml:space="preserve">čena k jatečným účelům </w:t>
            </w:r>
          </w:p>
        </w:tc>
        <w:tc>
          <w:tcPr>
            <w:tcW w:w="5465" w:type="dxa"/>
            <w:shd w:val="clear" w:color="auto" w:fill="auto"/>
          </w:tcPr>
          <w:p w:rsidR="00422063" w:rsidRPr="00473179" w:rsidRDefault="00422063" w:rsidP="000A59E8">
            <w:pPr>
              <w:ind w:left="0" w:firstLine="0"/>
              <w:jc w:val="both"/>
              <w:rPr>
                <w:szCs w:val="22"/>
              </w:rPr>
            </w:pPr>
            <w:r w:rsidRPr="00473179">
              <w:rPr>
                <w:szCs w:val="22"/>
              </w:rPr>
              <w:t xml:space="preserve">Nepodávejte telatům mléčných plemen skotu </w:t>
            </w:r>
            <w:proofErr w:type="gramStart"/>
            <w:r w:rsidRPr="00473179">
              <w:rPr>
                <w:szCs w:val="22"/>
              </w:rPr>
              <w:t>vážícím</w:t>
            </w:r>
            <w:proofErr w:type="gramEnd"/>
            <w:r w:rsidRPr="00473179">
              <w:rPr>
                <w:szCs w:val="22"/>
              </w:rPr>
              <w:t xml:space="preserve"> více než 80</w:t>
            </w:r>
            <w:r>
              <w:rPr>
                <w:szCs w:val="22"/>
              </w:rPr>
              <w:t xml:space="preserve"> </w:t>
            </w:r>
            <w:r w:rsidRPr="00473179">
              <w:rPr>
                <w:szCs w:val="22"/>
              </w:rPr>
              <w:t>kg.</w:t>
            </w:r>
          </w:p>
          <w:p w:rsidR="00422063" w:rsidRPr="00BF401C" w:rsidRDefault="00422063" w:rsidP="000A59E8">
            <w:pPr>
              <w:ind w:left="0" w:firstLine="0"/>
              <w:rPr>
                <w:szCs w:val="22"/>
                <w:lang w:eastAsia="ar-SA"/>
              </w:rPr>
            </w:pPr>
            <w:r w:rsidRPr="00F0024C">
              <w:rPr>
                <w:color w:val="000000"/>
                <w:szCs w:val="22"/>
              </w:rPr>
              <w:t xml:space="preserve">Aby se zabránilo vzniku nežádoucích účinků na rostliny a </w:t>
            </w:r>
            <w:r w:rsidRPr="00BF401C">
              <w:rPr>
                <w:color w:val="000000"/>
                <w:szCs w:val="22"/>
              </w:rPr>
              <w:t>možné kontaminaci podzemních vod, nesmí se hnůj od ošetřovaných telat rozmetávat na půdu bez naředění hnojem od neošetřovaných krav. Před rozmetáním na půdu se hnůj od ošetřovaných telat musí naředit nejméně trojnásobnou hmotností hnoje od dospělých krav.</w:t>
            </w:r>
          </w:p>
        </w:tc>
      </w:tr>
      <w:tr w:rsidR="00422063" w:rsidRPr="00B4374B" w:rsidTr="000A59E8">
        <w:tc>
          <w:tcPr>
            <w:tcW w:w="3040" w:type="dxa"/>
            <w:shd w:val="clear" w:color="auto" w:fill="auto"/>
          </w:tcPr>
          <w:p w:rsidR="00422063" w:rsidRPr="00B4374B" w:rsidRDefault="00422063" w:rsidP="000A59E8">
            <w:pPr>
              <w:ind w:left="0" w:firstLine="0"/>
              <w:rPr>
                <w:szCs w:val="22"/>
                <w:lang w:eastAsia="ar-SA"/>
              </w:rPr>
            </w:pPr>
            <w:r w:rsidRPr="00B4374B">
              <w:rPr>
                <w:szCs w:val="22"/>
                <w:lang w:eastAsia="ar-SA"/>
              </w:rPr>
              <w:t>Telata masných plemen skotu určených k chovu</w:t>
            </w:r>
          </w:p>
        </w:tc>
        <w:tc>
          <w:tcPr>
            <w:tcW w:w="5465" w:type="dxa"/>
            <w:shd w:val="clear" w:color="auto" w:fill="auto"/>
          </w:tcPr>
          <w:p w:rsidR="00422063" w:rsidRPr="00B4374B" w:rsidRDefault="00422063" w:rsidP="000A59E8">
            <w:pPr>
              <w:ind w:left="0" w:firstLine="0"/>
              <w:rPr>
                <w:szCs w:val="22"/>
                <w:lang w:eastAsia="ar-SA"/>
              </w:rPr>
            </w:pPr>
            <w:r w:rsidRPr="00B4374B">
              <w:rPr>
                <w:szCs w:val="22"/>
              </w:rPr>
              <w:t>Nepodávejte telatům masných plemen skotu určených k chovu vážícím více než 150 kg.</w:t>
            </w:r>
          </w:p>
        </w:tc>
      </w:tr>
      <w:tr w:rsidR="00422063" w:rsidRPr="00B4374B" w:rsidTr="000A59E8">
        <w:tc>
          <w:tcPr>
            <w:tcW w:w="3040" w:type="dxa"/>
            <w:shd w:val="clear" w:color="auto" w:fill="auto"/>
          </w:tcPr>
          <w:p w:rsidR="00422063" w:rsidRPr="00B4374B" w:rsidRDefault="00422063" w:rsidP="000A59E8">
            <w:pPr>
              <w:ind w:left="0" w:firstLine="0"/>
              <w:rPr>
                <w:szCs w:val="22"/>
                <w:lang w:eastAsia="ar-SA"/>
              </w:rPr>
            </w:pPr>
            <w:r w:rsidRPr="00B4374B">
              <w:rPr>
                <w:szCs w:val="22"/>
                <w:lang w:eastAsia="ar-SA"/>
              </w:rPr>
              <w:t>Býčci určení k jatečným účelům</w:t>
            </w:r>
          </w:p>
        </w:tc>
        <w:tc>
          <w:tcPr>
            <w:tcW w:w="5465" w:type="dxa"/>
            <w:shd w:val="clear" w:color="auto" w:fill="auto"/>
          </w:tcPr>
          <w:p w:rsidR="00422063" w:rsidRPr="00B4374B" w:rsidRDefault="00422063" w:rsidP="000A59E8">
            <w:pPr>
              <w:ind w:left="0" w:firstLine="0"/>
              <w:jc w:val="both"/>
              <w:rPr>
                <w:szCs w:val="22"/>
              </w:rPr>
            </w:pPr>
            <w:r w:rsidRPr="00B4374B">
              <w:rPr>
                <w:szCs w:val="22"/>
              </w:rPr>
              <w:t>Není určeno k léčbě telat určených k jatečným účelům mladších než 3 měsíce.</w:t>
            </w:r>
          </w:p>
          <w:p w:rsidR="00422063" w:rsidRPr="00B4374B" w:rsidRDefault="00422063" w:rsidP="000A59E8">
            <w:pPr>
              <w:ind w:left="0" w:firstLine="0"/>
              <w:rPr>
                <w:szCs w:val="22"/>
                <w:lang w:eastAsia="ar-SA"/>
              </w:rPr>
            </w:pPr>
            <w:r w:rsidRPr="00B4374B">
              <w:rPr>
                <w:szCs w:val="22"/>
              </w:rPr>
              <w:t>Nepodávejte telatům určeným k jatečným účelům vážících více než 150 kg.</w:t>
            </w:r>
          </w:p>
        </w:tc>
      </w:tr>
    </w:tbl>
    <w:p w:rsidR="00422063" w:rsidRPr="00B4374B" w:rsidRDefault="00422063" w:rsidP="00422063">
      <w:pPr>
        <w:ind w:left="0" w:firstLine="0"/>
        <w:jc w:val="both"/>
        <w:rPr>
          <w:szCs w:val="22"/>
          <w:lang w:eastAsia="ar-SA"/>
        </w:rPr>
      </w:pPr>
    </w:p>
    <w:p w:rsidR="00422063" w:rsidRPr="00B4374B" w:rsidRDefault="00422063" w:rsidP="00422063">
      <w:pPr>
        <w:ind w:left="0" w:firstLine="0"/>
        <w:jc w:val="both"/>
        <w:rPr>
          <w:szCs w:val="22"/>
        </w:rPr>
      </w:pPr>
      <w:r w:rsidRPr="00B4374B">
        <w:rPr>
          <w:szCs w:val="22"/>
          <w:u w:val="single"/>
        </w:rPr>
        <w:lastRenderedPageBreak/>
        <w:t>Ovce</w:t>
      </w:r>
      <w:r w:rsidRPr="00B4374B">
        <w:rPr>
          <w:szCs w:val="22"/>
        </w:rPr>
        <w:t>: Jehňata chovaná celou dobu života v chlévě v systému intenzivního chovu nesmějí být léčena po 6 týdnu věku nebo po dosažení hmotnosti více než 20 kg. Hnůj od těchto zvířat se smí na ten samý pozemek aplikovat pouze každý třetí rok.</w:t>
      </w:r>
    </w:p>
    <w:p w:rsidR="00422063" w:rsidRPr="00B4374B" w:rsidRDefault="00422063" w:rsidP="00422063">
      <w:pPr>
        <w:ind w:left="0" w:firstLine="0"/>
        <w:jc w:val="both"/>
        <w:rPr>
          <w:szCs w:val="22"/>
        </w:rPr>
      </w:pPr>
    </w:p>
    <w:p w:rsidR="00422063" w:rsidRPr="00B4374B" w:rsidRDefault="00422063" w:rsidP="00422063">
      <w:pPr>
        <w:ind w:left="0" w:firstLine="0"/>
        <w:jc w:val="both"/>
        <w:rPr>
          <w:szCs w:val="22"/>
        </w:rPr>
      </w:pPr>
      <w:r w:rsidRPr="00B4374B">
        <w:rPr>
          <w:szCs w:val="22"/>
          <w:u w:val="single"/>
        </w:rPr>
        <w:t>Prasata</w:t>
      </w:r>
      <w:r w:rsidRPr="00B4374B">
        <w:rPr>
          <w:szCs w:val="22"/>
        </w:rPr>
        <w:t>: Nejsou.</w:t>
      </w:r>
    </w:p>
    <w:p w:rsidR="00422063" w:rsidRPr="00B4374B" w:rsidRDefault="00422063" w:rsidP="00422063">
      <w:pPr>
        <w:ind w:left="0" w:firstLine="0"/>
        <w:jc w:val="both"/>
        <w:rPr>
          <w:szCs w:val="22"/>
        </w:rPr>
      </w:pPr>
    </w:p>
    <w:p w:rsidR="00422063" w:rsidRPr="00B4374B" w:rsidRDefault="00422063" w:rsidP="00422063">
      <w:pPr>
        <w:ind w:left="0" w:firstLine="0"/>
        <w:jc w:val="both"/>
        <w:outlineLvl w:val="0"/>
        <w:rPr>
          <w:b/>
          <w:szCs w:val="22"/>
        </w:rPr>
      </w:pPr>
      <w:r w:rsidRPr="00B4374B">
        <w:rPr>
          <w:b/>
          <w:szCs w:val="22"/>
        </w:rPr>
        <w:t>4.6</w:t>
      </w:r>
      <w:r w:rsidRPr="00B4374B">
        <w:rPr>
          <w:b/>
          <w:szCs w:val="22"/>
        </w:rPr>
        <w:tab/>
        <w:t>Nežádoucí účinky (frekvence a závažnost)</w:t>
      </w:r>
    </w:p>
    <w:p w:rsidR="00422063" w:rsidRPr="00B4374B" w:rsidRDefault="00422063" w:rsidP="00422063">
      <w:pPr>
        <w:ind w:left="709" w:hanging="709"/>
        <w:jc w:val="both"/>
        <w:outlineLvl w:val="0"/>
        <w:rPr>
          <w:bCs/>
          <w:szCs w:val="22"/>
        </w:rPr>
      </w:pPr>
    </w:p>
    <w:p w:rsidR="00422063" w:rsidRPr="00B4374B" w:rsidRDefault="00422063" w:rsidP="00422063">
      <w:pPr>
        <w:ind w:left="0" w:firstLine="0"/>
        <w:jc w:val="both"/>
        <w:rPr>
          <w:szCs w:val="22"/>
        </w:rPr>
      </w:pPr>
      <w:r w:rsidRPr="00B4374B">
        <w:rPr>
          <w:szCs w:val="22"/>
        </w:rPr>
        <w:t xml:space="preserve">Nejsou známy. </w:t>
      </w:r>
    </w:p>
    <w:p w:rsidR="00422063" w:rsidRPr="00B4374B" w:rsidRDefault="00422063" w:rsidP="00422063">
      <w:pPr>
        <w:ind w:left="0" w:firstLine="0"/>
        <w:jc w:val="both"/>
        <w:outlineLvl w:val="0"/>
        <w:rPr>
          <w:szCs w:val="22"/>
        </w:rPr>
      </w:pPr>
    </w:p>
    <w:p w:rsidR="00422063" w:rsidRPr="00B4374B" w:rsidRDefault="00422063" w:rsidP="00422063">
      <w:pPr>
        <w:tabs>
          <w:tab w:val="left" w:pos="709"/>
        </w:tabs>
        <w:ind w:left="0" w:firstLine="0"/>
        <w:jc w:val="both"/>
        <w:outlineLvl w:val="0"/>
        <w:rPr>
          <w:szCs w:val="22"/>
        </w:rPr>
      </w:pPr>
      <w:r w:rsidRPr="00B4374B">
        <w:rPr>
          <w:b/>
          <w:szCs w:val="22"/>
        </w:rPr>
        <w:t>4.7</w:t>
      </w:r>
      <w:r w:rsidRPr="00B4374B">
        <w:rPr>
          <w:b/>
          <w:szCs w:val="22"/>
        </w:rPr>
        <w:tab/>
        <w:t xml:space="preserve">Použití v průběhu březosti, laktace nebo snášky </w:t>
      </w:r>
    </w:p>
    <w:p w:rsidR="00422063" w:rsidRPr="00B4374B" w:rsidRDefault="00422063" w:rsidP="00422063">
      <w:pPr>
        <w:tabs>
          <w:tab w:val="left" w:pos="709"/>
        </w:tabs>
        <w:ind w:left="0" w:firstLine="0"/>
        <w:jc w:val="both"/>
        <w:rPr>
          <w:szCs w:val="22"/>
        </w:rPr>
      </w:pPr>
      <w:r w:rsidRPr="00B4374B">
        <w:rPr>
          <w:szCs w:val="22"/>
        </w:rPr>
        <w:t xml:space="preserve"> </w:t>
      </w:r>
    </w:p>
    <w:p w:rsidR="00422063" w:rsidRPr="00B4374B" w:rsidRDefault="00422063" w:rsidP="00422063">
      <w:pPr>
        <w:ind w:left="0" w:firstLine="0"/>
        <w:jc w:val="both"/>
        <w:outlineLvl w:val="0"/>
        <w:rPr>
          <w:szCs w:val="22"/>
        </w:rPr>
      </w:pPr>
      <w:r w:rsidRPr="00B4374B">
        <w:rPr>
          <w:szCs w:val="22"/>
        </w:rPr>
        <w:t>Neuplatňuje se.</w:t>
      </w:r>
    </w:p>
    <w:p w:rsidR="00422063" w:rsidRPr="00B4374B" w:rsidRDefault="00422063" w:rsidP="00422063">
      <w:pPr>
        <w:ind w:left="0" w:firstLine="0"/>
        <w:jc w:val="both"/>
        <w:rPr>
          <w:szCs w:val="22"/>
        </w:rPr>
      </w:pPr>
    </w:p>
    <w:p w:rsidR="00422063" w:rsidRPr="00B4374B" w:rsidRDefault="00422063" w:rsidP="00422063">
      <w:pPr>
        <w:ind w:left="0" w:firstLine="0"/>
        <w:jc w:val="both"/>
        <w:outlineLvl w:val="0"/>
        <w:rPr>
          <w:szCs w:val="22"/>
        </w:rPr>
      </w:pPr>
      <w:r w:rsidRPr="00B4374B">
        <w:rPr>
          <w:b/>
          <w:szCs w:val="22"/>
        </w:rPr>
        <w:t>4.8</w:t>
      </w:r>
      <w:r w:rsidRPr="00B4374B">
        <w:rPr>
          <w:b/>
          <w:szCs w:val="22"/>
        </w:rPr>
        <w:tab/>
        <w:t xml:space="preserve">Interakce s dalšími léčivými přípravky a další formy interakce </w:t>
      </w:r>
    </w:p>
    <w:p w:rsidR="00422063" w:rsidRPr="00B4374B" w:rsidRDefault="00422063" w:rsidP="00422063">
      <w:pPr>
        <w:ind w:left="0" w:firstLine="0"/>
        <w:jc w:val="both"/>
        <w:rPr>
          <w:szCs w:val="22"/>
          <w:lang w:eastAsia="ar-SA"/>
        </w:rPr>
      </w:pPr>
      <w:r w:rsidRPr="00B4374B">
        <w:rPr>
          <w:szCs w:val="22"/>
          <w:lang w:eastAsia="ar-SA"/>
        </w:rPr>
        <w:t xml:space="preserve"> </w:t>
      </w:r>
    </w:p>
    <w:p w:rsidR="00422063" w:rsidRPr="00B4374B" w:rsidRDefault="00422063" w:rsidP="00422063">
      <w:pPr>
        <w:ind w:left="0" w:firstLine="0"/>
        <w:jc w:val="both"/>
        <w:rPr>
          <w:szCs w:val="22"/>
          <w:lang w:eastAsia="ar-SA"/>
        </w:rPr>
      </w:pPr>
      <w:r w:rsidRPr="00B4374B">
        <w:rPr>
          <w:szCs w:val="22"/>
          <w:lang w:eastAsia="ar-SA"/>
        </w:rPr>
        <w:t>Nejsou známy.</w:t>
      </w:r>
    </w:p>
    <w:p w:rsidR="00422063" w:rsidRPr="00B4374B" w:rsidRDefault="00422063" w:rsidP="00422063">
      <w:pPr>
        <w:ind w:left="0" w:firstLine="0"/>
        <w:jc w:val="both"/>
        <w:rPr>
          <w:szCs w:val="22"/>
          <w:lang w:eastAsia="ar-SA"/>
        </w:rPr>
      </w:pPr>
    </w:p>
    <w:p w:rsidR="00422063" w:rsidRPr="00B4374B" w:rsidRDefault="00422063" w:rsidP="00422063">
      <w:pPr>
        <w:ind w:left="0" w:firstLine="0"/>
        <w:jc w:val="both"/>
        <w:rPr>
          <w:szCs w:val="22"/>
          <w:lang w:eastAsia="ar-SA"/>
        </w:rPr>
      </w:pPr>
      <w:r w:rsidRPr="00BF75E8">
        <w:rPr>
          <w:szCs w:val="22"/>
          <w:lang w:eastAsia="ar-SA"/>
        </w:rPr>
        <w:t>Prasata</w:t>
      </w:r>
      <w:r w:rsidRPr="00490450">
        <w:rPr>
          <w:szCs w:val="22"/>
          <w:lang w:eastAsia="ar-SA"/>
        </w:rPr>
        <w:t xml:space="preserve">: </w:t>
      </w:r>
      <w:r w:rsidRPr="00710826">
        <w:rPr>
          <w:szCs w:val="22"/>
          <w:lang w:eastAsia="ar-SA"/>
        </w:rPr>
        <w:t>Nejsou známy interakce v kombinaci s doplňky obsah</w:t>
      </w:r>
      <w:r w:rsidRPr="001B10ED">
        <w:rPr>
          <w:szCs w:val="22"/>
          <w:lang w:eastAsia="ar-SA"/>
        </w:rPr>
        <w:t>ující železo.</w:t>
      </w:r>
    </w:p>
    <w:p w:rsidR="00422063" w:rsidRPr="00BF75E8" w:rsidRDefault="00422063" w:rsidP="00422063">
      <w:pPr>
        <w:ind w:left="0" w:firstLine="0"/>
        <w:jc w:val="both"/>
        <w:rPr>
          <w:szCs w:val="22"/>
          <w:u w:val="single"/>
        </w:rPr>
      </w:pPr>
    </w:p>
    <w:p w:rsidR="00422063" w:rsidRPr="001B10ED" w:rsidRDefault="00422063" w:rsidP="00422063">
      <w:pPr>
        <w:ind w:left="0" w:firstLine="0"/>
        <w:jc w:val="both"/>
        <w:outlineLvl w:val="0"/>
        <w:rPr>
          <w:b/>
          <w:bCs/>
          <w:szCs w:val="22"/>
        </w:rPr>
      </w:pPr>
      <w:r w:rsidRPr="00490450">
        <w:rPr>
          <w:b/>
          <w:szCs w:val="22"/>
        </w:rPr>
        <w:t>4.9</w:t>
      </w:r>
      <w:r w:rsidRPr="00490450">
        <w:rPr>
          <w:b/>
          <w:szCs w:val="22"/>
        </w:rPr>
        <w:tab/>
        <w:t xml:space="preserve">Podávané množství </w:t>
      </w:r>
      <w:r w:rsidRPr="00490450">
        <w:rPr>
          <w:b/>
          <w:bCs/>
          <w:szCs w:val="22"/>
        </w:rPr>
        <w:t>a způsob p</w:t>
      </w:r>
      <w:r w:rsidRPr="00710826">
        <w:rPr>
          <w:b/>
          <w:bCs/>
          <w:szCs w:val="22"/>
        </w:rPr>
        <w:t xml:space="preserve">odání </w:t>
      </w:r>
    </w:p>
    <w:p w:rsidR="00422063" w:rsidRPr="00B4374B" w:rsidRDefault="00422063" w:rsidP="00422063">
      <w:pPr>
        <w:ind w:left="0" w:firstLine="0"/>
        <w:jc w:val="both"/>
        <w:rPr>
          <w:szCs w:val="22"/>
          <w:lang w:eastAsia="ar-SA"/>
        </w:rPr>
      </w:pPr>
    </w:p>
    <w:p w:rsidR="00422063" w:rsidRPr="00B4374B" w:rsidRDefault="00422063" w:rsidP="00422063">
      <w:pPr>
        <w:pStyle w:val="Zkladntextodsazen"/>
        <w:ind w:left="0" w:firstLine="0"/>
        <w:jc w:val="both"/>
        <w:outlineLvl w:val="0"/>
        <w:rPr>
          <w:szCs w:val="22"/>
          <w:lang w:eastAsia="ar-SA"/>
        </w:rPr>
      </w:pPr>
      <w:r w:rsidRPr="00D9674F">
        <w:rPr>
          <w:bCs/>
          <w:szCs w:val="22"/>
        </w:rPr>
        <w:t xml:space="preserve">Perorální </w:t>
      </w:r>
      <w:r w:rsidRPr="00B4374B">
        <w:rPr>
          <w:szCs w:val="22"/>
          <w:lang w:eastAsia="ar-SA"/>
        </w:rPr>
        <w:t>podání.</w:t>
      </w:r>
    </w:p>
    <w:p w:rsidR="00422063" w:rsidRPr="00B4374B" w:rsidRDefault="00422063" w:rsidP="00422063">
      <w:pPr>
        <w:ind w:left="0" w:firstLine="0"/>
        <w:jc w:val="both"/>
        <w:rPr>
          <w:szCs w:val="22"/>
          <w:lang w:eastAsia="ar-SA"/>
        </w:rPr>
      </w:pPr>
    </w:p>
    <w:p w:rsidR="00422063" w:rsidRPr="00B4374B" w:rsidRDefault="00422063" w:rsidP="00422063">
      <w:pPr>
        <w:ind w:left="0" w:firstLine="0"/>
        <w:jc w:val="both"/>
        <w:rPr>
          <w:szCs w:val="22"/>
          <w:u w:val="single"/>
          <w:lang w:eastAsia="ar-SA"/>
        </w:rPr>
      </w:pPr>
      <w:r w:rsidRPr="00B4374B">
        <w:rPr>
          <w:szCs w:val="22"/>
          <w:u w:val="single"/>
          <w:lang w:eastAsia="ar-SA"/>
        </w:rPr>
        <w:t>Všechny druhy zvířat</w:t>
      </w:r>
    </w:p>
    <w:p w:rsidR="00422063" w:rsidRPr="001B10ED" w:rsidRDefault="00422063" w:rsidP="00422063">
      <w:pPr>
        <w:ind w:left="0" w:firstLine="0"/>
        <w:jc w:val="both"/>
        <w:rPr>
          <w:szCs w:val="22"/>
          <w:lang w:eastAsia="ar-SA"/>
        </w:rPr>
      </w:pPr>
      <w:r w:rsidRPr="00BF75E8">
        <w:rPr>
          <w:szCs w:val="22"/>
          <w:lang w:eastAsia="ar-SA"/>
        </w:rPr>
        <w:t>Perorální suspenze připravená na použití se musí p</w:t>
      </w:r>
      <w:r w:rsidRPr="00490450">
        <w:rPr>
          <w:szCs w:val="22"/>
          <w:lang w:eastAsia="ar-SA"/>
        </w:rPr>
        <w:t>řed podáním</w:t>
      </w:r>
      <w:r w:rsidRPr="00710826">
        <w:rPr>
          <w:szCs w:val="22"/>
          <w:lang w:eastAsia="ar-SA"/>
        </w:rPr>
        <w:t xml:space="preserve"> 20 sekund </w:t>
      </w:r>
      <w:r w:rsidRPr="001B10ED">
        <w:rPr>
          <w:szCs w:val="22"/>
          <w:lang w:eastAsia="ar-SA"/>
        </w:rPr>
        <w:t>protřepat.</w:t>
      </w:r>
    </w:p>
    <w:p w:rsidR="00422063" w:rsidRPr="00BF401C" w:rsidRDefault="00422063" w:rsidP="00422063">
      <w:pPr>
        <w:ind w:left="0" w:firstLine="0"/>
        <w:jc w:val="both"/>
        <w:rPr>
          <w:szCs w:val="22"/>
          <w:lang w:eastAsia="ar-SA"/>
        </w:rPr>
      </w:pPr>
      <w:r w:rsidRPr="00BF401C">
        <w:rPr>
          <w:szCs w:val="22"/>
          <w:lang w:eastAsia="ar-SA"/>
        </w:rPr>
        <w:t xml:space="preserve">K zajištění podání odpovídající dávky by se měla co nejpřesněji určit živá hmotnost. </w:t>
      </w:r>
    </w:p>
    <w:p w:rsidR="00422063" w:rsidRPr="00BF401C" w:rsidRDefault="00422063" w:rsidP="00422063">
      <w:pPr>
        <w:ind w:left="0" w:firstLine="0"/>
        <w:jc w:val="both"/>
        <w:rPr>
          <w:szCs w:val="22"/>
        </w:rPr>
      </w:pPr>
    </w:p>
    <w:p w:rsidR="00422063" w:rsidRPr="00BF401C" w:rsidRDefault="00422063" w:rsidP="00422063">
      <w:pPr>
        <w:ind w:left="0" w:firstLine="0"/>
        <w:jc w:val="both"/>
        <w:rPr>
          <w:szCs w:val="22"/>
          <w:u w:val="single"/>
          <w:lang w:eastAsia="ar-SA"/>
        </w:rPr>
      </w:pPr>
      <w:r w:rsidRPr="00BF401C">
        <w:rPr>
          <w:szCs w:val="22"/>
          <w:u w:val="single"/>
          <w:lang w:eastAsia="ar-SA"/>
        </w:rPr>
        <w:t>Skot:</w:t>
      </w:r>
    </w:p>
    <w:p w:rsidR="00422063" w:rsidRPr="00BF401C" w:rsidRDefault="00422063" w:rsidP="00422063">
      <w:pPr>
        <w:ind w:left="0" w:firstLine="0"/>
        <w:jc w:val="both"/>
        <w:rPr>
          <w:szCs w:val="22"/>
          <w:lang w:eastAsia="ar-SA"/>
        </w:rPr>
      </w:pPr>
      <w:r w:rsidRPr="00BF401C">
        <w:rPr>
          <w:szCs w:val="22"/>
          <w:lang w:eastAsia="ar-SA"/>
        </w:rPr>
        <w:t xml:space="preserve">Každé zvíře by mělo být ošetřeno jednorázovou perorální dávkou 15 mg </w:t>
      </w:r>
      <w:proofErr w:type="spellStart"/>
      <w:r w:rsidRPr="00BF401C">
        <w:rPr>
          <w:szCs w:val="22"/>
          <w:lang w:eastAsia="ar-SA"/>
        </w:rPr>
        <w:t>toltrazurilu</w:t>
      </w:r>
      <w:proofErr w:type="spellEnd"/>
      <w:r w:rsidRPr="00BF401C">
        <w:rPr>
          <w:szCs w:val="22"/>
          <w:lang w:eastAsia="ar-SA"/>
        </w:rPr>
        <w:t xml:space="preserve">/kg ž. hm., což odpovídá 3,0 ml </w:t>
      </w:r>
      <w:r>
        <w:rPr>
          <w:szCs w:val="22"/>
          <w:lang w:eastAsia="ar-SA"/>
        </w:rPr>
        <w:t>per</w:t>
      </w:r>
      <w:r w:rsidRPr="00BF401C">
        <w:rPr>
          <w:szCs w:val="22"/>
          <w:lang w:eastAsia="ar-SA"/>
        </w:rPr>
        <w:t>orální suspenze na 10 kg ž. hm.</w:t>
      </w:r>
    </w:p>
    <w:p w:rsidR="00422063" w:rsidRPr="00BF401C" w:rsidRDefault="00422063" w:rsidP="00422063">
      <w:pPr>
        <w:ind w:left="0" w:firstLine="0"/>
        <w:jc w:val="both"/>
        <w:rPr>
          <w:szCs w:val="22"/>
          <w:lang w:eastAsia="ar-SA"/>
        </w:rPr>
      </w:pPr>
      <w:r w:rsidRPr="00BF401C">
        <w:rPr>
          <w:szCs w:val="22"/>
          <w:lang w:eastAsia="ar-SA"/>
        </w:rPr>
        <w:t>Při léčbě skupiny zvířat stejného plemene a stejného nebo podobného věku by měla být dávka vypočtena podle nejtěžšího zvířete ve skupině.</w:t>
      </w:r>
    </w:p>
    <w:p w:rsidR="00422063" w:rsidRPr="009779C6" w:rsidRDefault="00422063" w:rsidP="00422063">
      <w:pPr>
        <w:ind w:left="0" w:firstLine="0"/>
        <w:jc w:val="both"/>
        <w:rPr>
          <w:szCs w:val="22"/>
          <w:lang w:eastAsia="ar-SA"/>
        </w:rPr>
      </w:pPr>
    </w:p>
    <w:p w:rsidR="00422063" w:rsidRPr="00876D45" w:rsidRDefault="00422063" w:rsidP="00422063">
      <w:pPr>
        <w:ind w:left="0" w:firstLine="0"/>
        <w:jc w:val="both"/>
        <w:rPr>
          <w:szCs w:val="22"/>
          <w:u w:val="single"/>
          <w:lang w:eastAsia="ar-SA"/>
        </w:rPr>
      </w:pPr>
      <w:r w:rsidRPr="00876D45">
        <w:rPr>
          <w:szCs w:val="22"/>
          <w:u w:val="single"/>
          <w:lang w:eastAsia="ar-SA"/>
        </w:rPr>
        <w:t>Prasata:</w:t>
      </w:r>
    </w:p>
    <w:p w:rsidR="00422063" w:rsidRPr="00D9674F" w:rsidRDefault="00422063" w:rsidP="00422063">
      <w:pPr>
        <w:ind w:left="0" w:firstLine="0"/>
        <w:jc w:val="both"/>
        <w:rPr>
          <w:szCs w:val="22"/>
          <w:lang w:eastAsia="ar-SA"/>
        </w:rPr>
      </w:pPr>
      <w:bookmarkStart w:id="5" w:name="_Hlk84336315"/>
      <w:r w:rsidRPr="00F61A77">
        <w:rPr>
          <w:szCs w:val="22"/>
          <w:lang w:eastAsia="ar-SA"/>
        </w:rPr>
        <w:t xml:space="preserve">Každé sele by mělo být ošetřeno 3-5 den po narození jednorázovou perorální dávkou 20 mg </w:t>
      </w:r>
      <w:proofErr w:type="spellStart"/>
      <w:r w:rsidRPr="00F61A77">
        <w:rPr>
          <w:szCs w:val="22"/>
          <w:lang w:eastAsia="ar-SA"/>
        </w:rPr>
        <w:t>toltrazurilu</w:t>
      </w:r>
      <w:proofErr w:type="spellEnd"/>
      <w:r w:rsidRPr="00F61A77">
        <w:rPr>
          <w:szCs w:val="22"/>
          <w:lang w:eastAsia="ar-SA"/>
        </w:rPr>
        <w:t xml:space="preserve">/kg ž. hm., </w:t>
      </w:r>
      <w:r w:rsidRPr="00F61A77">
        <w:rPr>
          <w:color w:val="000000"/>
          <w:spacing w:val="-2"/>
          <w:szCs w:val="22"/>
        </w:rPr>
        <w:t xml:space="preserve">což odpovídá 0,4 ml perorální suspenze na kg ž. </w:t>
      </w:r>
      <w:r w:rsidRPr="00F61A77">
        <w:rPr>
          <w:color w:val="000000"/>
          <w:spacing w:val="-6"/>
          <w:szCs w:val="22"/>
          <w:lang w:eastAsia="cs-CZ"/>
        </w:rPr>
        <w:t>hm.</w:t>
      </w:r>
    </w:p>
    <w:bookmarkEnd w:id="5"/>
    <w:p w:rsidR="00422063" w:rsidRPr="00D9674F" w:rsidRDefault="00422063" w:rsidP="00422063">
      <w:pPr>
        <w:ind w:left="0" w:firstLine="0"/>
        <w:jc w:val="both"/>
        <w:rPr>
          <w:szCs w:val="22"/>
          <w:lang w:eastAsia="ar-SA"/>
        </w:rPr>
      </w:pPr>
      <w:r w:rsidRPr="00D9674F">
        <w:rPr>
          <w:szCs w:val="22"/>
          <w:lang w:eastAsia="ar-SA"/>
        </w:rPr>
        <w:t>Vzhledem k malým objemům požadovaným k léčbě jednotlivých selat se doporučuje použití dávkovacího zařízení s přesností 0,1 ml.</w:t>
      </w:r>
    </w:p>
    <w:p w:rsidR="00422063" w:rsidRPr="00D9674F" w:rsidRDefault="00422063" w:rsidP="00422063">
      <w:pPr>
        <w:ind w:left="0" w:firstLine="0"/>
        <w:jc w:val="both"/>
        <w:rPr>
          <w:szCs w:val="22"/>
          <w:u w:val="single"/>
          <w:lang w:eastAsia="ar-SA"/>
        </w:rPr>
      </w:pPr>
    </w:p>
    <w:p w:rsidR="00422063" w:rsidRPr="00D9674F" w:rsidRDefault="00422063" w:rsidP="00422063">
      <w:pPr>
        <w:ind w:left="0" w:firstLine="0"/>
        <w:jc w:val="both"/>
        <w:rPr>
          <w:szCs w:val="22"/>
          <w:u w:val="single"/>
          <w:lang w:eastAsia="ar-SA"/>
        </w:rPr>
      </w:pPr>
      <w:r w:rsidRPr="00D9674F">
        <w:rPr>
          <w:szCs w:val="22"/>
          <w:u w:val="single"/>
          <w:lang w:eastAsia="ar-SA"/>
        </w:rPr>
        <w:t>Ovce:</w:t>
      </w:r>
    </w:p>
    <w:p w:rsidR="00422063" w:rsidRPr="00BF75E8" w:rsidRDefault="00422063" w:rsidP="00422063">
      <w:pPr>
        <w:ind w:left="0" w:firstLine="0"/>
        <w:jc w:val="both"/>
        <w:rPr>
          <w:szCs w:val="22"/>
          <w:lang w:eastAsia="ar-SA"/>
        </w:rPr>
      </w:pPr>
      <w:r w:rsidRPr="00D9674F">
        <w:rPr>
          <w:szCs w:val="22"/>
          <w:lang w:eastAsia="ar-SA"/>
        </w:rPr>
        <w:t xml:space="preserve">Každé zvíře je nutno ošetřit jednorázovou perorální dávkou 20 mg </w:t>
      </w:r>
      <w:proofErr w:type="spellStart"/>
      <w:r w:rsidRPr="00D9674F">
        <w:rPr>
          <w:szCs w:val="22"/>
          <w:lang w:eastAsia="ar-SA"/>
        </w:rPr>
        <w:t>toltrazurilu</w:t>
      </w:r>
      <w:proofErr w:type="spellEnd"/>
      <w:r w:rsidRPr="00D9674F">
        <w:rPr>
          <w:szCs w:val="22"/>
          <w:lang w:eastAsia="ar-SA"/>
        </w:rPr>
        <w:t xml:space="preserve">/kg ž. hm., což odpovídá 0,4 ml perorální suspenze na </w:t>
      </w:r>
      <w:r w:rsidRPr="00B4374B">
        <w:rPr>
          <w:color w:val="000000"/>
          <w:spacing w:val="-2"/>
          <w:szCs w:val="22"/>
        </w:rPr>
        <w:t xml:space="preserve">kg ž. </w:t>
      </w:r>
      <w:r w:rsidRPr="00B4374B">
        <w:rPr>
          <w:color w:val="000000"/>
          <w:spacing w:val="-6"/>
          <w:szCs w:val="22"/>
          <w:lang w:eastAsia="cs-CZ"/>
        </w:rPr>
        <w:t>hm.</w:t>
      </w:r>
    </w:p>
    <w:p w:rsidR="00422063" w:rsidRPr="001B10ED" w:rsidRDefault="00422063" w:rsidP="00422063">
      <w:pPr>
        <w:ind w:left="0" w:firstLine="0"/>
        <w:jc w:val="both"/>
        <w:rPr>
          <w:szCs w:val="22"/>
          <w:lang w:eastAsia="ar-SA"/>
        </w:rPr>
      </w:pPr>
      <w:r w:rsidRPr="00490450">
        <w:rPr>
          <w:szCs w:val="22"/>
          <w:lang w:eastAsia="ar-SA"/>
        </w:rPr>
        <w:t>Pokud se mají zvířata léčit spíše hromadně než jednotlivě, musí být sesku</w:t>
      </w:r>
      <w:r w:rsidRPr="00710826">
        <w:rPr>
          <w:szCs w:val="22"/>
          <w:lang w:eastAsia="ar-SA"/>
        </w:rPr>
        <w:t>pena podle živé</w:t>
      </w:r>
      <w:r w:rsidRPr="001B10ED">
        <w:rPr>
          <w:szCs w:val="22"/>
          <w:lang w:eastAsia="ar-SA"/>
        </w:rPr>
        <w:t xml:space="preserve"> hmotnosti a podle toho jim podána dávka, aby se zamezilo </w:t>
      </w:r>
      <w:proofErr w:type="spellStart"/>
      <w:r w:rsidRPr="001B10ED">
        <w:rPr>
          <w:szCs w:val="22"/>
          <w:lang w:eastAsia="ar-SA"/>
        </w:rPr>
        <w:t>poddávkování</w:t>
      </w:r>
      <w:proofErr w:type="spellEnd"/>
      <w:r w:rsidRPr="001B10ED">
        <w:rPr>
          <w:szCs w:val="22"/>
          <w:lang w:eastAsia="ar-SA"/>
        </w:rPr>
        <w:t xml:space="preserve"> nebo předávkování.</w:t>
      </w:r>
    </w:p>
    <w:p w:rsidR="00422063" w:rsidRPr="001B10ED" w:rsidRDefault="00422063" w:rsidP="00422063">
      <w:pPr>
        <w:ind w:left="0" w:firstLine="0"/>
        <w:jc w:val="both"/>
        <w:rPr>
          <w:szCs w:val="22"/>
          <w:u w:val="single"/>
          <w:lang w:eastAsia="ar-SA"/>
        </w:rPr>
      </w:pPr>
    </w:p>
    <w:p w:rsidR="00422063" w:rsidRPr="001B10ED" w:rsidRDefault="00422063" w:rsidP="00422063">
      <w:pPr>
        <w:ind w:left="0" w:firstLine="0"/>
        <w:jc w:val="both"/>
        <w:rPr>
          <w:b/>
          <w:szCs w:val="22"/>
        </w:rPr>
      </w:pPr>
      <w:r w:rsidRPr="001B10ED">
        <w:rPr>
          <w:b/>
          <w:szCs w:val="22"/>
        </w:rPr>
        <w:t>4.10</w:t>
      </w:r>
      <w:r w:rsidRPr="001B10ED">
        <w:rPr>
          <w:b/>
          <w:szCs w:val="22"/>
        </w:rPr>
        <w:tab/>
        <w:t>Předávkování (symptomy, první pomoc, antidota), pokud je to nutné</w:t>
      </w:r>
    </w:p>
    <w:p w:rsidR="00422063" w:rsidRPr="001B10ED" w:rsidRDefault="00422063" w:rsidP="00422063">
      <w:pPr>
        <w:ind w:left="0" w:firstLine="0"/>
        <w:jc w:val="both"/>
        <w:rPr>
          <w:szCs w:val="22"/>
        </w:rPr>
      </w:pPr>
    </w:p>
    <w:p w:rsidR="00422063" w:rsidRPr="00BF401C" w:rsidRDefault="00422063" w:rsidP="00422063">
      <w:pPr>
        <w:tabs>
          <w:tab w:val="left" w:pos="0"/>
        </w:tabs>
        <w:ind w:left="0" w:firstLine="0"/>
        <w:jc w:val="both"/>
        <w:rPr>
          <w:szCs w:val="22"/>
        </w:rPr>
      </w:pPr>
      <w:r w:rsidRPr="001B10ED">
        <w:rPr>
          <w:szCs w:val="22"/>
        </w:rPr>
        <w:t>U zdravých selat a telat nebyly pozorovány žádné příznaky intolerance po trojnásobném předáv</w:t>
      </w:r>
      <w:r>
        <w:rPr>
          <w:szCs w:val="22"/>
        </w:rPr>
        <w:t>k</w:t>
      </w:r>
      <w:r w:rsidRPr="001B10ED">
        <w:rPr>
          <w:szCs w:val="22"/>
        </w:rPr>
        <w:t>ování.</w:t>
      </w:r>
      <w:r w:rsidRPr="00BF401C">
        <w:rPr>
          <w:szCs w:val="22"/>
        </w:rPr>
        <w:t xml:space="preserve"> </w:t>
      </w:r>
      <w:bookmarkStart w:id="6" w:name="_Hlk84931135"/>
      <w:bookmarkStart w:id="7" w:name="_Hlk84934685"/>
      <w:r w:rsidRPr="00BF401C">
        <w:rPr>
          <w:szCs w:val="22"/>
        </w:rPr>
        <w:t>U jehňat nebyly pozorovány známky předávkování po trojnásobném předávkování jednorázově a dvojnásobném předávkování dva po sobě jdoucí dny.</w:t>
      </w:r>
    </w:p>
    <w:bookmarkEnd w:id="6"/>
    <w:p w:rsidR="00422063" w:rsidRPr="00BF401C" w:rsidRDefault="00422063" w:rsidP="00422063">
      <w:pPr>
        <w:ind w:left="0" w:firstLine="0"/>
        <w:jc w:val="both"/>
        <w:rPr>
          <w:szCs w:val="22"/>
        </w:rPr>
      </w:pPr>
    </w:p>
    <w:bookmarkEnd w:id="7"/>
    <w:p w:rsidR="00422063" w:rsidRPr="00BF401C" w:rsidRDefault="00422063" w:rsidP="00422063">
      <w:pPr>
        <w:keepNext/>
        <w:ind w:left="0" w:firstLine="0"/>
        <w:jc w:val="both"/>
        <w:outlineLvl w:val="0"/>
        <w:rPr>
          <w:szCs w:val="22"/>
        </w:rPr>
      </w:pPr>
      <w:r w:rsidRPr="00BF401C">
        <w:rPr>
          <w:b/>
          <w:szCs w:val="22"/>
        </w:rPr>
        <w:t>4.11</w:t>
      </w:r>
      <w:r w:rsidRPr="00BF401C">
        <w:rPr>
          <w:b/>
          <w:szCs w:val="22"/>
        </w:rPr>
        <w:tab/>
        <w:t>Ochranná(é) lhůta(y)</w:t>
      </w:r>
    </w:p>
    <w:p w:rsidR="00422063" w:rsidRPr="00BF401C" w:rsidRDefault="00422063" w:rsidP="00422063">
      <w:pPr>
        <w:keepNext/>
        <w:ind w:left="0" w:firstLine="0"/>
        <w:jc w:val="both"/>
        <w:rPr>
          <w:szCs w:val="22"/>
        </w:rPr>
      </w:pPr>
    </w:p>
    <w:p w:rsidR="00422063" w:rsidRPr="00BF401C" w:rsidRDefault="00422063" w:rsidP="00422063">
      <w:pPr>
        <w:ind w:left="0" w:firstLine="0"/>
        <w:jc w:val="both"/>
        <w:rPr>
          <w:szCs w:val="22"/>
          <w:u w:val="single"/>
        </w:rPr>
      </w:pPr>
      <w:r w:rsidRPr="00BF401C">
        <w:rPr>
          <w:szCs w:val="22"/>
          <w:u w:val="single"/>
        </w:rPr>
        <w:t>Skot:</w:t>
      </w:r>
    </w:p>
    <w:p w:rsidR="00422063" w:rsidRPr="00862630" w:rsidRDefault="00422063" w:rsidP="00422063">
      <w:pPr>
        <w:ind w:left="0" w:firstLine="0"/>
        <w:jc w:val="both"/>
        <w:outlineLvl w:val="0"/>
        <w:rPr>
          <w:szCs w:val="22"/>
        </w:rPr>
      </w:pPr>
      <w:r w:rsidRPr="00862630">
        <w:rPr>
          <w:szCs w:val="22"/>
        </w:rPr>
        <w:t>Maso: 63 dnů</w:t>
      </w:r>
    </w:p>
    <w:p w:rsidR="00422063" w:rsidRPr="00316351" w:rsidRDefault="00422063" w:rsidP="00422063">
      <w:pPr>
        <w:ind w:left="0" w:firstLine="0"/>
        <w:jc w:val="both"/>
        <w:rPr>
          <w:szCs w:val="22"/>
        </w:rPr>
      </w:pPr>
      <w:r w:rsidRPr="009779C6">
        <w:rPr>
          <w:szCs w:val="22"/>
        </w:rPr>
        <w:t>Mléko: Nepoužívat u zvířat, jejichž mléko je určeno pro lidskou spotřebu</w:t>
      </w:r>
      <w:r w:rsidRPr="00876D45">
        <w:rPr>
          <w:szCs w:val="22"/>
        </w:rPr>
        <w:t>.</w:t>
      </w:r>
    </w:p>
    <w:p w:rsidR="00422063" w:rsidRDefault="00422063" w:rsidP="00422063">
      <w:pPr>
        <w:ind w:left="0" w:firstLine="0"/>
        <w:jc w:val="both"/>
        <w:rPr>
          <w:szCs w:val="22"/>
          <w:u w:val="single"/>
        </w:rPr>
      </w:pPr>
    </w:p>
    <w:p w:rsidR="00422063" w:rsidRPr="00490450" w:rsidRDefault="00422063" w:rsidP="00422063">
      <w:pPr>
        <w:ind w:left="0" w:firstLine="0"/>
        <w:jc w:val="both"/>
        <w:rPr>
          <w:szCs w:val="22"/>
          <w:u w:val="single"/>
        </w:rPr>
      </w:pPr>
      <w:r w:rsidRPr="00BF75E8">
        <w:rPr>
          <w:szCs w:val="22"/>
          <w:u w:val="single"/>
        </w:rPr>
        <w:t>Prasata</w:t>
      </w:r>
      <w:r w:rsidRPr="00490450">
        <w:rPr>
          <w:szCs w:val="22"/>
          <w:u w:val="single"/>
        </w:rPr>
        <w:t>:</w:t>
      </w:r>
    </w:p>
    <w:p w:rsidR="00422063" w:rsidRPr="00710826" w:rsidRDefault="00422063" w:rsidP="00422063">
      <w:pPr>
        <w:ind w:left="0" w:firstLine="0"/>
        <w:jc w:val="both"/>
        <w:rPr>
          <w:szCs w:val="22"/>
        </w:rPr>
      </w:pPr>
      <w:r w:rsidRPr="00710826">
        <w:rPr>
          <w:szCs w:val="22"/>
        </w:rPr>
        <w:t>Maso: 77 dnů</w:t>
      </w:r>
    </w:p>
    <w:p w:rsidR="00422063" w:rsidRPr="00710826" w:rsidRDefault="00422063" w:rsidP="00422063">
      <w:pPr>
        <w:ind w:left="0" w:firstLine="0"/>
        <w:jc w:val="both"/>
        <w:rPr>
          <w:szCs w:val="22"/>
          <w:u w:val="single"/>
        </w:rPr>
      </w:pPr>
    </w:p>
    <w:p w:rsidR="00422063" w:rsidRPr="001B10ED" w:rsidRDefault="00422063" w:rsidP="00422063">
      <w:pPr>
        <w:ind w:left="0" w:firstLine="0"/>
        <w:jc w:val="both"/>
        <w:rPr>
          <w:szCs w:val="22"/>
          <w:u w:val="single"/>
        </w:rPr>
      </w:pPr>
      <w:r w:rsidRPr="001B10ED">
        <w:rPr>
          <w:szCs w:val="22"/>
          <w:u w:val="single"/>
        </w:rPr>
        <w:t>Ovce:</w:t>
      </w:r>
    </w:p>
    <w:p w:rsidR="00422063" w:rsidRPr="001B10ED" w:rsidRDefault="00422063" w:rsidP="00422063">
      <w:pPr>
        <w:ind w:left="0" w:firstLine="0"/>
        <w:jc w:val="both"/>
        <w:rPr>
          <w:szCs w:val="22"/>
        </w:rPr>
      </w:pPr>
      <w:r w:rsidRPr="001B10ED">
        <w:rPr>
          <w:szCs w:val="22"/>
        </w:rPr>
        <w:t>Maso: 42 dní</w:t>
      </w:r>
    </w:p>
    <w:p w:rsidR="00422063" w:rsidRPr="00316394" w:rsidRDefault="00422063" w:rsidP="00422063">
      <w:pPr>
        <w:ind w:left="0" w:firstLine="0"/>
        <w:jc w:val="both"/>
        <w:rPr>
          <w:szCs w:val="22"/>
        </w:rPr>
      </w:pPr>
      <w:r w:rsidRPr="001B10ED">
        <w:rPr>
          <w:szCs w:val="22"/>
        </w:rPr>
        <w:t>Mléko: Nepoužívat u zvířat, jejichž mléko je určeno pro lidskou spotřebu.</w:t>
      </w:r>
    </w:p>
    <w:p w:rsidR="00422063" w:rsidRPr="00BF401C" w:rsidRDefault="00422063" w:rsidP="00422063">
      <w:pPr>
        <w:ind w:left="0" w:firstLine="0"/>
        <w:jc w:val="both"/>
        <w:rPr>
          <w:szCs w:val="22"/>
        </w:rPr>
      </w:pPr>
    </w:p>
    <w:p w:rsidR="00422063" w:rsidRPr="00BF401C" w:rsidRDefault="00422063" w:rsidP="00422063">
      <w:pPr>
        <w:ind w:left="0" w:firstLine="0"/>
        <w:jc w:val="both"/>
        <w:rPr>
          <w:szCs w:val="22"/>
          <w:u w:val="single"/>
          <w:lang w:eastAsia="ar-SA"/>
        </w:rPr>
      </w:pPr>
    </w:p>
    <w:p w:rsidR="00422063" w:rsidRPr="00BF401C" w:rsidRDefault="00422063" w:rsidP="00422063">
      <w:pPr>
        <w:ind w:left="0" w:firstLine="0"/>
        <w:jc w:val="both"/>
        <w:outlineLvl w:val="0"/>
        <w:rPr>
          <w:szCs w:val="22"/>
        </w:rPr>
      </w:pPr>
      <w:r w:rsidRPr="00BF401C">
        <w:rPr>
          <w:b/>
          <w:szCs w:val="22"/>
        </w:rPr>
        <w:t>5.</w:t>
      </w:r>
      <w:r w:rsidRPr="00BF401C">
        <w:rPr>
          <w:b/>
          <w:szCs w:val="22"/>
        </w:rPr>
        <w:tab/>
        <w:t xml:space="preserve">FARMAKOLOGICKÉ VLASTNOSTI </w:t>
      </w:r>
    </w:p>
    <w:p w:rsidR="00422063" w:rsidRPr="00BF401C" w:rsidRDefault="00422063" w:rsidP="00422063">
      <w:pPr>
        <w:ind w:left="0" w:firstLine="0"/>
        <w:jc w:val="both"/>
        <w:rPr>
          <w:szCs w:val="22"/>
        </w:rPr>
      </w:pPr>
    </w:p>
    <w:p w:rsidR="00422063" w:rsidRPr="00F0024C" w:rsidRDefault="00422063" w:rsidP="00422063">
      <w:pPr>
        <w:ind w:left="0" w:firstLine="0"/>
        <w:jc w:val="both"/>
        <w:outlineLvl w:val="0"/>
        <w:rPr>
          <w:szCs w:val="22"/>
        </w:rPr>
      </w:pPr>
      <w:r w:rsidRPr="00BF401C">
        <w:rPr>
          <w:szCs w:val="22"/>
        </w:rPr>
        <w:t xml:space="preserve">Farmakoterapeutická skupina: </w:t>
      </w:r>
      <w:proofErr w:type="spellStart"/>
      <w:r>
        <w:rPr>
          <w:szCs w:val="22"/>
        </w:rPr>
        <w:t>a</w:t>
      </w:r>
      <w:r w:rsidRPr="00F0024C">
        <w:rPr>
          <w:szCs w:val="22"/>
        </w:rPr>
        <w:t>ntiprotozoika</w:t>
      </w:r>
      <w:proofErr w:type="spellEnd"/>
      <w:r w:rsidRPr="00F0024C">
        <w:rPr>
          <w:szCs w:val="22"/>
        </w:rPr>
        <w:t>, triaziny</w:t>
      </w:r>
      <w:r w:rsidR="002D3181">
        <w:rPr>
          <w:szCs w:val="22"/>
        </w:rPr>
        <w:t xml:space="preserve"> proti kokcidióze</w:t>
      </w:r>
      <w:r w:rsidRPr="00F0024C">
        <w:rPr>
          <w:szCs w:val="22"/>
        </w:rPr>
        <w:t>.</w:t>
      </w:r>
    </w:p>
    <w:p w:rsidR="00422063" w:rsidRPr="00BF401C" w:rsidRDefault="00422063" w:rsidP="00422063">
      <w:pPr>
        <w:ind w:left="0" w:firstLine="0"/>
        <w:jc w:val="both"/>
        <w:outlineLvl w:val="0"/>
        <w:rPr>
          <w:szCs w:val="22"/>
        </w:rPr>
      </w:pPr>
      <w:proofErr w:type="spellStart"/>
      <w:r w:rsidRPr="00BF401C">
        <w:rPr>
          <w:szCs w:val="22"/>
        </w:rPr>
        <w:t>ATCvet</w:t>
      </w:r>
      <w:proofErr w:type="spellEnd"/>
      <w:r w:rsidRPr="00BF401C">
        <w:rPr>
          <w:szCs w:val="22"/>
        </w:rPr>
        <w:t xml:space="preserve"> kód: </w:t>
      </w:r>
      <w:r w:rsidR="002D3181" w:rsidRPr="00BF401C">
        <w:rPr>
          <w:szCs w:val="22"/>
        </w:rPr>
        <w:t>QP51</w:t>
      </w:r>
      <w:r w:rsidR="002D3181">
        <w:rPr>
          <w:szCs w:val="22"/>
        </w:rPr>
        <w:t>BC</w:t>
      </w:r>
      <w:r w:rsidR="002D3181" w:rsidRPr="00BF401C">
        <w:rPr>
          <w:szCs w:val="22"/>
        </w:rPr>
        <w:t>01</w:t>
      </w:r>
    </w:p>
    <w:p w:rsidR="00422063" w:rsidRPr="00BF401C" w:rsidRDefault="00422063" w:rsidP="00422063">
      <w:pPr>
        <w:ind w:left="0" w:firstLine="0"/>
        <w:jc w:val="both"/>
        <w:rPr>
          <w:szCs w:val="22"/>
        </w:rPr>
      </w:pPr>
    </w:p>
    <w:p w:rsidR="00422063" w:rsidRPr="00BF401C" w:rsidRDefault="00422063" w:rsidP="00422063">
      <w:pPr>
        <w:ind w:left="0" w:firstLine="0"/>
        <w:jc w:val="both"/>
        <w:outlineLvl w:val="0"/>
        <w:rPr>
          <w:b/>
          <w:szCs w:val="22"/>
        </w:rPr>
      </w:pPr>
      <w:r w:rsidRPr="00BF401C">
        <w:rPr>
          <w:b/>
          <w:szCs w:val="22"/>
        </w:rPr>
        <w:t>5.1</w:t>
      </w:r>
      <w:r w:rsidRPr="00BF401C">
        <w:rPr>
          <w:b/>
          <w:szCs w:val="22"/>
        </w:rPr>
        <w:tab/>
        <w:t xml:space="preserve">Farmakodynamické vlastnosti </w:t>
      </w:r>
    </w:p>
    <w:p w:rsidR="00422063" w:rsidRPr="00BF401C" w:rsidRDefault="00422063" w:rsidP="00422063">
      <w:pPr>
        <w:ind w:left="0" w:firstLine="0"/>
        <w:jc w:val="both"/>
        <w:rPr>
          <w:szCs w:val="22"/>
        </w:rPr>
      </w:pPr>
    </w:p>
    <w:p w:rsidR="00422063" w:rsidRPr="001B10ED" w:rsidRDefault="00422063" w:rsidP="00422063">
      <w:pPr>
        <w:shd w:val="clear" w:color="auto" w:fill="FFFFFF"/>
        <w:ind w:left="0" w:firstLine="0"/>
        <w:jc w:val="both"/>
        <w:rPr>
          <w:color w:val="000000"/>
          <w:spacing w:val="-2"/>
          <w:szCs w:val="22"/>
        </w:rPr>
      </w:pPr>
      <w:proofErr w:type="spellStart"/>
      <w:r w:rsidRPr="00BF401C">
        <w:rPr>
          <w:szCs w:val="22"/>
        </w:rPr>
        <w:t>Toltrazuril</w:t>
      </w:r>
      <w:proofErr w:type="spellEnd"/>
      <w:r w:rsidRPr="00BF401C">
        <w:rPr>
          <w:szCs w:val="22"/>
        </w:rPr>
        <w:t xml:space="preserve"> je derivát </w:t>
      </w:r>
      <w:proofErr w:type="spellStart"/>
      <w:r w:rsidRPr="00BF401C">
        <w:rPr>
          <w:szCs w:val="22"/>
        </w:rPr>
        <w:t>triazinonu</w:t>
      </w:r>
      <w:proofErr w:type="spellEnd"/>
      <w:r w:rsidRPr="00BF401C">
        <w:rPr>
          <w:szCs w:val="22"/>
        </w:rPr>
        <w:t xml:space="preserve">. Je účinný proti kokcidiím rodu </w:t>
      </w:r>
      <w:proofErr w:type="spellStart"/>
      <w:r w:rsidRPr="00BF401C">
        <w:rPr>
          <w:i/>
          <w:iCs/>
          <w:szCs w:val="22"/>
        </w:rPr>
        <w:t>Cystoisospora</w:t>
      </w:r>
      <w:proofErr w:type="spellEnd"/>
      <w:r>
        <w:rPr>
          <w:szCs w:val="22"/>
        </w:rPr>
        <w:t xml:space="preserve"> </w:t>
      </w:r>
      <w:r w:rsidRPr="00BF75E8">
        <w:rPr>
          <w:szCs w:val="22"/>
        </w:rPr>
        <w:t>a</w:t>
      </w:r>
      <w:r w:rsidRPr="00490450">
        <w:rPr>
          <w:szCs w:val="22"/>
        </w:rPr>
        <w:t xml:space="preserve"> </w:t>
      </w:r>
      <w:proofErr w:type="spellStart"/>
      <w:r w:rsidRPr="00490450">
        <w:rPr>
          <w:i/>
          <w:szCs w:val="22"/>
        </w:rPr>
        <w:t>Eimeria</w:t>
      </w:r>
      <w:proofErr w:type="spellEnd"/>
      <w:r w:rsidRPr="00490450">
        <w:rPr>
          <w:i/>
          <w:szCs w:val="22"/>
        </w:rPr>
        <w:t>.</w:t>
      </w:r>
      <w:r w:rsidRPr="00710826">
        <w:rPr>
          <w:szCs w:val="22"/>
        </w:rPr>
        <w:t xml:space="preserve"> </w:t>
      </w:r>
      <w:r w:rsidRPr="00710826">
        <w:rPr>
          <w:snapToGrid w:val="0"/>
          <w:szCs w:val="22"/>
        </w:rPr>
        <w:t>Je účinný proti</w:t>
      </w:r>
      <w:r w:rsidRPr="001B10ED">
        <w:rPr>
          <w:snapToGrid w:val="0"/>
          <w:szCs w:val="22"/>
        </w:rPr>
        <w:t xml:space="preserve"> všem vnitrobuněčným vývojovým stádiím kokcidií během </w:t>
      </w:r>
      <w:proofErr w:type="spellStart"/>
      <w:r w:rsidRPr="001B10ED">
        <w:rPr>
          <w:szCs w:val="22"/>
        </w:rPr>
        <w:t>merogonie</w:t>
      </w:r>
      <w:proofErr w:type="spellEnd"/>
      <w:r w:rsidRPr="001B10ED">
        <w:rPr>
          <w:szCs w:val="22"/>
        </w:rPr>
        <w:t xml:space="preserve"> (nepohlavní rozmnožování) a</w:t>
      </w:r>
      <w:r w:rsidR="002D3181">
        <w:rPr>
          <w:szCs w:val="22"/>
        </w:rPr>
        <w:t> </w:t>
      </w:r>
      <w:proofErr w:type="spellStart"/>
      <w:r w:rsidRPr="001B10ED">
        <w:rPr>
          <w:szCs w:val="22"/>
        </w:rPr>
        <w:t>gametogonie</w:t>
      </w:r>
      <w:proofErr w:type="spellEnd"/>
      <w:r w:rsidRPr="001B10ED">
        <w:rPr>
          <w:szCs w:val="22"/>
        </w:rPr>
        <w:t xml:space="preserve"> (pohlavní fáze). </w:t>
      </w:r>
      <w:r>
        <w:rPr>
          <w:szCs w:val="22"/>
        </w:rPr>
        <w:t>N</w:t>
      </w:r>
      <w:r w:rsidRPr="001B10ED">
        <w:rPr>
          <w:szCs w:val="22"/>
        </w:rPr>
        <w:t xml:space="preserve">ičena </w:t>
      </w:r>
      <w:r>
        <w:rPr>
          <w:szCs w:val="22"/>
        </w:rPr>
        <w:t>jsou v</w:t>
      </w:r>
      <w:r w:rsidRPr="001B10ED">
        <w:rPr>
          <w:szCs w:val="22"/>
        </w:rPr>
        <w:t xml:space="preserve">šechna stádia, </w:t>
      </w:r>
      <w:r w:rsidRPr="001B10ED">
        <w:rPr>
          <w:color w:val="000000"/>
          <w:spacing w:val="-2"/>
          <w:szCs w:val="22"/>
        </w:rPr>
        <w:t xml:space="preserve">má </w:t>
      </w:r>
      <w:r>
        <w:rPr>
          <w:color w:val="000000"/>
          <w:spacing w:val="-2"/>
          <w:szCs w:val="22"/>
        </w:rPr>
        <w:t xml:space="preserve">tudíž </w:t>
      </w:r>
      <w:proofErr w:type="spellStart"/>
      <w:r w:rsidRPr="001B10ED">
        <w:rPr>
          <w:color w:val="000000"/>
          <w:spacing w:val="-2"/>
          <w:szCs w:val="22"/>
        </w:rPr>
        <w:t>kokcidiocidní</w:t>
      </w:r>
      <w:proofErr w:type="spellEnd"/>
      <w:r w:rsidRPr="001B10ED">
        <w:rPr>
          <w:color w:val="000000"/>
          <w:spacing w:val="-2"/>
          <w:szCs w:val="22"/>
        </w:rPr>
        <w:t xml:space="preserve"> účinek.</w:t>
      </w:r>
    </w:p>
    <w:p w:rsidR="00422063" w:rsidRPr="00316394" w:rsidRDefault="00422063" w:rsidP="00422063">
      <w:pPr>
        <w:ind w:left="0" w:firstLine="0"/>
        <w:jc w:val="both"/>
        <w:rPr>
          <w:szCs w:val="22"/>
        </w:rPr>
      </w:pPr>
    </w:p>
    <w:p w:rsidR="00422063" w:rsidRPr="00F0024C" w:rsidRDefault="00422063" w:rsidP="00422063">
      <w:pPr>
        <w:ind w:left="0" w:firstLine="0"/>
        <w:jc w:val="both"/>
        <w:outlineLvl w:val="0"/>
        <w:rPr>
          <w:b/>
          <w:szCs w:val="22"/>
        </w:rPr>
      </w:pPr>
      <w:r w:rsidRPr="00316394">
        <w:rPr>
          <w:b/>
          <w:szCs w:val="22"/>
        </w:rPr>
        <w:t>5.2</w:t>
      </w:r>
      <w:r w:rsidRPr="00316394">
        <w:rPr>
          <w:b/>
          <w:szCs w:val="22"/>
        </w:rPr>
        <w:tab/>
        <w:t xml:space="preserve">Farmakokinetické </w:t>
      </w:r>
      <w:r w:rsidRPr="00F0024C">
        <w:rPr>
          <w:b/>
          <w:szCs w:val="22"/>
        </w:rPr>
        <w:t>údaje</w:t>
      </w:r>
    </w:p>
    <w:p w:rsidR="00422063" w:rsidRPr="00BF401C" w:rsidRDefault="00422063" w:rsidP="00422063">
      <w:pPr>
        <w:ind w:left="0" w:firstLine="0"/>
        <w:jc w:val="both"/>
        <w:outlineLvl w:val="0"/>
        <w:rPr>
          <w:szCs w:val="22"/>
        </w:rPr>
      </w:pPr>
    </w:p>
    <w:p w:rsidR="00422063" w:rsidRPr="00BF401C" w:rsidRDefault="00422063" w:rsidP="00422063">
      <w:pPr>
        <w:ind w:left="0" w:firstLine="0"/>
        <w:jc w:val="both"/>
        <w:rPr>
          <w:snapToGrid w:val="0"/>
          <w:szCs w:val="22"/>
          <w:u w:val="single"/>
        </w:rPr>
      </w:pPr>
      <w:r w:rsidRPr="00BF401C">
        <w:rPr>
          <w:snapToGrid w:val="0"/>
          <w:szCs w:val="22"/>
          <w:u w:val="single"/>
        </w:rPr>
        <w:t>Skot:</w:t>
      </w:r>
    </w:p>
    <w:p w:rsidR="00422063" w:rsidRPr="00BF401C" w:rsidRDefault="00422063" w:rsidP="00422063">
      <w:pPr>
        <w:ind w:left="0" w:firstLine="0"/>
        <w:jc w:val="both"/>
        <w:rPr>
          <w:snapToGrid w:val="0"/>
          <w:szCs w:val="22"/>
        </w:rPr>
      </w:pPr>
      <w:r w:rsidRPr="00BF401C">
        <w:rPr>
          <w:snapToGrid w:val="0"/>
          <w:szCs w:val="22"/>
        </w:rPr>
        <w:t xml:space="preserve">Po </w:t>
      </w:r>
      <w:r>
        <w:rPr>
          <w:snapToGrid w:val="0"/>
          <w:szCs w:val="22"/>
        </w:rPr>
        <w:t>per</w:t>
      </w:r>
      <w:r w:rsidRPr="00BF401C">
        <w:rPr>
          <w:snapToGrid w:val="0"/>
          <w:szCs w:val="22"/>
        </w:rPr>
        <w:t xml:space="preserve">orálním podání </w:t>
      </w:r>
      <w:r>
        <w:rPr>
          <w:snapToGrid w:val="0"/>
          <w:szCs w:val="22"/>
        </w:rPr>
        <w:t>skotu</w:t>
      </w:r>
      <w:r w:rsidRPr="00BF401C">
        <w:rPr>
          <w:snapToGrid w:val="0"/>
          <w:szCs w:val="22"/>
        </w:rPr>
        <w:t xml:space="preserve"> se </w:t>
      </w:r>
      <w:proofErr w:type="spellStart"/>
      <w:r w:rsidRPr="00BF401C">
        <w:rPr>
          <w:snapToGrid w:val="0"/>
          <w:szCs w:val="22"/>
        </w:rPr>
        <w:t>toltrazuril</w:t>
      </w:r>
      <w:proofErr w:type="spellEnd"/>
      <w:r w:rsidRPr="00BF401C">
        <w:rPr>
          <w:snapToGrid w:val="0"/>
          <w:szCs w:val="22"/>
        </w:rPr>
        <w:t xml:space="preserve"> pomalu absorbuje. Maximální koncentrace v plazmě </w:t>
      </w:r>
      <w:r w:rsidRPr="00BF401C">
        <w:rPr>
          <w:szCs w:val="22"/>
          <w:lang w:eastAsia="ar-SA"/>
        </w:rPr>
        <w:t>(</w:t>
      </w:r>
      <w:proofErr w:type="spellStart"/>
      <w:r w:rsidRPr="00BF401C">
        <w:rPr>
          <w:szCs w:val="22"/>
          <w:lang w:eastAsia="ar-SA"/>
        </w:rPr>
        <w:t>Cmax</w:t>
      </w:r>
      <w:proofErr w:type="spellEnd"/>
      <w:r w:rsidRPr="00BF401C">
        <w:rPr>
          <w:szCs w:val="22"/>
          <w:lang w:eastAsia="ar-SA"/>
        </w:rPr>
        <w:t xml:space="preserve"> = 36,6 mg/l) byla pozorována mezi 24 a 48 hodinou (geometrický průměr 33,9 hodin) po </w:t>
      </w:r>
      <w:r>
        <w:rPr>
          <w:szCs w:val="22"/>
          <w:lang w:eastAsia="ar-SA"/>
        </w:rPr>
        <w:t>per</w:t>
      </w:r>
      <w:r w:rsidRPr="00BF401C">
        <w:rPr>
          <w:szCs w:val="22"/>
          <w:lang w:eastAsia="ar-SA"/>
        </w:rPr>
        <w:t xml:space="preserve">orálním podání. Eliminace </w:t>
      </w:r>
      <w:proofErr w:type="spellStart"/>
      <w:r w:rsidRPr="00BF401C">
        <w:rPr>
          <w:szCs w:val="22"/>
          <w:lang w:eastAsia="ar-SA"/>
        </w:rPr>
        <w:t>toltrazurilu</w:t>
      </w:r>
      <w:proofErr w:type="spellEnd"/>
      <w:r w:rsidRPr="00BF401C">
        <w:rPr>
          <w:szCs w:val="22"/>
          <w:lang w:eastAsia="ar-SA"/>
        </w:rPr>
        <w:t xml:space="preserve"> je pomalá s </w:t>
      </w:r>
      <w:r>
        <w:rPr>
          <w:szCs w:val="22"/>
          <w:lang w:eastAsia="ar-SA"/>
        </w:rPr>
        <w:t>terminálním</w:t>
      </w:r>
      <w:r w:rsidRPr="00BF401C">
        <w:rPr>
          <w:szCs w:val="22"/>
          <w:lang w:eastAsia="ar-SA"/>
        </w:rPr>
        <w:t xml:space="preserve"> poločasem eliminace přibližně 2,5 dne (64,2 hod.) </w:t>
      </w:r>
      <w:r>
        <w:rPr>
          <w:szCs w:val="22"/>
          <w:lang w:eastAsia="ar-SA"/>
        </w:rPr>
        <w:t>Jako h</w:t>
      </w:r>
      <w:r w:rsidRPr="00BF401C">
        <w:rPr>
          <w:snapToGrid w:val="0"/>
          <w:szCs w:val="22"/>
        </w:rPr>
        <w:t>lavn</w:t>
      </w:r>
      <w:r>
        <w:rPr>
          <w:snapToGrid w:val="0"/>
          <w:szCs w:val="22"/>
        </w:rPr>
        <w:t>í</w:t>
      </w:r>
      <w:r w:rsidRPr="00BF401C">
        <w:rPr>
          <w:snapToGrid w:val="0"/>
          <w:szCs w:val="22"/>
        </w:rPr>
        <w:t xml:space="preserve"> metabolit je </w:t>
      </w:r>
      <w:r>
        <w:rPr>
          <w:snapToGrid w:val="0"/>
          <w:szCs w:val="22"/>
        </w:rPr>
        <w:t xml:space="preserve">označen </w:t>
      </w:r>
      <w:proofErr w:type="spellStart"/>
      <w:r w:rsidRPr="00BF401C">
        <w:rPr>
          <w:snapToGrid w:val="0"/>
          <w:szCs w:val="22"/>
        </w:rPr>
        <w:t>toltrazuril</w:t>
      </w:r>
      <w:proofErr w:type="spellEnd"/>
      <w:r>
        <w:rPr>
          <w:snapToGrid w:val="0"/>
          <w:szCs w:val="22"/>
        </w:rPr>
        <w:t xml:space="preserve"> </w:t>
      </w:r>
      <w:r w:rsidRPr="00BF401C">
        <w:rPr>
          <w:snapToGrid w:val="0"/>
          <w:szCs w:val="22"/>
        </w:rPr>
        <w:t>sulfon. Hlavní cestou vylučování jsou výkaly.</w:t>
      </w:r>
    </w:p>
    <w:p w:rsidR="00422063" w:rsidRPr="00BF401C" w:rsidRDefault="00422063" w:rsidP="00422063">
      <w:pPr>
        <w:ind w:left="0" w:firstLine="0"/>
        <w:jc w:val="both"/>
        <w:rPr>
          <w:snapToGrid w:val="0"/>
          <w:szCs w:val="22"/>
        </w:rPr>
      </w:pPr>
    </w:p>
    <w:p w:rsidR="00422063" w:rsidRPr="00BF401C" w:rsidRDefault="00422063" w:rsidP="00422063">
      <w:pPr>
        <w:ind w:left="0" w:firstLine="0"/>
        <w:jc w:val="both"/>
        <w:rPr>
          <w:snapToGrid w:val="0"/>
          <w:szCs w:val="22"/>
          <w:u w:val="single"/>
        </w:rPr>
      </w:pPr>
      <w:r w:rsidRPr="00BF401C">
        <w:rPr>
          <w:snapToGrid w:val="0"/>
          <w:szCs w:val="22"/>
          <w:u w:val="single"/>
        </w:rPr>
        <w:t>Prasata:</w:t>
      </w:r>
    </w:p>
    <w:p w:rsidR="00422063" w:rsidRPr="001B10ED" w:rsidRDefault="00422063" w:rsidP="00422063">
      <w:pPr>
        <w:ind w:left="0" w:firstLine="0"/>
        <w:jc w:val="both"/>
        <w:rPr>
          <w:snapToGrid w:val="0"/>
          <w:szCs w:val="22"/>
        </w:rPr>
      </w:pPr>
      <w:r w:rsidRPr="00BF401C">
        <w:rPr>
          <w:snapToGrid w:val="0"/>
          <w:szCs w:val="22"/>
        </w:rPr>
        <w:t xml:space="preserve">Po perorálním podání se </w:t>
      </w:r>
      <w:proofErr w:type="spellStart"/>
      <w:r w:rsidRPr="00BF401C">
        <w:rPr>
          <w:snapToGrid w:val="0"/>
          <w:szCs w:val="22"/>
        </w:rPr>
        <w:t>toltrazuril</w:t>
      </w:r>
      <w:proofErr w:type="spellEnd"/>
      <w:r w:rsidRPr="00BF401C">
        <w:rPr>
          <w:snapToGrid w:val="0"/>
          <w:szCs w:val="22"/>
        </w:rPr>
        <w:t xml:space="preserve"> vstřebává pomalu s biologickou dostupností </w:t>
      </w:r>
      <w:r w:rsidRPr="00BF75E8">
        <w:rPr>
          <w:snapToGrid w:val="0"/>
          <w:color w:val="000000"/>
          <w:szCs w:val="22"/>
          <w:lang w:val="en-AU"/>
        </w:rPr>
        <w:sym w:font="Symbol" w:char="F0B3"/>
      </w:r>
      <w:proofErr w:type="gramStart"/>
      <w:r w:rsidRPr="00BF75E8">
        <w:rPr>
          <w:snapToGrid w:val="0"/>
          <w:szCs w:val="22"/>
        </w:rPr>
        <w:t>70%</w:t>
      </w:r>
      <w:proofErr w:type="gramEnd"/>
      <w:r w:rsidRPr="00BF75E8">
        <w:rPr>
          <w:snapToGrid w:val="0"/>
          <w:szCs w:val="22"/>
        </w:rPr>
        <w:t xml:space="preserve">. </w:t>
      </w:r>
      <w:r>
        <w:rPr>
          <w:szCs w:val="22"/>
          <w:lang w:eastAsia="ar-SA"/>
        </w:rPr>
        <w:t>Jako h</w:t>
      </w:r>
      <w:r w:rsidRPr="00BF401C">
        <w:rPr>
          <w:snapToGrid w:val="0"/>
          <w:szCs w:val="22"/>
        </w:rPr>
        <w:t>lavn</w:t>
      </w:r>
      <w:r>
        <w:rPr>
          <w:snapToGrid w:val="0"/>
          <w:szCs w:val="22"/>
        </w:rPr>
        <w:t>í</w:t>
      </w:r>
      <w:r w:rsidRPr="00BF401C">
        <w:rPr>
          <w:snapToGrid w:val="0"/>
          <w:szCs w:val="22"/>
        </w:rPr>
        <w:t xml:space="preserve"> metabolit je </w:t>
      </w:r>
      <w:r>
        <w:rPr>
          <w:snapToGrid w:val="0"/>
          <w:szCs w:val="22"/>
        </w:rPr>
        <w:t xml:space="preserve">označen </w:t>
      </w:r>
      <w:proofErr w:type="spellStart"/>
      <w:r w:rsidRPr="00BF401C">
        <w:rPr>
          <w:snapToGrid w:val="0"/>
          <w:szCs w:val="22"/>
        </w:rPr>
        <w:t>toltrazuril</w:t>
      </w:r>
      <w:proofErr w:type="spellEnd"/>
      <w:r>
        <w:rPr>
          <w:snapToGrid w:val="0"/>
          <w:szCs w:val="22"/>
        </w:rPr>
        <w:t xml:space="preserve"> </w:t>
      </w:r>
      <w:r w:rsidRPr="00BF401C">
        <w:rPr>
          <w:snapToGrid w:val="0"/>
          <w:szCs w:val="22"/>
        </w:rPr>
        <w:t xml:space="preserve">sulfon. </w:t>
      </w:r>
      <w:r w:rsidRPr="00710826">
        <w:rPr>
          <w:snapToGrid w:val="0"/>
          <w:szCs w:val="22"/>
        </w:rPr>
        <w:t xml:space="preserve">Eliminace </w:t>
      </w:r>
      <w:proofErr w:type="spellStart"/>
      <w:r w:rsidRPr="00710826">
        <w:rPr>
          <w:snapToGrid w:val="0"/>
          <w:szCs w:val="22"/>
        </w:rPr>
        <w:t>toltrazurilu</w:t>
      </w:r>
      <w:proofErr w:type="spellEnd"/>
      <w:r w:rsidRPr="00710826">
        <w:rPr>
          <w:snapToGrid w:val="0"/>
          <w:szCs w:val="22"/>
        </w:rPr>
        <w:t xml:space="preserve"> je pomalá s</w:t>
      </w:r>
      <w:r w:rsidRPr="001B10ED">
        <w:rPr>
          <w:snapToGrid w:val="0"/>
          <w:szCs w:val="22"/>
        </w:rPr>
        <w:t> eliminačním poločasem přibližně 3 dny. Hlavní cestou vylučování jsou výkaly.</w:t>
      </w:r>
    </w:p>
    <w:p w:rsidR="00422063" w:rsidRPr="00316394" w:rsidRDefault="00422063" w:rsidP="00422063">
      <w:pPr>
        <w:ind w:left="0" w:firstLine="0"/>
        <w:jc w:val="both"/>
        <w:rPr>
          <w:snapToGrid w:val="0"/>
          <w:szCs w:val="22"/>
        </w:rPr>
      </w:pPr>
    </w:p>
    <w:p w:rsidR="00422063" w:rsidRPr="00316394" w:rsidRDefault="00422063" w:rsidP="00422063">
      <w:pPr>
        <w:ind w:left="0" w:firstLine="0"/>
        <w:jc w:val="both"/>
        <w:rPr>
          <w:snapToGrid w:val="0"/>
          <w:szCs w:val="22"/>
          <w:u w:val="single"/>
        </w:rPr>
      </w:pPr>
      <w:r w:rsidRPr="00316394">
        <w:rPr>
          <w:snapToGrid w:val="0"/>
          <w:szCs w:val="22"/>
          <w:u w:val="single"/>
        </w:rPr>
        <w:t>Ovce:</w:t>
      </w:r>
    </w:p>
    <w:p w:rsidR="00422063" w:rsidRPr="00DA6DD9" w:rsidRDefault="00422063" w:rsidP="00422063">
      <w:pPr>
        <w:ind w:left="0" w:firstLine="0"/>
        <w:jc w:val="both"/>
        <w:rPr>
          <w:snapToGrid w:val="0"/>
          <w:szCs w:val="22"/>
        </w:rPr>
      </w:pPr>
      <w:r w:rsidRPr="00316394">
        <w:rPr>
          <w:snapToGrid w:val="0"/>
          <w:szCs w:val="22"/>
        </w:rPr>
        <w:t xml:space="preserve">Po perorálním podání se </w:t>
      </w:r>
      <w:proofErr w:type="spellStart"/>
      <w:r w:rsidRPr="00316394">
        <w:rPr>
          <w:snapToGrid w:val="0"/>
          <w:szCs w:val="22"/>
        </w:rPr>
        <w:t>toltrazuril</w:t>
      </w:r>
      <w:proofErr w:type="spellEnd"/>
      <w:r w:rsidRPr="00316394">
        <w:rPr>
          <w:snapToGrid w:val="0"/>
          <w:szCs w:val="22"/>
        </w:rPr>
        <w:t xml:space="preserve"> u savců vstřebává pomalu. </w:t>
      </w:r>
      <w:r>
        <w:rPr>
          <w:szCs w:val="22"/>
          <w:lang w:eastAsia="ar-SA"/>
        </w:rPr>
        <w:t>Jako h</w:t>
      </w:r>
      <w:r w:rsidRPr="00BF401C">
        <w:rPr>
          <w:snapToGrid w:val="0"/>
          <w:szCs w:val="22"/>
        </w:rPr>
        <w:t>lavn</w:t>
      </w:r>
      <w:r>
        <w:rPr>
          <w:snapToGrid w:val="0"/>
          <w:szCs w:val="22"/>
        </w:rPr>
        <w:t>í</w:t>
      </w:r>
      <w:r w:rsidRPr="00BF401C">
        <w:rPr>
          <w:snapToGrid w:val="0"/>
          <w:szCs w:val="22"/>
        </w:rPr>
        <w:t xml:space="preserve"> metabolit je </w:t>
      </w:r>
      <w:r>
        <w:rPr>
          <w:snapToGrid w:val="0"/>
          <w:szCs w:val="22"/>
        </w:rPr>
        <w:t xml:space="preserve">označen </w:t>
      </w:r>
      <w:proofErr w:type="spellStart"/>
      <w:r w:rsidRPr="00BF401C">
        <w:rPr>
          <w:snapToGrid w:val="0"/>
          <w:szCs w:val="22"/>
        </w:rPr>
        <w:t>toltrazuril</w:t>
      </w:r>
      <w:proofErr w:type="spellEnd"/>
      <w:r>
        <w:rPr>
          <w:snapToGrid w:val="0"/>
          <w:szCs w:val="22"/>
        </w:rPr>
        <w:t xml:space="preserve"> </w:t>
      </w:r>
      <w:r w:rsidRPr="00BF401C">
        <w:rPr>
          <w:snapToGrid w:val="0"/>
          <w:szCs w:val="22"/>
        </w:rPr>
        <w:t>sulfon</w:t>
      </w:r>
      <w:r>
        <w:rPr>
          <w:snapToGrid w:val="0"/>
          <w:szCs w:val="22"/>
        </w:rPr>
        <w:t>.</w:t>
      </w:r>
      <w:r w:rsidRPr="00316394">
        <w:rPr>
          <w:snapToGrid w:val="0"/>
          <w:szCs w:val="22"/>
        </w:rPr>
        <w:t xml:space="preserve"> Maximální koncentrace v plazmě </w:t>
      </w:r>
      <w:r w:rsidRPr="00021EDE">
        <w:rPr>
          <w:snapToGrid w:val="0"/>
          <w:szCs w:val="22"/>
        </w:rPr>
        <w:t>(</w:t>
      </w:r>
      <w:proofErr w:type="spellStart"/>
      <w:r w:rsidRPr="00021EDE">
        <w:rPr>
          <w:snapToGrid w:val="0"/>
          <w:szCs w:val="22"/>
        </w:rPr>
        <w:t>Cmax</w:t>
      </w:r>
      <w:proofErr w:type="spellEnd"/>
      <w:r w:rsidRPr="00021EDE">
        <w:rPr>
          <w:snapToGrid w:val="0"/>
          <w:szCs w:val="22"/>
        </w:rPr>
        <w:t xml:space="preserve"> = 62 mg/l) byla pozorována 2 dny po perorálním podání. Eliminace </w:t>
      </w:r>
      <w:proofErr w:type="spellStart"/>
      <w:r w:rsidRPr="00021EDE">
        <w:rPr>
          <w:snapToGrid w:val="0"/>
          <w:szCs w:val="22"/>
        </w:rPr>
        <w:t>toltrazurilu</w:t>
      </w:r>
      <w:proofErr w:type="spellEnd"/>
      <w:r w:rsidRPr="00021EDE">
        <w:rPr>
          <w:snapToGrid w:val="0"/>
          <w:szCs w:val="22"/>
        </w:rPr>
        <w:t xml:space="preserve"> je pomalá s eliminačním poločasem přibližně 9 dní. Hlavní cestou vylučování jsou výkaly.</w:t>
      </w:r>
    </w:p>
    <w:p w:rsidR="00422063" w:rsidRPr="00DA6DD9" w:rsidRDefault="00422063" w:rsidP="00422063">
      <w:pPr>
        <w:ind w:left="0" w:firstLine="0"/>
        <w:jc w:val="both"/>
        <w:rPr>
          <w:snapToGrid w:val="0"/>
          <w:szCs w:val="22"/>
        </w:rPr>
      </w:pPr>
    </w:p>
    <w:p w:rsidR="00422063" w:rsidRPr="00DA6DD9" w:rsidRDefault="00422063" w:rsidP="00422063">
      <w:pPr>
        <w:keepNext/>
        <w:ind w:left="0" w:firstLine="0"/>
        <w:jc w:val="both"/>
        <w:rPr>
          <w:b/>
          <w:szCs w:val="22"/>
        </w:rPr>
      </w:pPr>
      <w:r w:rsidRPr="00DA6DD9">
        <w:rPr>
          <w:b/>
          <w:szCs w:val="22"/>
        </w:rPr>
        <w:t xml:space="preserve">Environmentální vlastnosti </w:t>
      </w:r>
    </w:p>
    <w:p w:rsidR="00422063" w:rsidRPr="00DA6DD9" w:rsidRDefault="00422063" w:rsidP="00422063">
      <w:pPr>
        <w:keepNext/>
        <w:ind w:left="0" w:firstLine="0"/>
        <w:jc w:val="both"/>
        <w:rPr>
          <w:b/>
          <w:szCs w:val="22"/>
        </w:rPr>
      </w:pPr>
    </w:p>
    <w:p w:rsidR="00422063" w:rsidRPr="00DA6DD9" w:rsidRDefault="00422063" w:rsidP="00422063">
      <w:pPr>
        <w:keepNext/>
        <w:ind w:left="0" w:firstLine="0"/>
        <w:jc w:val="both"/>
        <w:rPr>
          <w:snapToGrid w:val="0"/>
          <w:szCs w:val="22"/>
          <w:u w:val="single"/>
        </w:rPr>
      </w:pPr>
      <w:r w:rsidRPr="00DA6DD9">
        <w:rPr>
          <w:snapToGrid w:val="0"/>
          <w:szCs w:val="22"/>
          <w:u w:val="single"/>
        </w:rPr>
        <w:t>Skot a ovce:</w:t>
      </w:r>
    </w:p>
    <w:p w:rsidR="00422063" w:rsidRPr="00BF401C" w:rsidRDefault="00422063" w:rsidP="00422063">
      <w:pPr>
        <w:ind w:left="0" w:firstLine="0"/>
        <w:jc w:val="both"/>
        <w:rPr>
          <w:szCs w:val="22"/>
        </w:rPr>
      </w:pPr>
      <w:r w:rsidRPr="00DA6DD9">
        <w:rPr>
          <w:szCs w:val="22"/>
        </w:rPr>
        <w:t xml:space="preserve">Metabolit </w:t>
      </w:r>
      <w:proofErr w:type="spellStart"/>
      <w:r w:rsidRPr="00DA6DD9">
        <w:rPr>
          <w:szCs w:val="22"/>
        </w:rPr>
        <w:t>toltrazurilu</w:t>
      </w:r>
      <w:proofErr w:type="spellEnd"/>
      <w:r w:rsidRPr="00DA6DD9">
        <w:rPr>
          <w:szCs w:val="22"/>
        </w:rPr>
        <w:t xml:space="preserve">, </w:t>
      </w:r>
      <w:proofErr w:type="spellStart"/>
      <w:r w:rsidRPr="00DA6DD9">
        <w:rPr>
          <w:szCs w:val="22"/>
        </w:rPr>
        <w:t>toltrazuril</w:t>
      </w:r>
      <w:proofErr w:type="spellEnd"/>
      <w:r w:rsidRPr="00DA6DD9">
        <w:rPr>
          <w:szCs w:val="22"/>
        </w:rPr>
        <w:t xml:space="preserve"> sulfon (</w:t>
      </w:r>
      <w:proofErr w:type="spellStart"/>
      <w:r w:rsidRPr="00DA6DD9">
        <w:rPr>
          <w:szCs w:val="22"/>
        </w:rPr>
        <w:t>ponazuril</w:t>
      </w:r>
      <w:proofErr w:type="spellEnd"/>
      <w:r w:rsidRPr="00DA6DD9">
        <w:rPr>
          <w:szCs w:val="22"/>
        </w:rPr>
        <w:t xml:space="preserve">) je v půdě velmi perzistentní </w:t>
      </w:r>
      <w:r w:rsidRPr="00487BED">
        <w:rPr>
          <w:szCs w:val="22"/>
          <w:lang w:eastAsia="ar-SA"/>
        </w:rPr>
        <w:t xml:space="preserve">(poločas </w:t>
      </w:r>
      <w:r>
        <w:rPr>
          <w:szCs w:val="22"/>
          <w:lang w:eastAsia="ar-SA"/>
        </w:rPr>
        <w:t>eliminace</w:t>
      </w:r>
      <w:r w:rsidRPr="00F0024C">
        <w:rPr>
          <w:szCs w:val="22"/>
          <w:lang w:eastAsia="ar-SA"/>
        </w:rPr>
        <w:t xml:space="preserve"> c</w:t>
      </w:r>
      <w:r>
        <w:rPr>
          <w:szCs w:val="22"/>
          <w:lang w:eastAsia="ar-SA"/>
        </w:rPr>
        <w:t>c</w:t>
      </w:r>
      <w:r w:rsidRPr="00F0024C">
        <w:rPr>
          <w:szCs w:val="22"/>
          <w:lang w:eastAsia="ar-SA"/>
        </w:rPr>
        <w:t>a </w:t>
      </w:r>
      <w:r w:rsidRPr="00BF401C">
        <w:rPr>
          <w:szCs w:val="22"/>
          <w:lang w:eastAsia="ar-SA"/>
        </w:rPr>
        <w:t>1</w:t>
      </w:r>
      <w:r w:rsidR="002D3181">
        <w:rPr>
          <w:szCs w:val="22"/>
          <w:lang w:eastAsia="ar-SA"/>
        </w:rPr>
        <w:t> </w:t>
      </w:r>
      <w:r w:rsidRPr="00BF401C">
        <w:rPr>
          <w:szCs w:val="22"/>
          <w:lang w:eastAsia="ar-SA"/>
        </w:rPr>
        <w:t xml:space="preserve">rok) a mobilní sloučenina, která má nepříznivý vliv jak na růst, tak na vývoj rostlin. </w:t>
      </w:r>
      <w:r w:rsidRPr="00BF401C">
        <w:rPr>
          <w:szCs w:val="22"/>
        </w:rPr>
        <w:t xml:space="preserve">Díky perzistenci </w:t>
      </w:r>
      <w:proofErr w:type="spellStart"/>
      <w:r w:rsidRPr="00BF401C">
        <w:rPr>
          <w:szCs w:val="22"/>
        </w:rPr>
        <w:t>ponazurilu</w:t>
      </w:r>
      <w:proofErr w:type="spellEnd"/>
      <w:r w:rsidRPr="00BF401C">
        <w:rPr>
          <w:szCs w:val="22"/>
        </w:rPr>
        <w:t xml:space="preserve"> může opakované rozmetávání hnoje od ošetřených zvířat vést ke kumulaci v půdě, a následně může představovat riziko pro rostliny. Kumulace a mobilita </w:t>
      </w:r>
      <w:proofErr w:type="spellStart"/>
      <w:r w:rsidRPr="00BF401C">
        <w:rPr>
          <w:szCs w:val="22"/>
        </w:rPr>
        <w:t>ponazurilu</w:t>
      </w:r>
      <w:proofErr w:type="spellEnd"/>
      <w:r w:rsidRPr="00BF401C">
        <w:rPr>
          <w:szCs w:val="22"/>
        </w:rPr>
        <w:t xml:space="preserve"> v půdě nese také riziko vyplavování látky do podzemních vod. Viz části 4.3 a 4.5.</w:t>
      </w:r>
    </w:p>
    <w:p w:rsidR="00422063" w:rsidRPr="00BF401C" w:rsidRDefault="00422063" w:rsidP="00422063">
      <w:pPr>
        <w:ind w:left="0" w:firstLine="0"/>
        <w:jc w:val="both"/>
        <w:rPr>
          <w:szCs w:val="22"/>
        </w:rPr>
      </w:pPr>
    </w:p>
    <w:p w:rsidR="00422063" w:rsidRPr="00BF401C" w:rsidRDefault="00422063" w:rsidP="00422063">
      <w:pPr>
        <w:ind w:left="0" w:firstLine="0"/>
        <w:jc w:val="both"/>
        <w:rPr>
          <w:b/>
          <w:szCs w:val="22"/>
        </w:rPr>
      </w:pPr>
    </w:p>
    <w:p w:rsidR="00422063" w:rsidRPr="00BF401C" w:rsidRDefault="00422063" w:rsidP="00422063">
      <w:pPr>
        <w:ind w:left="0" w:firstLine="0"/>
        <w:jc w:val="both"/>
        <w:outlineLvl w:val="0"/>
        <w:rPr>
          <w:szCs w:val="22"/>
        </w:rPr>
      </w:pPr>
      <w:r w:rsidRPr="00BF401C">
        <w:rPr>
          <w:b/>
          <w:szCs w:val="22"/>
        </w:rPr>
        <w:t>6.</w:t>
      </w:r>
      <w:r w:rsidRPr="00BF401C">
        <w:rPr>
          <w:b/>
          <w:szCs w:val="22"/>
        </w:rPr>
        <w:tab/>
        <w:t>FARMACEUTICKÉ ÚDAJE</w:t>
      </w:r>
    </w:p>
    <w:p w:rsidR="00422063" w:rsidRPr="00BF401C" w:rsidRDefault="00422063" w:rsidP="00422063">
      <w:pPr>
        <w:ind w:left="0" w:firstLine="0"/>
        <w:jc w:val="both"/>
        <w:rPr>
          <w:szCs w:val="22"/>
        </w:rPr>
      </w:pPr>
    </w:p>
    <w:p w:rsidR="00422063" w:rsidRDefault="00422063" w:rsidP="00422063">
      <w:pPr>
        <w:ind w:left="0" w:firstLine="0"/>
        <w:jc w:val="both"/>
        <w:outlineLvl w:val="0"/>
        <w:rPr>
          <w:b/>
          <w:szCs w:val="22"/>
        </w:rPr>
      </w:pPr>
      <w:r w:rsidRPr="00BF401C">
        <w:rPr>
          <w:b/>
          <w:szCs w:val="22"/>
        </w:rPr>
        <w:t>6.1</w:t>
      </w:r>
      <w:r w:rsidRPr="00BF401C">
        <w:rPr>
          <w:b/>
          <w:szCs w:val="22"/>
        </w:rPr>
        <w:tab/>
        <w:t>Seznam pomocných látek</w:t>
      </w:r>
    </w:p>
    <w:p w:rsidR="00422063" w:rsidRPr="00BF401C" w:rsidRDefault="00422063" w:rsidP="00422063">
      <w:pPr>
        <w:ind w:left="0" w:firstLine="0"/>
        <w:jc w:val="both"/>
        <w:outlineLvl w:val="0"/>
        <w:rPr>
          <w:b/>
          <w:szCs w:val="22"/>
        </w:rPr>
      </w:pPr>
    </w:p>
    <w:p w:rsidR="00422063" w:rsidRPr="00862630" w:rsidRDefault="00422063" w:rsidP="00422063">
      <w:pPr>
        <w:ind w:left="0" w:firstLine="0"/>
        <w:jc w:val="both"/>
        <w:rPr>
          <w:szCs w:val="22"/>
        </w:rPr>
      </w:pPr>
      <w:r w:rsidRPr="00862630">
        <w:rPr>
          <w:szCs w:val="22"/>
        </w:rPr>
        <w:t>Natrium-benzoát (E 211)</w:t>
      </w:r>
    </w:p>
    <w:p w:rsidR="00422063" w:rsidRPr="009779C6" w:rsidRDefault="00422063" w:rsidP="00422063">
      <w:pPr>
        <w:ind w:left="0" w:firstLine="0"/>
        <w:jc w:val="both"/>
        <w:rPr>
          <w:szCs w:val="22"/>
        </w:rPr>
      </w:pPr>
      <w:r w:rsidRPr="009779C6">
        <w:rPr>
          <w:szCs w:val="22"/>
        </w:rPr>
        <w:t>Natrium-propionát (E 281)</w:t>
      </w:r>
    </w:p>
    <w:p w:rsidR="00422063" w:rsidRPr="000E6A23" w:rsidRDefault="00422063" w:rsidP="00422063">
      <w:pPr>
        <w:ind w:left="0" w:firstLine="0"/>
        <w:jc w:val="both"/>
        <w:rPr>
          <w:szCs w:val="22"/>
        </w:rPr>
      </w:pPr>
      <w:r w:rsidRPr="000E6A23">
        <w:rPr>
          <w:szCs w:val="22"/>
        </w:rPr>
        <w:t xml:space="preserve">Sodná sůl </w:t>
      </w:r>
      <w:proofErr w:type="spellStart"/>
      <w:r w:rsidRPr="000E6A23">
        <w:rPr>
          <w:szCs w:val="22"/>
        </w:rPr>
        <w:t>dokusátu</w:t>
      </w:r>
      <w:proofErr w:type="spellEnd"/>
    </w:p>
    <w:p w:rsidR="00422063" w:rsidRPr="000E6A23" w:rsidRDefault="00422063" w:rsidP="00422063">
      <w:pPr>
        <w:ind w:left="0" w:firstLine="0"/>
        <w:jc w:val="both"/>
        <w:rPr>
          <w:szCs w:val="22"/>
        </w:rPr>
      </w:pPr>
      <w:proofErr w:type="spellStart"/>
      <w:r w:rsidRPr="000E6A23">
        <w:rPr>
          <w:szCs w:val="22"/>
        </w:rPr>
        <w:t>Simetikonová</w:t>
      </w:r>
      <w:proofErr w:type="spellEnd"/>
      <w:r w:rsidRPr="000E6A23">
        <w:rPr>
          <w:szCs w:val="22"/>
        </w:rPr>
        <w:t xml:space="preserve"> emulze</w:t>
      </w:r>
    </w:p>
    <w:p w:rsidR="00422063" w:rsidRPr="00E665B9" w:rsidRDefault="00422063" w:rsidP="00422063">
      <w:pPr>
        <w:ind w:left="0" w:firstLine="0"/>
        <w:jc w:val="both"/>
        <w:rPr>
          <w:szCs w:val="22"/>
        </w:rPr>
      </w:pPr>
      <w:r w:rsidRPr="00E665B9">
        <w:rPr>
          <w:szCs w:val="22"/>
        </w:rPr>
        <w:lastRenderedPageBreak/>
        <w:t>Bentonit</w:t>
      </w:r>
    </w:p>
    <w:p w:rsidR="00422063" w:rsidRPr="00E7149C" w:rsidRDefault="00422063" w:rsidP="00422063">
      <w:pPr>
        <w:ind w:left="0" w:firstLine="0"/>
        <w:jc w:val="both"/>
        <w:rPr>
          <w:szCs w:val="22"/>
        </w:rPr>
      </w:pPr>
      <w:r w:rsidRPr="00E7149C">
        <w:rPr>
          <w:szCs w:val="22"/>
        </w:rPr>
        <w:t>Kyselina citronová (pro úpravu pH)</w:t>
      </w:r>
    </w:p>
    <w:p w:rsidR="00422063" w:rsidRPr="00B4374B" w:rsidRDefault="00422063" w:rsidP="00422063">
      <w:pPr>
        <w:ind w:left="0" w:firstLine="0"/>
        <w:jc w:val="both"/>
        <w:rPr>
          <w:szCs w:val="22"/>
        </w:rPr>
      </w:pPr>
      <w:proofErr w:type="spellStart"/>
      <w:r w:rsidRPr="00B4374B">
        <w:rPr>
          <w:szCs w:val="22"/>
        </w:rPr>
        <w:t>Xanthanová</w:t>
      </w:r>
      <w:proofErr w:type="spellEnd"/>
      <w:r w:rsidRPr="00B4374B">
        <w:rPr>
          <w:szCs w:val="22"/>
        </w:rPr>
        <w:t xml:space="preserve"> klovatina</w:t>
      </w:r>
    </w:p>
    <w:p w:rsidR="00422063" w:rsidRPr="00B4374B" w:rsidRDefault="00422063" w:rsidP="00422063">
      <w:pPr>
        <w:ind w:left="0" w:firstLine="0"/>
        <w:jc w:val="both"/>
        <w:rPr>
          <w:szCs w:val="22"/>
        </w:rPr>
      </w:pPr>
      <w:proofErr w:type="spellStart"/>
      <w:r w:rsidRPr="00B4374B">
        <w:rPr>
          <w:szCs w:val="22"/>
        </w:rPr>
        <w:t>Propylenglykol</w:t>
      </w:r>
      <w:proofErr w:type="spellEnd"/>
    </w:p>
    <w:p w:rsidR="00422063" w:rsidRPr="00B4374B" w:rsidRDefault="00422063" w:rsidP="00422063">
      <w:pPr>
        <w:ind w:left="0" w:firstLine="0"/>
        <w:jc w:val="both"/>
        <w:rPr>
          <w:szCs w:val="22"/>
        </w:rPr>
      </w:pPr>
      <w:r w:rsidRPr="00B4374B">
        <w:rPr>
          <w:szCs w:val="22"/>
        </w:rPr>
        <w:t>Čištěná voda</w:t>
      </w:r>
    </w:p>
    <w:p w:rsidR="00422063" w:rsidRPr="00B4374B" w:rsidRDefault="00422063" w:rsidP="00422063">
      <w:pPr>
        <w:ind w:left="0" w:firstLine="0"/>
        <w:jc w:val="both"/>
        <w:rPr>
          <w:szCs w:val="22"/>
        </w:rPr>
      </w:pPr>
    </w:p>
    <w:p w:rsidR="00422063" w:rsidRPr="00B4374B" w:rsidRDefault="00422063" w:rsidP="00422063">
      <w:pPr>
        <w:ind w:left="0" w:firstLine="0"/>
        <w:jc w:val="both"/>
        <w:outlineLvl w:val="0"/>
        <w:rPr>
          <w:szCs w:val="22"/>
        </w:rPr>
      </w:pPr>
      <w:r w:rsidRPr="00B4374B">
        <w:rPr>
          <w:b/>
          <w:szCs w:val="22"/>
        </w:rPr>
        <w:t>6.2</w:t>
      </w:r>
      <w:r w:rsidRPr="00B4374B">
        <w:rPr>
          <w:b/>
          <w:szCs w:val="22"/>
        </w:rPr>
        <w:tab/>
        <w:t>Hlavní inkompatibility</w:t>
      </w:r>
    </w:p>
    <w:p w:rsidR="00422063" w:rsidRPr="00B4374B" w:rsidRDefault="00422063" w:rsidP="00422063">
      <w:pPr>
        <w:tabs>
          <w:tab w:val="left" w:pos="540"/>
        </w:tabs>
        <w:ind w:left="0" w:firstLine="0"/>
        <w:jc w:val="both"/>
        <w:rPr>
          <w:szCs w:val="22"/>
        </w:rPr>
      </w:pPr>
    </w:p>
    <w:p w:rsidR="00422063" w:rsidRPr="00B4374B" w:rsidRDefault="00422063" w:rsidP="00422063">
      <w:pPr>
        <w:tabs>
          <w:tab w:val="left" w:pos="540"/>
        </w:tabs>
        <w:ind w:left="0" w:firstLine="0"/>
        <w:jc w:val="both"/>
        <w:outlineLvl w:val="0"/>
        <w:rPr>
          <w:szCs w:val="22"/>
        </w:rPr>
      </w:pPr>
      <w:r w:rsidRPr="00B4374B">
        <w:rPr>
          <w:szCs w:val="22"/>
        </w:rPr>
        <w:t xml:space="preserve">Studie kompatibility nejsou k dispozici, a proto tento veterinární léčivý přípravek nesmí být mísen s žádnými dalšími veterinárními léčivými přípravky. </w:t>
      </w:r>
    </w:p>
    <w:p w:rsidR="00422063" w:rsidRPr="00B4374B" w:rsidRDefault="00422063" w:rsidP="00422063">
      <w:pPr>
        <w:ind w:left="0" w:firstLine="0"/>
        <w:jc w:val="both"/>
        <w:rPr>
          <w:szCs w:val="22"/>
        </w:rPr>
      </w:pPr>
    </w:p>
    <w:p w:rsidR="00422063" w:rsidRPr="00B4374B" w:rsidRDefault="00422063" w:rsidP="00422063">
      <w:pPr>
        <w:ind w:left="0" w:firstLine="0"/>
        <w:jc w:val="both"/>
        <w:outlineLvl w:val="0"/>
        <w:rPr>
          <w:szCs w:val="22"/>
        </w:rPr>
      </w:pPr>
      <w:r w:rsidRPr="00B4374B">
        <w:rPr>
          <w:b/>
          <w:szCs w:val="22"/>
        </w:rPr>
        <w:t>6.3</w:t>
      </w:r>
      <w:r w:rsidRPr="00B4374B">
        <w:rPr>
          <w:b/>
          <w:szCs w:val="22"/>
        </w:rPr>
        <w:tab/>
        <w:t xml:space="preserve">Doba použitelnosti </w:t>
      </w:r>
    </w:p>
    <w:p w:rsidR="00422063" w:rsidRPr="00B4374B" w:rsidRDefault="00422063" w:rsidP="00422063">
      <w:pPr>
        <w:tabs>
          <w:tab w:val="left" w:pos="540"/>
        </w:tabs>
        <w:ind w:left="0" w:firstLine="0"/>
        <w:jc w:val="both"/>
        <w:outlineLvl w:val="0"/>
        <w:rPr>
          <w:szCs w:val="22"/>
        </w:rPr>
      </w:pPr>
    </w:p>
    <w:p w:rsidR="00422063" w:rsidRPr="00B4374B" w:rsidRDefault="00422063" w:rsidP="00422063">
      <w:pPr>
        <w:tabs>
          <w:tab w:val="left" w:pos="540"/>
        </w:tabs>
        <w:ind w:left="0" w:firstLine="0"/>
        <w:jc w:val="both"/>
        <w:outlineLvl w:val="0"/>
        <w:rPr>
          <w:szCs w:val="22"/>
        </w:rPr>
      </w:pPr>
      <w:r w:rsidRPr="00B4374B">
        <w:rPr>
          <w:szCs w:val="22"/>
        </w:rPr>
        <w:t>Doba použitelnosti veterinárního léčivého přípravku v neporušeném obalu: 5 let.</w:t>
      </w:r>
    </w:p>
    <w:p w:rsidR="00422063" w:rsidRPr="00490450" w:rsidRDefault="00422063" w:rsidP="00422063">
      <w:pPr>
        <w:tabs>
          <w:tab w:val="left" w:pos="540"/>
        </w:tabs>
        <w:ind w:left="0" w:firstLine="0"/>
        <w:jc w:val="both"/>
        <w:outlineLvl w:val="0"/>
        <w:rPr>
          <w:szCs w:val="22"/>
        </w:rPr>
      </w:pPr>
      <w:r w:rsidRPr="00BF75E8">
        <w:rPr>
          <w:szCs w:val="22"/>
        </w:rPr>
        <w:t>Doba použitelnosti</w:t>
      </w:r>
      <w:r w:rsidRPr="00490450">
        <w:rPr>
          <w:szCs w:val="22"/>
        </w:rPr>
        <w:t xml:space="preserve"> po prvním otevření vnitřního obalu: 6 měsíců.</w:t>
      </w:r>
    </w:p>
    <w:p w:rsidR="00422063" w:rsidRPr="00490450" w:rsidRDefault="00422063" w:rsidP="00422063">
      <w:pPr>
        <w:ind w:left="0" w:right="-318" w:firstLine="0"/>
        <w:jc w:val="both"/>
        <w:rPr>
          <w:szCs w:val="22"/>
        </w:rPr>
      </w:pPr>
    </w:p>
    <w:p w:rsidR="00422063" w:rsidRPr="00F0024C" w:rsidRDefault="00422063" w:rsidP="00422063">
      <w:pPr>
        <w:ind w:left="0" w:firstLine="0"/>
        <w:jc w:val="both"/>
        <w:outlineLvl w:val="0"/>
        <w:rPr>
          <w:szCs w:val="22"/>
        </w:rPr>
      </w:pPr>
      <w:r w:rsidRPr="00490450">
        <w:rPr>
          <w:b/>
          <w:szCs w:val="22"/>
        </w:rPr>
        <w:t>6.4</w:t>
      </w:r>
      <w:r w:rsidRPr="00490450">
        <w:rPr>
          <w:b/>
          <w:szCs w:val="22"/>
        </w:rPr>
        <w:tab/>
        <w:t>Zv</w:t>
      </w:r>
      <w:r w:rsidRPr="00710826">
        <w:rPr>
          <w:b/>
          <w:szCs w:val="22"/>
        </w:rPr>
        <w:t xml:space="preserve">láštní opatření pro </w:t>
      </w:r>
      <w:r w:rsidRPr="00F0024C">
        <w:rPr>
          <w:b/>
          <w:szCs w:val="22"/>
        </w:rPr>
        <w:t>uchovávání</w:t>
      </w:r>
    </w:p>
    <w:p w:rsidR="00422063" w:rsidRPr="00BF401C" w:rsidRDefault="00422063" w:rsidP="00422063">
      <w:pPr>
        <w:ind w:left="0" w:firstLine="0"/>
        <w:jc w:val="both"/>
        <w:rPr>
          <w:szCs w:val="22"/>
        </w:rPr>
      </w:pPr>
    </w:p>
    <w:p w:rsidR="00422063" w:rsidRPr="00BF401C" w:rsidRDefault="00422063" w:rsidP="00422063">
      <w:pPr>
        <w:ind w:left="0" w:firstLine="0"/>
        <w:jc w:val="both"/>
        <w:rPr>
          <w:szCs w:val="22"/>
        </w:rPr>
      </w:pPr>
      <w:r w:rsidRPr="00BF401C">
        <w:rPr>
          <w:szCs w:val="22"/>
        </w:rPr>
        <w:t>Tento veterinární léčivý přípravek nevyžaduje žádné zvláštní podmínky uchovávání.</w:t>
      </w:r>
    </w:p>
    <w:p w:rsidR="00422063" w:rsidRPr="00BF401C" w:rsidRDefault="00422063" w:rsidP="00422063">
      <w:pPr>
        <w:ind w:left="0" w:right="-318" w:firstLine="0"/>
        <w:jc w:val="both"/>
        <w:rPr>
          <w:szCs w:val="22"/>
        </w:rPr>
      </w:pPr>
    </w:p>
    <w:p w:rsidR="00422063" w:rsidRPr="00BF401C" w:rsidRDefault="00422063" w:rsidP="00422063">
      <w:pPr>
        <w:ind w:left="0" w:firstLine="0"/>
        <w:jc w:val="both"/>
        <w:outlineLvl w:val="0"/>
        <w:rPr>
          <w:szCs w:val="22"/>
        </w:rPr>
      </w:pPr>
      <w:r w:rsidRPr="00BF401C">
        <w:rPr>
          <w:b/>
          <w:szCs w:val="22"/>
        </w:rPr>
        <w:t>6.5</w:t>
      </w:r>
      <w:r w:rsidRPr="00BF401C">
        <w:rPr>
          <w:b/>
          <w:szCs w:val="22"/>
        </w:rPr>
        <w:tab/>
        <w:t>Druh a složení vnitřního obalu</w:t>
      </w:r>
    </w:p>
    <w:p w:rsidR="00422063" w:rsidRPr="00BF401C" w:rsidRDefault="00422063" w:rsidP="00422063">
      <w:pPr>
        <w:ind w:left="0" w:firstLine="0"/>
        <w:jc w:val="both"/>
        <w:rPr>
          <w:szCs w:val="22"/>
        </w:rPr>
      </w:pPr>
    </w:p>
    <w:p w:rsidR="00422063" w:rsidRDefault="00422063" w:rsidP="00422063">
      <w:pPr>
        <w:ind w:left="0" w:firstLine="0"/>
        <w:jc w:val="both"/>
        <w:rPr>
          <w:szCs w:val="22"/>
        </w:rPr>
      </w:pPr>
      <w:r w:rsidRPr="00BF401C">
        <w:rPr>
          <w:szCs w:val="22"/>
        </w:rPr>
        <w:t xml:space="preserve">Láhve z </w:t>
      </w:r>
      <w:proofErr w:type="spellStart"/>
      <w:r w:rsidRPr="00BF401C">
        <w:rPr>
          <w:szCs w:val="22"/>
        </w:rPr>
        <w:t>vysokohustotního</w:t>
      </w:r>
      <w:proofErr w:type="spellEnd"/>
      <w:r w:rsidRPr="00BF401C">
        <w:rPr>
          <w:szCs w:val="22"/>
        </w:rPr>
        <w:t xml:space="preserve"> </w:t>
      </w:r>
      <w:proofErr w:type="spellStart"/>
      <w:r w:rsidRPr="00BF401C">
        <w:rPr>
          <w:szCs w:val="22"/>
        </w:rPr>
        <w:t>polyethylenu</w:t>
      </w:r>
      <w:proofErr w:type="spellEnd"/>
      <w:r w:rsidRPr="00BF401C">
        <w:rPr>
          <w:szCs w:val="22"/>
        </w:rPr>
        <w:t xml:space="preserve"> o obsahu 100, 250 nebo 1000 ml uzavřené polypropylenovým šroubovacím uzávěrem. </w:t>
      </w:r>
    </w:p>
    <w:p w:rsidR="00422063" w:rsidRPr="00830353" w:rsidRDefault="00422063" w:rsidP="00422063">
      <w:pPr>
        <w:ind w:left="0" w:firstLine="0"/>
        <w:jc w:val="both"/>
        <w:rPr>
          <w:szCs w:val="22"/>
        </w:rPr>
      </w:pPr>
      <w:r w:rsidRPr="00830353">
        <w:rPr>
          <w:szCs w:val="22"/>
        </w:rPr>
        <w:t>Jedna 100ml nebo 250ml láhev je zabalena v kartonové krabičce.</w:t>
      </w:r>
    </w:p>
    <w:p w:rsidR="00422063" w:rsidRPr="001B4AC5" w:rsidRDefault="00422063" w:rsidP="00422063">
      <w:pPr>
        <w:ind w:left="0" w:right="-318" w:firstLine="0"/>
        <w:jc w:val="both"/>
        <w:rPr>
          <w:szCs w:val="22"/>
        </w:rPr>
      </w:pPr>
    </w:p>
    <w:p w:rsidR="00422063" w:rsidRPr="00F0024C" w:rsidRDefault="00422063" w:rsidP="00422063">
      <w:pPr>
        <w:ind w:left="0" w:right="-318" w:firstLine="0"/>
        <w:jc w:val="both"/>
        <w:outlineLvl w:val="0"/>
        <w:rPr>
          <w:szCs w:val="22"/>
        </w:rPr>
      </w:pPr>
      <w:r w:rsidRPr="00F0024C">
        <w:rPr>
          <w:szCs w:val="22"/>
        </w:rPr>
        <w:t>Na trhu nemusí být všechny velikosti balení.</w:t>
      </w:r>
    </w:p>
    <w:p w:rsidR="00422063" w:rsidRPr="00BF401C" w:rsidRDefault="00422063" w:rsidP="00422063">
      <w:pPr>
        <w:ind w:left="0" w:right="-318" w:firstLine="0"/>
        <w:jc w:val="both"/>
        <w:rPr>
          <w:szCs w:val="22"/>
        </w:rPr>
      </w:pPr>
    </w:p>
    <w:p w:rsidR="00422063" w:rsidRPr="00BF401C" w:rsidRDefault="00422063" w:rsidP="00422063">
      <w:pPr>
        <w:keepNext/>
        <w:ind w:left="0" w:firstLine="0"/>
        <w:jc w:val="both"/>
        <w:outlineLvl w:val="0"/>
        <w:rPr>
          <w:szCs w:val="22"/>
        </w:rPr>
      </w:pPr>
      <w:r w:rsidRPr="00BF401C">
        <w:rPr>
          <w:b/>
          <w:szCs w:val="22"/>
        </w:rPr>
        <w:t>6.6</w:t>
      </w:r>
      <w:r w:rsidRPr="00BF401C">
        <w:rPr>
          <w:szCs w:val="22"/>
        </w:rPr>
        <w:tab/>
      </w:r>
      <w:r w:rsidRPr="00BF401C">
        <w:rPr>
          <w:b/>
          <w:szCs w:val="22"/>
        </w:rPr>
        <w:t>Zvláštní opatření pro zneškodňování nepoužitého veterinárního léčivého přípravku nebo odpadu, který pochází z tohoto přípravku</w:t>
      </w:r>
    </w:p>
    <w:p w:rsidR="00422063" w:rsidRPr="00BF401C" w:rsidRDefault="00422063" w:rsidP="00422063">
      <w:pPr>
        <w:keepNext/>
        <w:ind w:left="0" w:firstLine="0"/>
        <w:jc w:val="both"/>
        <w:rPr>
          <w:szCs w:val="22"/>
        </w:rPr>
      </w:pPr>
    </w:p>
    <w:p w:rsidR="00422063" w:rsidRPr="00BF401C" w:rsidRDefault="00422063" w:rsidP="00422063">
      <w:pPr>
        <w:ind w:left="0" w:firstLine="0"/>
        <w:jc w:val="both"/>
        <w:rPr>
          <w:szCs w:val="22"/>
        </w:rPr>
      </w:pPr>
      <w:r w:rsidRPr="00BF401C">
        <w:rPr>
          <w:szCs w:val="22"/>
        </w:rPr>
        <w:t>Všechen nepoužitý veterinární léčivý přípravek nebo odpad, který pochází z tohoto přípravku, musí být likvidován podle místních právních předpisů.</w:t>
      </w:r>
    </w:p>
    <w:p w:rsidR="00422063" w:rsidRPr="00BF401C" w:rsidRDefault="00422063" w:rsidP="00422063">
      <w:pPr>
        <w:ind w:right="-318"/>
        <w:jc w:val="both"/>
        <w:rPr>
          <w:szCs w:val="22"/>
        </w:rPr>
      </w:pPr>
    </w:p>
    <w:p w:rsidR="00422063" w:rsidRPr="00BF401C" w:rsidRDefault="00422063" w:rsidP="00422063">
      <w:pPr>
        <w:ind w:left="0" w:firstLine="0"/>
        <w:jc w:val="both"/>
        <w:rPr>
          <w:b/>
          <w:szCs w:val="22"/>
        </w:rPr>
      </w:pPr>
    </w:p>
    <w:p w:rsidR="00422063" w:rsidRPr="00BF401C" w:rsidRDefault="00422063" w:rsidP="00422063">
      <w:pPr>
        <w:ind w:left="0" w:firstLine="0"/>
        <w:jc w:val="both"/>
        <w:outlineLvl w:val="0"/>
        <w:rPr>
          <w:b/>
          <w:szCs w:val="22"/>
        </w:rPr>
      </w:pPr>
      <w:r w:rsidRPr="00BF401C">
        <w:rPr>
          <w:b/>
          <w:szCs w:val="22"/>
        </w:rPr>
        <w:t>7.</w:t>
      </w:r>
      <w:r w:rsidRPr="00BF401C">
        <w:rPr>
          <w:b/>
          <w:szCs w:val="22"/>
        </w:rPr>
        <w:tab/>
        <w:t>DRŽITEL ROZHODNUTÍ O REGISTRACI</w:t>
      </w:r>
    </w:p>
    <w:p w:rsidR="00422063" w:rsidRPr="00BF401C" w:rsidRDefault="00422063" w:rsidP="00422063">
      <w:pPr>
        <w:ind w:left="0" w:firstLine="0"/>
        <w:jc w:val="both"/>
        <w:rPr>
          <w:szCs w:val="22"/>
        </w:rPr>
      </w:pPr>
    </w:p>
    <w:p w:rsidR="00422063" w:rsidRPr="00830353" w:rsidRDefault="00422063" w:rsidP="00422063">
      <w:pPr>
        <w:ind w:left="0" w:firstLine="0"/>
        <w:rPr>
          <w:color w:val="000000"/>
          <w:szCs w:val="22"/>
          <w:lang w:eastAsia="de-DE"/>
        </w:rPr>
      </w:pPr>
      <w:r w:rsidRPr="00BF401C">
        <w:rPr>
          <w:color w:val="000000"/>
          <w:szCs w:val="22"/>
          <w:lang w:val="en-US" w:eastAsia="de-DE"/>
        </w:rPr>
        <w:t xml:space="preserve">Bayer Animal Health GmbH, 51368 Leverkusen, </w:t>
      </w:r>
      <w:r w:rsidRPr="00830353">
        <w:rPr>
          <w:color w:val="000000"/>
          <w:szCs w:val="22"/>
          <w:lang w:eastAsia="de-DE"/>
        </w:rPr>
        <w:t>Německo</w:t>
      </w:r>
    </w:p>
    <w:p w:rsidR="00422063" w:rsidRDefault="00422063" w:rsidP="00422063">
      <w:pPr>
        <w:ind w:left="0" w:firstLine="0"/>
        <w:jc w:val="both"/>
        <w:rPr>
          <w:szCs w:val="22"/>
        </w:rPr>
      </w:pPr>
    </w:p>
    <w:p w:rsidR="00422063" w:rsidRPr="00BF75E8" w:rsidRDefault="00422063" w:rsidP="00422063">
      <w:pPr>
        <w:ind w:left="0" w:firstLine="0"/>
        <w:jc w:val="both"/>
        <w:rPr>
          <w:szCs w:val="22"/>
        </w:rPr>
      </w:pPr>
    </w:p>
    <w:p w:rsidR="00422063" w:rsidRPr="00BF401C" w:rsidRDefault="00422063" w:rsidP="00422063">
      <w:pPr>
        <w:ind w:left="0" w:firstLine="0"/>
        <w:jc w:val="both"/>
        <w:outlineLvl w:val="0"/>
        <w:rPr>
          <w:szCs w:val="22"/>
        </w:rPr>
      </w:pPr>
      <w:r w:rsidRPr="00BF75E8">
        <w:rPr>
          <w:b/>
          <w:szCs w:val="22"/>
        </w:rPr>
        <w:t>8.</w:t>
      </w:r>
      <w:r w:rsidRPr="00BF401C">
        <w:rPr>
          <w:b/>
          <w:szCs w:val="22"/>
        </w:rPr>
        <w:tab/>
        <w:t>REGISTRAČNÍ ČÍSLO(A)</w:t>
      </w:r>
    </w:p>
    <w:p w:rsidR="00422063" w:rsidRPr="00BF401C" w:rsidRDefault="00422063" w:rsidP="00422063">
      <w:pPr>
        <w:ind w:left="0" w:firstLine="0"/>
        <w:jc w:val="both"/>
        <w:rPr>
          <w:szCs w:val="22"/>
        </w:rPr>
      </w:pPr>
    </w:p>
    <w:p w:rsidR="00422063" w:rsidRPr="00BF401C" w:rsidRDefault="00422063" w:rsidP="00422063">
      <w:pPr>
        <w:tabs>
          <w:tab w:val="left" w:pos="709"/>
        </w:tabs>
        <w:ind w:left="0" w:firstLine="0"/>
        <w:jc w:val="both"/>
        <w:rPr>
          <w:szCs w:val="22"/>
        </w:rPr>
      </w:pPr>
      <w:r w:rsidRPr="00BF401C">
        <w:rPr>
          <w:szCs w:val="22"/>
        </w:rPr>
        <w:t>96/016/</w:t>
      </w:r>
      <w:proofErr w:type="gramStart"/>
      <w:r w:rsidRPr="00BF401C">
        <w:rPr>
          <w:szCs w:val="22"/>
        </w:rPr>
        <w:t>17-C</w:t>
      </w:r>
      <w:proofErr w:type="gramEnd"/>
    </w:p>
    <w:p w:rsidR="00422063" w:rsidRPr="00BF401C" w:rsidRDefault="00422063" w:rsidP="00422063">
      <w:pPr>
        <w:ind w:left="0" w:firstLine="0"/>
        <w:jc w:val="both"/>
        <w:rPr>
          <w:szCs w:val="22"/>
        </w:rPr>
      </w:pPr>
    </w:p>
    <w:p w:rsidR="00422063" w:rsidRPr="00BF401C" w:rsidRDefault="00422063" w:rsidP="00422063">
      <w:pPr>
        <w:ind w:left="0" w:firstLine="0"/>
        <w:jc w:val="both"/>
        <w:rPr>
          <w:szCs w:val="22"/>
        </w:rPr>
      </w:pPr>
    </w:p>
    <w:p w:rsidR="00422063" w:rsidRPr="00BF401C" w:rsidRDefault="00422063" w:rsidP="00422063">
      <w:pPr>
        <w:ind w:left="0" w:firstLine="0"/>
        <w:jc w:val="both"/>
        <w:outlineLvl w:val="0"/>
        <w:rPr>
          <w:b/>
          <w:szCs w:val="22"/>
        </w:rPr>
      </w:pPr>
      <w:r w:rsidRPr="00BF401C">
        <w:rPr>
          <w:b/>
          <w:szCs w:val="22"/>
        </w:rPr>
        <w:t>9.</w:t>
      </w:r>
      <w:r w:rsidRPr="00BF401C">
        <w:rPr>
          <w:b/>
          <w:szCs w:val="22"/>
        </w:rPr>
        <w:tab/>
        <w:t>DATUM REGISTRACE/PRODLOUŽENÍ REGISTRACE</w:t>
      </w:r>
    </w:p>
    <w:p w:rsidR="00422063" w:rsidRPr="00BF401C" w:rsidRDefault="00422063" w:rsidP="00422063">
      <w:pPr>
        <w:ind w:left="0" w:firstLine="0"/>
        <w:jc w:val="both"/>
        <w:outlineLvl w:val="0"/>
        <w:rPr>
          <w:szCs w:val="22"/>
        </w:rPr>
      </w:pPr>
    </w:p>
    <w:p w:rsidR="00422063" w:rsidRPr="00021EDE" w:rsidRDefault="00422063" w:rsidP="00422063">
      <w:pPr>
        <w:ind w:left="0" w:firstLine="0"/>
        <w:jc w:val="both"/>
        <w:outlineLvl w:val="0"/>
        <w:rPr>
          <w:szCs w:val="22"/>
        </w:rPr>
      </w:pPr>
      <w:r w:rsidRPr="00BF401C">
        <w:rPr>
          <w:szCs w:val="22"/>
        </w:rPr>
        <w:t>Datum registrace:</w:t>
      </w:r>
      <w:r>
        <w:rPr>
          <w:szCs w:val="22"/>
        </w:rPr>
        <w:t xml:space="preserve"> </w:t>
      </w:r>
      <w:r w:rsidRPr="00021EDE">
        <w:rPr>
          <w:szCs w:val="22"/>
        </w:rPr>
        <w:t>14. 3. 2017</w:t>
      </w:r>
    </w:p>
    <w:p w:rsidR="00422063" w:rsidRPr="00021EDE" w:rsidRDefault="00422063" w:rsidP="00422063">
      <w:pPr>
        <w:ind w:left="0" w:firstLine="0"/>
        <w:jc w:val="both"/>
        <w:rPr>
          <w:szCs w:val="22"/>
        </w:rPr>
      </w:pPr>
      <w:r w:rsidRPr="00021EDE">
        <w:rPr>
          <w:szCs w:val="22"/>
        </w:rPr>
        <w:t>Datum posledního prodloužení:</w:t>
      </w:r>
      <w:r>
        <w:rPr>
          <w:szCs w:val="22"/>
        </w:rPr>
        <w:t xml:space="preserve"> 25. 10. 2021</w:t>
      </w:r>
    </w:p>
    <w:p w:rsidR="00422063" w:rsidRPr="00BF401C" w:rsidRDefault="00422063" w:rsidP="00422063">
      <w:pPr>
        <w:ind w:left="0" w:firstLine="0"/>
        <w:jc w:val="both"/>
        <w:rPr>
          <w:b/>
          <w:szCs w:val="22"/>
        </w:rPr>
      </w:pPr>
    </w:p>
    <w:p w:rsidR="00422063" w:rsidRPr="00BF401C" w:rsidRDefault="00422063" w:rsidP="00422063">
      <w:pPr>
        <w:ind w:left="0" w:firstLine="0"/>
        <w:jc w:val="both"/>
        <w:rPr>
          <w:b/>
          <w:szCs w:val="22"/>
        </w:rPr>
      </w:pPr>
    </w:p>
    <w:p w:rsidR="00422063" w:rsidRPr="00BF401C" w:rsidRDefault="00422063" w:rsidP="00422063">
      <w:pPr>
        <w:ind w:left="0" w:firstLine="0"/>
        <w:jc w:val="both"/>
        <w:rPr>
          <w:b/>
          <w:szCs w:val="22"/>
        </w:rPr>
      </w:pPr>
      <w:r w:rsidRPr="00BF401C">
        <w:rPr>
          <w:b/>
          <w:szCs w:val="22"/>
        </w:rPr>
        <w:t>10.</w:t>
      </w:r>
      <w:r w:rsidRPr="00BF401C">
        <w:rPr>
          <w:b/>
          <w:szCs w:val="22"/>
        </w:rPr>
        <w:tab/>
        <w:t xml:space="preserve">DATUM REVIZE TEXTU </w:t>
      </w:r>
    </w:p>
    <w:p w:rsidR="00422063" w:rsidRPr="00B4374B" w:rsidRDefault="00422063" w:rsidP="00422063">
      <w:pPr>
        <w:ind w:left="0" w:firstLine="0"/>
        <w:jc w:val="both"/>
        <w:outlineLvl w:val="0"/>
        <w:rPr>
          <w:szCs w:val="22"/>
        </w:rPr>
      </w:pPr>
    </w:p>
    <w:p w:rsidR="00422063" w:rsidRPr="00BF75E8" w:rsidRDefault="00CB33FA" w:rsidP="00422063">
      <w:pPr>
        <w:ind w:left="0" w:firstLine="0"/>
        <w:jc w:val="both"/>
        <w:outlineLvl w:val="0"/>
        <w:rPr>
          <w:szCs w:val="22"/>
        </w:rPr>
      </w:pPr>
      <w:r>
        <w:rPr>
          <w:szCs w:val="22"/>
        </w:rPr>
        <w:t>31.03.2023</w:t>
      </w:r>
      <w:bookmarkStart w:id="8" w:name="_GoBack"/>
      <w:bookmarkEnd w:id="8"/>
    </w:p>
    <w:p w:rsidR="00422063" w:rsidRPr="00BF75E8" w:rsidRDefault="00422063" w:rsidP="00422063">
      <w:pPr>
        <w:ind w:left="0" w:firstLine="0"/>
        <w:jc w:val="both"/>
        <w:outlineLvl w:val="0"/>
        <w:rPr>
          <w:szCs w:val="22"/>
        </w:rPr>
      </w:pPr>
    </w:p>
    <w:p w:rsidR="00422063" w:rsidRPr="00BF75E8" w:rsidRDefault="00422063" w:rsidP="00746A36">
      <w:pPr>
        <w:keepNext/>
        <w:ind w:left="0" w:firstLine="0"/>
        <w:rPr>
          <w:szCs w:val="22"/>
          <w:lang w:val="de-DE"/>
        </w:rPr>
      </w:pPr>
      <w:r w:rsidRPr="00BF75E8">
        <w:rPr>
          <w:b/>
          <w:szCs w:val="22"/>
          <w:lang w:val="de-DE"/>
        </w:rPr>
        <w:lastRenderedPageBreak/>
        <w:t>DALŠÍ INFORMACE</w:t>
      </w:r>
    </w:p>
    <w:p w:rsidR="00422063" w:rsidRPr="00710826" w:rsidRDefault="00422063" w:rsidP="00746A36">
      <w:pPr>
        <w:keepNext/>
        <w:ind w:left="0" w:right="-318" w:firstLine="0"/>
        <w:jc w:val="both"/>
        <w:rPr>
          <w:szCs w:val="22"/>
          <w:lang w:val="de-DE"/>
        </w:rPr>
      </w:pPr>
    </w:p>
    <w:p w:rsidR="00422063" w:rsidRPr="001B10ED" w:rsidRDefault="00422063" w:rsidP="00422063">
      <w:pPr>
        <w:ind w:left="0" w:right="-318" w:firstLine="0"/>
        <w:rPr>
          <w:szCs w:val="22"/>
        </w:rPr>
      </w:pPr>
      <w:r w:rsidRPr="001B10ED">
        <w:rPr>
          <w:szCs w:val="22"/>
        </w:rPr>
        <w:t>Veterinární léčivý přípravek je vydáván pouze na předpis.</w:t>
      </w:r>
    </w:p>
    <w:p w:rsidR="00422063" w:rsidRPr="00F0024C" w:rsidRDefault="00422063" w:rsidP="00422063">
      <w:pPr>
        <w:ind w:left="0" w:firstLine="0"/>
        <w:rPr>
          <w:szCs w:val="22"/>
        </w:rPr>
      </w:pPr>
    </w:p>
    <w:p w:rsidR="00990659" w:rsidRPr="00422063" w:rsidRDefault="00990659" w:rsidP="00422063"/>
    <w:sectPr w:rsidR="00990659" w:rsidRPr="00422063" w:rsidSect="00CF53C7">
      <w:footerReference w:type="default" r:id="rId7"/>
      <w:footerReference w:type="first" r:id="rId8"/>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18" w:rsidRDefault="00763B18">
      <w:r>
        <w:separator/>
      </w:r>
    </w:p>
  </w:endnote>
  <w:endnote w:type="continuationSeparator" w:id="0">
    <w:p w:rsidR="00763B18" w:rsidRDefault="0076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rPr>
        <w:rFonts w:ascii="Times New Roman" w:hAnsi="Times New Roman"/>
        <w:lang w:val="el-GR"/>
      </w:rPr>
    </w:pPr>
  </w:p>
  <w:p w:rsidR="00990659" w:rsidRDefault="0081506F">
    <w:pPr>
      <w:pStyle w:val="Zpat"/>
      <w:tabs>
        <w:tab w:val="clear" w:pos="8930"/>
        <w:tab w:val="right" w:pos="8931"/>
      </w:tabs>
      <w:jc w:val="center"/>
      <w:rPr>
        <w:rFonts w:ascii="Times New Roman" w:hAnsi="Times New Roman"/>
        <w:lang w:val="el-GR"/>
      </w:rPr>
    </w:pPr>
    <w:r>
      <w:fldChar w:fldCharType="begin"/>
    </w:r>
    <w:r w:rsidR="00CF53C7">
      <w:instrText xml:space="preserve"> PAGE  \* MERGEFORMAT </w:instrText>
    </w:r>
    <w:r>
      <w:fldChar w:fldCharType="separate"/>
    </w:r>
    <w:r w:rsidR="004134A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pPr>
  </w:p>
  <w:p w:rsidR="00990659" w:rsidRDefault="0081506F">
    <w:pPr>
      <w:pStyle w:val="Zpat"/>
      <w:tabs>
        <w:tab w:val="clear" w:pos="8930"/>
        <w:tab w:val="right" w:pos="8931"/>
      </w:tabs>
      <w:jc w:val="center"/>
      <w:rPr>
        <w:rFonts w:ascii="Times New Roman" w:hAnsi="Times New Roman"/>
        <w:lang w:val="el-GR"/>
      </w:rPr>
    </w:pPr>
    <w:r>
      <w:fldChar w:fldCharType="begin"/>
    </w:r>
    <w:r w:rsidR="00CF53C7">
      <w:instrText xml:space="preserve"> PAGE  \* MERGEFORMAT </w:instrText>
    </w:r>
    <w:r>
      <w:fldChar w:fldCharType="separate"/>
    </w:r>
    <w:r w:rsidR="004134A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18" w:rsidRDefault="00763B18">
      <w:r>
        <w:separator/>
      </w:r>
    </w:p>
  </w:footnote>
  <w:footnote w:type="continuationSeparator" w:id="0">
    <w:p w:rsidR="00763B18" w:rsidRDefault="0076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4"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5"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9"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4"/>
  </w:num>
  <w:num w:numId="5">
    <w:abstractNumId w:val="33"/>
  </w:num>
  <w:num w:numId="6">
    <w:abstractNumId w:val="11"/>
  </w:num>
  <w:num w:numId="7">
    <w:abstractNumId w:val="21"/>
  </w:num>
  <w:num w:numId="8">
    <w:abstractNumId w:val="20"/>
  </w:num>
  <w:num w:numId="9">
    <w:abstractNumId w:val="6"/>
  </w:num>
  <w:num w:numId="10">
    <w:abstractNumId w:val="31"/>
  </w:num>
  <w:num w:numId="11">
    <w:abstractNumId w:val="32"/>
  </w:num>
  <w:num w:numId="12">
    <w:abstractNumId w:val="16"/>
  </w:num>
  <w:num w:numId="13">
    <w:abstractNumId w:val="13"/>
  </w:num>
  <w:num w:numId="14">
    <w:abstractNumId w:val="2"/>
  </w:num>
  <w:num w:numId="15">
    <w:abstractNumId w:val="30"/>
  </w:num>
  <w:num w:numId="16">
    <w:abstractNumId w:val="18"/>
  </w:num>
  <w:num w:numId="17">
    <w:abstractNumId w:val="35"/>
  </w:num>
  <w:num w:numId="18">
    <w:abstractNumId w:val="7"/>
  </w:num>
  <w:num w:numId="19">
    <w:abstractNumId w:val="1"/>
  </w:num>
  <w:num w:numId="20">
    <w:abstractNumId w:val="17"/>
  </w:num>
  <w:num w:numId="21">
    <w:abstractNumId w:val="3"/>
  </w:num>
  <w:num w:numId="22">
    <w:abstractNumId w:val="5"/>
  </w:num>
  <w:num w:numId="23">
    <w:abstractNumId w:val="24"/>
  </w:num>
  <w:num w:numId="24">
    <w:abstractNumId w:val="10"/>
  </w:num>
  <w:num w:numId="25">
    <w:abstractNumId w:val="29"/>
  </w:num>
  <w:num w:numId="26">
    <w:abstractNumId w:val="23"/>
  </w:num>
  <w:num w:numId="27">
    <w:abstractNumId w:val="12"/>
  </w:num>
  <w:num w:numId="28">
    <w:abstractNumId w:val="9"/>
  </w:num>
  <w:num w:numId="29">
    <w:abstractNumId w:val="19"/>
  </w:num>
  <w:num w:numId="30">
    <w:abstractNumId w:val="22"/>
  </w:num>
  <w:num w:numId="31">
    <w:abstractNumId w:val="14"/>
  </w:num>
  <w:num w:numId="32">
    <w:abstractNumId w:val="8"/>
  </w:num>
  <w:num w:numId="33">
    <w:abstractNumId w:val="27"/>
  </w:num>
  <w:num w:numId="34">
    <w:abstractNumId w:val="28"/>
  </w:num>
  <w:num w:numId="35">
    <w:abstractNumId w:val="26"/>
  </w:num>
  <w:num w:numId="36">
    <w:abstractNumId w:val="15"/>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2A0BAF"/>
    <w:rsid w:val="002D3181"/>
    <w:rsid w:val="00337E89"/>
    <w:rsid w:val="003815ED"/>
    <w:rsid w:val="003905CD"/>
    <w:rsid w:val="004134A2"/>
    <w:rsid w:val="00422063"/>
    <w:rsid w:val="00486DC4"/>
    <w:rsid w:val="00530161"/>
    <w:rsid w:val="0065161E"/>
    <w:rsid w:val="00746A36"/>
    <w:rsid w:val="00763B18"/>
    <w:rsid w:val="0081506F"/>
    <w:rsid w:val="00990659"/>
    <w:rsid w:val="00A72E48"/>
    <w:rsid w:val="00A82534"/>
    <w:rsid w:val="00A90943"/>
    <w:rsid w:val="00B6702C"/>
    <w:rsid w:val="00C36A5B"/>
    <w:rsid w:val="00CB33FA"/>
    <w:rsid w:val="00CF53C7"/>
    <w:rsid w:val="00D6770D"/>
    <w:rsid w:val="00DB5223"/>
    <w:rsid w:val="00E71162"/>
    <w:rsid w:val="00F45766"/>
    <w:rsid w:val="00FB2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8B601"/>
  <w15:docId w15:val="{92AA9893-CBE8-422B-A411-6D4EACD7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CF53C7"/>
    <w:pPr>
      <w:ind w:left="567" w:hanging="567"/>
    </w:pPr>
    <w:rPr>
      <w:sz w:val="22"/>
      <w:lang w:eastAsia="en-US"/>
    </w:rPr>
  </w:style>
  <w:style w:type="paragraph" w:styleId="Nadpis1">
    <w:name w:val="heading 1"/>
    <w:basedOn w:val="Normln"/>
    <w:next w:val="Normln"/>
    <w:qFormat/>
    <w:rsid w:val="00CF53C7"/>
    <w:pPr>
      <w:spacing w:before="240" w:after="120"/>
      <w:ind w:left="357" w:hanging="357"/>
      <w:outlineLvl w:val="0"/>
    </w:pPr>
    <w:rPr>
      <w:b/>
      <w:caps/>
      <w:sz w:val="26"/>
      <w:lang w:val="en-US"/>
    </w:rPr>
  </w:style>
  <w:style w:type="paragraph" w:styleId="Nadpis2">
    <w:name w:val="heading 2"/>
    <w:basedOn w:val="Normln"/>
    <w:next w:val="Normln"/>
    <w:qFormat/>
    <w:rsid w:val="00CF53C7"/>
    <w:pPr>
      <w:keepNext/>
      <w:spacing w:before="240" w:after="60"/>
      <w:outlineLvl w:val="1"/>
    </w:pPr>
    <w:rPr>
      <w:rFonts w:ascii="Helvetica" w:hAnsi="Helvetica"/>
      <w:b/>
      <w:i/>
      <w:sz w:val="24"/>
    </w:rPr>
  </w:style>
  <w:style w:type="paragraph" w:styleId="Nadpis3">
    <w:name w:val="heading 3"/>
    <w:basedOn w:val="Normln"/>
    <w:next w:val="Normln"/>
    <w:qFormat/>
    <w:rsid w:val="00CF53C7"/>
    <w:pPr>
      <w:keepNext/>
      <w:keepLines/>
      <w:spacing w:before="120" w:after="80"/>
      <w:outlineLvl w:val="2"/>
    </w:pPr>
    <w:rPr>
      <w:b/>
      <w:kern w:val="28"/>
      <w:sz w:val="24"/>
      <w:lang w:val="en-US"/>
    </w:rPr>
  </w:style>
  <w:style w:type="paragraph" w:styleId="Nadpis4">
    <w:name w:val="heading 4"/>
    <w:basedOn w:val="Normln"/>
    <w:next w:val="Normln"/>
    <w:qFormat/>
    <w:rsid w:val="00CF53C7"/>
    <w:pPr>
      <w:keepNext/>
      <w:outlineLvl w:val="3"/>
    </w:pPr>
    <w:rPr>
      <w:b/>
      <w:noProof/>
    </w:rPr>
  </w:style>
  <w:style w:type="paragraph" w:styleId="Nadpis5">
    <w:name w:val="heading 5"/>
    <w:basedOn w:val="Normln"/>
    <w:next w:val="Normln"/>
    <w:qFormat/>
    <w:rsid w:val="00CF53C7"/>
    <w:pPr>
      <w:keepNext/>
      <w:jc w:val="center"/>
      <w:outlineLvl w:val="4"/>
    </w:pPr>
    <w:rPr>
      <w:b/>
      <w:noProof/>
    </w:rPr>
  </w:style>
  <w:style w:type="paragraph" w:styleId="Nadpis6">
    <w:name w:val="heading 6"/>
    <w:basedOn w:val="Normln"/>
    <w:next w:val="Normln"/>
    <w:qFormat/>
    <w:rsid w:val="00CF53C7"/>
    <w:pPr>
      <w:keepNext/>
      <w:tabs>
        <w:tab w:val="left" w:pos="-720"/>
        <w:tab w:val="left" w:pos="4536"/>
      </w:tabs>
      <w:suppressAutoHyphens/>
      <w:outlineLvl w:val="5"/>
    </w:pPr>
    <w:rPr>
      <w:i/>
    </w:rPr>
  </w:style>
  <w:style w:type="paragraph" w:styleId="Nadpis7">
    <w:name w:val="heading 7"/>
    <w:basedOn w:val="Normln"/>
    <w:next w:val="Normln"/>
    <w:qFormat/>
    <w:rsid w:val="00CF53C7"/>
    <w:pPr>
      <w:keepNext/>
      <w:tabs>
        <w:tab w:val="left" w:pos="-720"/>
        <w:tab w:val="left" w:pos="4536"/>
      </w:tabs>
      <w:suppressAutoHyphens/>
      <w:jc w:val="both"/>
      <w:outlineLvl w:val="6"/>
    </w:pPr>
    <w:rPr>
      <w:i/>
    </w:rPr>
  </w:style>
  <w:style w:type="paragraph" w:styleId="Nadpis8">
    <w:name w:val="heading 8"/>
    <w:basedOn w:val="Normln"/>
    <w:next w:val="Normln"/>
    <w:qFormat/>
    <w:rsid w:val="00CF53C7"/>
    <w:pPr>
      <w:keepNext/>
      <w:ind w:right="-318"/>
      <w:outlineLvl w:val="7"/>
    </w:pPr>
    <w:rPr>
      <w:b/>
    </w:rPr>
  </w:style>
  <w:style w:type="paragraph" w:styleId="Nadpis9">
    <w:name w:val="heading 9"/>
    <w:basedOn w:val="Normln"/>
    <w:next w:val="Normln"/>
    <w:qFormat/>
    <w:rsid w:val="00CF53C7"/>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F53C7"/>
    <w:pPr>
      <w:tabs>
        <w:tab w:val="center" w:pos="4153"/>
        <w:tab w:val="right" w:pos="8306"/>
      </w:tabs>
    </w:pPr>
    <w:rPr>
      <w:rFonts w:ascii="Helvetica" w:hAnsi="Helvetica"/>
      <w:sz w:val="20"/>
    </w:rPr>
  </w:style>
  <w:style w:type="paragraph" w:styleId="Zpat">
    <w:name w:val="footer"/>
    <w:basedOn w:val="Normln"/>
    <w:rsid w:val="00CF53C7"/>
    <w:pPr>
      <w:tabs>
        <w:tab w:val="center" w:pos="4536"/>
        <w:tab w:val="center" w:pos="8930"/>
      </w:tabs>
    </w:pPr>
    <w:rPr>
      <w:rFonts w:ascii="Helvetica" w:hAnsi="Helvetica"/>
      <w:sz w:val="16"/>
    </w:rPr>
  </w:style>
  <w:style w:type="paragraph" w:styleId="Obsah9">
    <w:name w:val="toc 9"/>
    <w:basedOn w:val="Normln"/>
    <w:next w:val="Normln"/>
    <w:rsid w:val="00CF53C7"/>
    <w:pPr>
      <w:ind w:left="1760"/>
    </w:pPr>
  </w:style>
  <w:style w:type="character" w:styleId="Odkaznavysvtlivky">
    <w:name w:val="endnote reference"/>
    <w:rsid w:val="00CF53C7"/>
    <w:rPr>
      <w:vertAlign w:val="superscript"/>
    </w:rPr>
  </w:style>
  <w:style w:type="character" w:styleId="Znakapoznpodarou">
    <w:name w:val="footnote reference"/>
    <w:rsid w:val="00CF53C7"/>
    <w:rPr>
      <w:vertAlign w:val="superscript"/>
    </w:rPr>
  </w:style>
  <w:style w:type="paragraph" w:styleId="Textpoznpodarou">
    <w:name w:val="footnote text"/>
    <w:basedOn w:val="Normln"/>
    <w:rsid w:val="00CF53C7"/>
    <w:pPr>
      <w:jc w:val="both"/>
    </w:pPr>
    <w:rPr>
      <w:sz w:val="20"/>
    </w:rPr>
  </w:style>
  <w:style w:type="paragraph" w:styleId="Zkladntext">
    <w:name w:val="Body Text"/>
    <w:basedOn w:val="Normln"/>
    <w:rsid w:val="00CF53C7"/>
    <w:pPr>
      <w:jc w:val="both"/>
    </w:pPr>
  </w:style>
  <w:style w:type="paragraph" w:styleId="Textvbloku">
    <w:name w:val="Block Text"/>
    <w:basedOn w:val="Normln"/>
    <w:rsid w:val="00CF53C7"/>
    <w:pPr>
      <w:ind w:left="2268" w:right="1711"/>
    </w:pPr>
    <w:rPr>
      <w:b/>
    </w:rPr>
  </w:style>
  <w:style w:type="paragraph" w:styleId="Zkladntext2">
    <w:name w:val="Body Text 2"/>
    <w:basedOn w:val="Normln"/>
    <w:rsid w:val="00CF53C7"/>
    <w:rPr>
      <w:b/>
    </w:rPr>
  </w:style>
  <w:style w:type="paragraph" w:styleId="Zkladntext3">
    <w:name w:val="Body Text 3"/>
    <w:basedOn w:val="Normln"/>
    <w:rsid w:val="00CF53C7"/>
    <w:pPr>
      <w:ind w:right="113"/>
      <w:jc w:val="both"/>
    </w:pPr>
    <w:rPr>
      <w:b/>
    </w:rPr>
  </w:style>
  <w:style w:type="paragraph" w:styleId="Textvysvtlivek">
    <w:name w:val="endnote text"/>
    <w:basedOn w:val="Normln"/>
    <w:rsid w:val="00CF53C7"/>
  </w:style>
  <w:style w:type="character" w:styleId="Odkaznakoment">
    <w:name w:val="annotation reference"/>
    <w:rsid w:val="00CF53C7"/>
    <w:rPr>
      <w:sz w:val="16"/>
    </w:rPr>
  </w:style>
  <w:style w:type="paragraph" w:styleId="Zkladntextodsazen2">
    <w:name w:val="Body Text Indent 2"/>
    <w:basedOn w:val="Normln"/>
    <w:rsid w:val="00CF53C7"/>
    <w:pPr>
      <w:jc w:val="both"/>
    </w:pPr>
    <w:rPr>
      <w:b/>
    </w:rPr>
  </w:style>
  <w:style w:type="paragraph" w:styleId="Textkomente">
    <w:name w:val="annotation text"/>
    <w:basedOn w:val="Normln"/>
    <w:rsid w:val="00CF53C7"/>
    <w:rPr>
      <w:sz w:val="20"/>
    </w:rPr>
  </w:style>
  <w:style w:type="paragraph" w:styleId="Zkladntextodsazen3">
    <w:name w:val="Body Text Indent 3"/>
    <w:basedOn w:val="Normln"/>
    <w:rsid w:val="00CF53C7"/>
  </w:style>
  <w:style w:type="paragraph" w:customStyle="1" w:styleId="Bullet">
    <w:name w:val="Bullet"/>
    <w:basedOn w:val="Normln"/>
    <w:rsid w:val="00CF53C7"/>
    <w:pPr>
      <w:numPr>
        <w:numId w:val="2"/>
      </w:numPr>
    </w:pPr>
  </w:style>
  <w:style w:type="paragraph" w:styleId="Textbubliny">
    <w:name w:val="Balloon Text"/>
    <w:basedOn w:val="Normln"/>
    <w:rsid w:val="00CF53C7"/>
    <w:rPr>
      <w:rFonts w:ascii="Tahoma" w:hAnsi="Tahoma" w:cs="Tahoma"/>
      <w:sz w:val="16"/>
      <w:szCs w:val="16"/>
    </w:rPr>
  </w:style>
  <w:style w:type="character" w:styleId="Hypertextovodkaz">
    <w:name w:val="Hyperlink"/>
    <w:rsid w:val="00CF53C7"/>
    <w:rPr>
      <w:color w:val="0000FF"/>
      <w:u w:val="single"/>
    </w:rPr>
  </w:style>
  <w:style w:type="paragraph" w:customStyle="1" w:styleId="AHeader1">
    <w:name w:val="AHeader 1"/>
    <w:basedOn w:val="Normln"/>
    <w:rsid w:val="00CF53C7"/>
    <w:pPr>
      <w:numPr>
        <w:numId w:val="32"/>
      </w:numPr>
      <w:spacing w:after="120"/>
    </w:pPr>
    <w:rPr>
      <w:rFonts w:ascii="Arial" w:hAnsi="Arial" w:cs="Arial"/>
      <w:b/>
      <w:bCs/>
      <w:sz w:val="24"/>
      <w:lang w:val="en-GB"/>
    </w:rPr>
  </w:style>
  <w:style w:type="paragraph" w:customStyle="1" w:styleId="AHeader2">
    <w:name w:val="AHeader 2"/>
    <w:basedOn w:val="AHeader1"/>
    <w:rsid w:val="00CF53C7"/>
    <w:pPr>
      <w:numPr>
        <w:ilvl w:val="1"/>
      </w:numPr>
      <w:tabs>
        <w:tab w:val="clear" w:pos="709"/>
        <w:tab w:val="num" w:pos="360"/>
        <w:tab w:val="num" w:pos="1440"/>
      </w:tabs>
      <w:ind w:left="1440" w:hanging="360"/>
    </w:pPr>
    <w:rPr>
      <w:sz w:val="22"/>
    </w:rPr>
  </w:style>
  <w:style w:type="paragraph" w:customStyle="1" w:styleId="AHeader3">
    <w:name w:val="AHeader 3"/>
    <w:basedOn w:val="AHeader2"/>
    <w:rsid w:val="00CF53C7"/>
    <w:pPr>
      <w:numPr>
        <w:ilvl w:val="2"/>
      </w:numPr>
      <w:tabs>
        <w:tab w:val="clear" w:pos="1276"/>
        <w:tab w:val="num" w:pos="360"/>
        <w:tab w:val="num" w:pos="2160"/>
      </w:tabs>
      <w:ind w:left="2160" w:hanging="360"/>
    </w:pPr>
  </w:style>
  <w:style w:type="paragraph" w:customStyle="1" w:styleId="AHeader2abc">
    <w:name w:val="AHeader 2 abc"/>
    <w:basedOn w:val="AHeader3"/>
    <w:rsid w:val="00CF53C7"/>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CF53C7"/>
    <w:pPr>
      <w:numPr>
        <w:ilvl w:val="4"/>
      </w:numPr>
      <w:tabs>
        <w:tab w:val="clear" w:pos="1701"/>
        <w:tab w:val="num" w:pos="360"/>
        <w:tab w:val="num" w:pos="1440"/>
        <w:tab w:val="num" w:pos="3600"/>
      </w:tabs>
      <w:ind w:left="3600" w:hanging="360"/>
    </w:pPr>
  </w:style>
  <w:style w:type="character" w:styleId="Sledovanodkaz">
    <w:name w:val="FollowedHyperlink"/>
    <w:rsid w:val="00CF53C7"/>
    <w:rPr>
      <w:color w:val="800080"/>
      <w:u w:val="single"/>
    </w:rPr>
  </w:style>
  <w:style w:type="paragraph" w:styleId="Zkladntextodsazen">
    <w:name w:val="Body Text Indent"/>
    <w:basedOn w:val="Normln"/>
    <w:link w:val="ZkladntextodsazenChar"/>
    <w:rsid w:val="00FB2FD2"/>
    <w:pPr>
      <w:spacing w:after="120"/>
      <w:ind w:left="283"/>
    </w:pPr>
  </w:style>
  <w:style w:type="character" w:customStyle="1" w:styleId="ZkladntextodsazenChar">
    <w:name w:val="Základní text odsazený Char"/>
    <w:link w:val="Zkladntextodsazen"/>
    <w:rsid w:val="00FB2FD2"/>
    <w:rPr>
      <w:sz w:val="22"/>
      <w:lang w:eastAsia="en-US"/>
    </w:rPr>
  </w:style>
  <w:style w:type="character" w:customStyle="1" w:styleId="ZhlavChar">
    <w:name w:val="Záhlaví Char"/>
    <w:link w:val="Zhlav"/>
    <w:rsid w:val="00FB2FD2"/>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Studená Dana</dc:creator>
  <cp:keywords/>
  <dc:description/>
  <cp:lastModifiedBy>Plíšková Monika</cp:lastModifiedBy>
  <cp:revision>6</cp:revision>
  <cp:lastPrinted>2005-07-27T07:58:00Z</cp:lastPrinted>
  <dcterms:created xsi:type="dcterms:W3CDTF">2024-09-27T09:21:00Z</dcterms:created>
  <dcterms:modified xsi:type="dcterms:W3CDTF">2024-10-01T06:31:00Z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