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2C21B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2C21B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2C21B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73A0F8FF" w:rsidR="00C114FF" w:rsidRPr="00B41D57" w:rsidRDefault="00A829A2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88007553"/>
      <w:bookmarkStart w:id="1" w:name="_GoBack"/>
      <w:r>
        <w:t>Menbutil 100 mg/ml injekční roztok pro skot, prasata, koně, ovce a kozy</w:t>
      </w:r>
    </w:p>
    <w:bookmarkEnd w:id="0"/>
    <w:bookmarkEnd w:id="1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2C21B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3300D876" w:rsidR="00C114FF" w:rsidRPr="00B41D57" w:rsidRDefault="002C21B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DBC8849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0E6D51D" w14:textId="77777777" w:rsidR="00614AD3" w:rsidRDefault="00A829A2" w:rsidP="00A9226B">
      <w:pPr>
        <w:tabs>
          <w:tab w:val="clear" w:pos="567"/>
        </w:tabs>
        <w:spacing w:line="240" w:lineRule="auto"/>
      </w:pPr>
      <w:r>
        <w:t>Každý ml obsahuje:</w:t>
      </w:r>
    </w:p>
    <w:p w14:paraId="251BE7E4" w14:textId="50ECED49" w:rsidR="00A829A2" w:rsidRPr="00B41D57" w:rsidRDefault="00614AD3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</w:t>
      </w:r>
      <w:r w:rsidR="00F9589A">
        <w:t>enbutonum</w:t>
      </w:r>
      <w:proofErr w:type="spellEnd"/>
      <w:r>
        <w:tab/>
      </w:r>
      <w:r>
        <w:tab/>
        <w:t>100</w:t>
      </w:r>
      <w:r w:rsidR="00473CAC">
        <w:t>,0 </w:t>
      </w:r>
      <w:r>
        <w:t>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B211FA1" w:rsidR="00C114FF" w:rsidRPr="00B41D57" w:rsidRDefault="002C21B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B540BD" w14:paraId="6FF49AA7" w14:textId="77777777" w:rsidTr="00270311">
        <w:tc>
          <w:tcPr>
            <w:tcW w:w="4527" w:type="dxa"/>
            <w:shd w:val="clear" w:color="auto" w:fill="auto"/>
            <w:vAlign w:val="center"/>
          </w:tcPr>
          <w:p w14:paraId="2D716110" w14:textId="77777777" w:rsidR="00B540BD" w:rsidRPr="00B41D57" w:rsidRDefault="00B540BD" w:rsidP="0027031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1A55D2E" w14:textId="77777777" w:rsidR="00B540BD" w:rsidRPr="00B41D57" w:rsidRDefault="00B540BD" w:rsidP="0027031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540BD" w14:paraId="0AA4A0B7" w14:textId="77777777" w:rsidTr="00270311">
        <w:tc>
          <w:tcPr>
            <w:tcW w:w="4527" w:type="dxa"/>
            <w:shd w:val="clear" w:color="auto" w:fill="auto"/>
            <w:vAlign w:val="center"/>
          </w:tcPr>
          <w:p w14:paraId="15DDFD12" w14:textId="77777777" w:rsidR="00B540BD" w:rsidRPr="00B41D57" w:rsidRDefault="00B540BD" w:rsidP="0027031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Chlorkresol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0424D85" w14:textId="77777777" w:rsidR="00B540BD" w:rsidRPr="00B41D57" w:rsidRDefault="00B540BD" w:rsidP="00270311">
            <w:pPr>
              <w:spacing w:before="60" w:after="60"/>
              <w:rPr>
                <w:iCs/>
                <w:szCs w:val="22"/>
              </w:rPr>
            </w:pPr>
            <w:r>
              <w:t>2,0 mg</w:t>
            </w:r>
          </w:p>
        </w:tc>
      </w:tr>
      <w:tr w:rsidR="00B540BD" w14:paraId="445824BE" w14:textId="77777777" w:rsidTr="00270311">
        <w:tc>
          <w:tcPr>
            <w:tcW w:w="4527" w:type="dxa"/>
            <w:shd w:val="clear" w:color="auto" w:fill="auto"/>
            <w:vAlign w:val="center"/>
          </w:tcPr>
          <w:p w14:paraId="68B64533" w14:textId="77777777" w:rsidR="00B540BD" w:rsidRPr="00B41D57" w:rsidRDefault="00B540BD" w:rsidP="00270311">
            <w:pPr>
              <w:spacing w:before="60" w:after="60"/>
              <w:rPr>
                <w:iCs/>
                <w:szCs w:val="22"/>
              </w:rPr>
            </w:pPr>
            <w:r>
              <w:t>Disiřičitan sodný (E 223)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389B100" w14:textId="77777777" w:rsidR="00B540BD" w:rsidRPr="00B41D57" w:rsidRDefault="00B540BD" w:rsidP="00270311">
            <w:pPr>
              <w:spacing w:before="60" w:after="60"/>
              <w:rPr>
                <w:iCs/>
                <w:szCs w:val="22"/>
              </w:rPr>
            </w:pPr>
            <w:r>
              <w:t>2,0 mg</w:t>
            </w:r>
          </w:p>
        </w:tc>
      </w:tr>
      <w:tr w:rsidR="00B540BD" w14:paraId="451A301F" w14:textId="77777777" w:rsidTr="00270311">
        <w:tc>
          <w:tcPr>
            <w:tcW w:w="4527" w:type="dxa"/>
            <w:shd w:val="clear" w:color="auto" w:fill="auto"/>
            <w:vAlign w:val="center"/>
          </w:tcPr>
          <w:p w14:paraId="04865B67" w14:textId="77777777" w:rsidR="00B540BD" w:rsidRPr="00B540BD" w:rsidRDefault="00B540BD" w:rsidP="00270311">
            <w:pPr>
              <w:jc w:val="both"/>
              <w:outlineLvl w:val="0"/>
              <w:rPr>
                <w:szCs w:val="28"/>
              </w:rPr>
            </w:pPr>
            <w:r>
              <w:t>Kyselina edetová (E 385)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16D31BF" w14:textId="77777777" w:rsidR="00B540BD" w:rsidRPr="00B41D57" w:rsidRDefault="00B540BD" w:rsidP="00270311">
            <w:pPr>
              <w:spacing w:before="60" w:after="60"/>
              <w:rPr>
                <w:iCs/>
                <w:szCs w:val="22"/>
              </w:rPr>
            </w:pPr>
          </w:p>
        </w:tc>
      </w:tr>
      <w:tr w:rsidR="00B540BD" w14:paraId="036B7EEC" w14:textId="77777777" w:rsidTr="00270311">
        <w:tc>
          <w:tcPr>
            <w:tcW w:w="4527" w:type="dxa"/>
            <w:shd w:val="clear" w:color="auto" w:fill="auto"/>
            <w:vAlign w:val="center"/>
          </w:tcPr>
          <w:p w14:paraId="18B4F6E5" w14:textId="77777777" w:rsidR="00B540BD" w:rsidRPr="00270311" w:rsidRDefault="00B540BD" w:rsidP="00270311">
            <w:pPr>
              <w:jc w:val="both"/>
              <w:rPr>
                <w:szCs w:val="28"/>
              </w:rPr>
            </w:pPr>
            <w:r>
              <w:t>Olamin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1707CAA" w14:textId="77777777" w:rsidR="00B540BD" w:rsidRPr="00B41D57" w:rsidRDefault="00B540BD" w:rsidP="00270311">
            <w:pPr>
              <w:spacing w:before="60" w:after="60"/>
              <w:rPr>
                <w:iCs/>
                <w:szCs w:val="22"/>
              </w:rPr>
            </w:pPr>
          </w:p>
        </w:tc>
      </w:tr>
      <w:tr w:rsidR="00B540BD" w14:paraId="11F2003D" w14:textId="77777777" w:rsidTr="00270311">
        <w:tc>
          <w:tcPr>
            <w:tcW w:w="4527" w:type="dxa"/>
            <w:shd w:val="clear" w:color="auto" w:fill="auto"/>
            <w:vAlign w:val="center"/>
          </w:tcPr>
          <w:p w14:paraId="4DF0CC45" w14:textId="77777777" w:rsidR="00B540BD" w:rsidRPr="00B540BD" w:rsidRDefault="00B540BD" w:rsidP="00270311">
            <w:pPr>
              <w:jc w:val="both"/>
              <w:rPr>
                <w:szCs w:val="28"/>
              </w:rPr>
            </w:pPr>
            <w:r>
              <w:t>Voda pro injekce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9D9572C" w14:textId="77777777" w:rsidR="00B540BD" w:rsidRPr="00B41D57" w:rsidRDefault="00B540BD" w:rsidP="00270311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9ADC474" w14:textId="77777777" w:rsidR="00932CC2" w:rsidRDefault="00932CC2" w:rsidP="00B540BD">
      <w:pPr>
        <w:outlineLvl w:val="0"/>
      </w:pPr>
    </w:p>
    <w:p w14:paraId="75E9A3C7" w14:textId="77777777" w:rsidR="00B540BD" w:rsidRDefault="00B540BD" w:rsidP="00B540BD">
      <w:pPr>
        <w:outlineLvl w:val="0"/>
      </w:pPr>
      <w:r>
        <w:t>Čirý, slabě žlutý roztok.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2C21B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2C21B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48C94B" w14:textId="7D5F23A6" w:rsidR="00D27491" w:rsidRDefault="00D27491" w:rsidP="00A9226B">
      <w:pPr>
        <w:tabs>
          <w:tab w:val="clear" w:pos="567"/>
        </w:tabs>
        <w:spacing w:line="240" w:lineRule="auto"/>
      </w:pPr>
      <w:r>
        <w:t>Skot, prasata, koně, ovce a kozy.</w:t>
      </w:r>
    </w:p>
    <w:p w14:paraId="504D5CFF" w14:textId="77777777" w:rsidR="00D27491" w:rsidRPr="00B41D57" w:rsidRDefault="00D274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2C21B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E8D7C0" w14:textId="6698F6D0" w:rsidR="00E86CEE" w:rsidRPr="00D27491" w:rsidRDefault="00D27491" w:rsidP="00D27491">
      <w:pPr>
        <w:jc w:val="both"/>
        <w:outlineLvl w:val="0"/>
      </w:pPr>
      <w:r>
        <w:t>Stimulace činnosti jater a trávicího traktu v případě digestivních poruch a jaterní insuficience.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2C21B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655068" w14:textId="77777777" w:rsidR="00D27491" w:rsidRDefault="00D27491" w:rsidP="00D27491">
      <w:pPr>
        <w:jc w:val="both"/>
      </w:pPr>
      <w:r>
        <w:t>Nepoužívat v případech přecitlivělosti na léčivou látku nebo na některou z pomocných látek.</w:t>
      </w:r>
    </w:p>
    <w:p w14:paraId="29CA9E7E" w14:textId="77777777" w:rsidR="00D27491" w:rsidRDefault="00D27491" w:rsidP="00D27491">
      <w:pPr>
        <w:jc w:val="both"/>
      </w:pPr>
      <w:r>
        <w:t>Nepoužívat u zvířat s onemocněním srdce nebo v pozdních stádiích březosti.</w:t>
      </w:r>
    </w:p>
    <w:p w14:paraId="5D2F1326" w14:textId="70E5A146" w:rsidR="00D27491" w:rsidRDefault="00D27491" w:rsidP="00D27491">
      <w:r>
        <w:t>Viz bod 3.7 „Použití v průběhu březosti, laktace nebo snášky“.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2C21B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6F7E5B" w14:textId="7C3BBCFA" w:rsidR="00C114FF" w:rsidRPr="00B41D57" w:rsidRDefault="002C21B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2C21BD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2C21B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87850C" w14:textId="3468E594" w:rsidR="00B97D78" w:rsidRDefault="00B97D78" w:rsidP="00B97D78">
      <w:pPr>
        <w:jc w:val="both"/>
        <w:rPr>
          <w:szCs w:val="28"/>
        </w:rPr>
      </w:pPr>
      <w:r>
        <w:t>Podávejte pomalu intravenózně (minimálně 1 minutu), aby nedošlo k nežádoucím účinkům popsaným v bodě 3.6.</w:t>
      </w:r>
    </w:p>
    <w:p w14:paraId="2708073C" w14:textId="77777777" w:rsidR="00B97D78" w:rsidRDefault="00B97D78" w:rsidP="00B97D78">
      <w:pPr>
        <w:jc w:val="both"/>
        <w:rPr>
          <w:szCs w:val="28"/>
        </w:rPr>
      </w:pPr>
    </w:p>
    <w:p w14:paraId="5EA9A9E4" w14:textId="77777777" w:rsidR="00C114FF" w:rsidRPr="00B41D57" w:rsidRDefault="002C21B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D3F5BEA" w14:textId="6A0CA50B" w:rsidR="00B97D78" w:rsidRDefault="00B97D78" w:rsidP="00B97D78">
      <w:pPr>
        <w:jc w:val="both"/>
        <w:outlineLvl w:val="0"/>
      </w:pPr>
      <w:r>
        <w:lastRenderedPageBreak/>
        <w:t>Při manipulaci s veterinárním léčivým přípravkem nejezte, nepijte ani nekuřte.</w:t>
      </w:r>
    </w:p>
    <w:p w14:paraId="32B60670" w14:textId="60D96B9C" w:rsidR="00B97D78" w:rsidRDefault="00B97D78" w:rsidP="00B97D78">
      <w:pPr>
        <w:jc w:val="both"/>
        <w:outlineLvl w:val="0"/>
      </w:pPr>
    </w:p>
    <w:p w14:paraId="0C21B5DB" w14:textId="77777777" w:rsidR="00B97D78" w:rsidRDefault="00B97D78" w:rsidP="00B97D78">
      <w:pPr>
        <w:jc w:val="both"/>
        <w:outlineLvl w:val="0"/>
      </w:pPr>
      <w:r>
        <w:t>Lidé se známou přecitlivělostí na menbuton by se měli vyhnout kontaktu s veterinárním léčivým přípravkem.</w:t>
      </w:r>
    </w:p>
    <w:p w14:paraId="2E5FC426" w14:textId="3F1D3FC8" w:rsidR="00C8571E" w:rsidRDefault="00C8571E" w:rsidP="00B97D78">
      <w:pPr>
        <w:jc w:val="both"/>
        <w:outlineLvl w:val="0"/>
      </w:pPr>
      <w:r>
        <w:t>Náhodné sebepoškození injekčně podaným přípravkem může vyvolat podráždění.</w:t>
      </w:r>
    </w:p>
    <w:p w14:paraId="044A4AC2" w14:textId="122FE663" w:rsidR="00B97D78" w:rsidRDefault="00B97D78" w:rsidP="00B97D78">
      <w:pPr>
        <w:jc w:val="both"/>
        <w:outlineLvl w:val="0"/>
      </w:pPr>
      <w:r>
        <w:t xml:space="preserve">V případě náhodného sebepoškození injekčně </w:t>
      </w:r>
      <w:r w:rsidR="00C8571E">
        <w:t>podaným</w:t>
      </w:r>
      <w:r>
        <w:t xml:space="preserve"> přípravkem vyhledejte ihned lékařskou pomoc a ukažte příbalovou informaci nebo etiketu praktickému lékaři.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2AD71" w14:textId="77777777" w:rsidR="001B4EB3" w:rsidRPr="001B4EB3" w:rsidRDefault="001B4EB3" w:rsidP="0082572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5C64A02A" w14:textId="77777777" w:rsidR="001B4EB3" w:rsidRPr="00B41D57" w:rsidRDefault="001B4EB3" w:rsidP="001B4EB3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2C21B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81F404A" w14:textId="6BE5899D" w:rsidR="002B7986" w:rsidRDefault="002B7986" w:rsidP="002B7986">
      <w:pPr>
        <w:outlineLvl w:val="0"/>
      </w:pPr>
      <w:r>
        <w:t>Skot, prasata, koně, ovce a kozy: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7619E" w14:paraId="6F2496C6" w14:textId="77777777" w:rsidTr="00674D24">
        <w:tc>
          <w:tcPr>
            <w:tcW w:w="1957" w:type="pct"/>
          </w:tcPr>
          <w:p w14:paraId="0BE1B7B1" w14:textId="77777777" w:rsidR="0097619E" w:rsidRPr="002630C9" w:rsidRDefault="0097619E" w:rsidP="00674D24">
            <w:pPr>
              <w:spacing w:before="60" w:after="60"/>
              <w:rPr>
                <w:szCs w:val="22"/>
              </w:rPr>
            </w:pPr>
            <w:r w:rsidRPr="002630C9">
              <w:t>Vzácné</w:t>
            </w:r>
          </w:p>
          <w:p w14:paraId="6D50C0C3" w14:textId="77777777" w:rsidR="0097619E" w:rsidRPr="002630C9" w:rsidRDefault="0097619E" w:rsidP="00674D24">
            <w:pPr>
              <w:spacing w:before="60" w:after="60"/>
              <w:rPr>
                <w:szCs w:val="22"/>
              </w:rPr>
            </w:pPr>
            <w:r w:rsidRPr="002630C9">
              <w:t>(1 až 10 zvířat / 10 000 ošetřených zvířat):</w:t>
            </w:r>
          </w:p>
        </w:tc>
        <w:tc>
          <w:tcPr>
            <w:tcW w:w="3043" w:type="pct"/>
          </w:tcPr>
          <w:p w14:paraId="4DFFF346" w14:textId="77777777" w:rsidR="0097619E" w:rsidRPr="002630C9" w:rsidRDefault="0097619E" w:rsidP="00674D24">
            <w:pPr>
              <w:spacing w:before="60" w:after="60"/>
              <w:rPr>
                <w:iCs/>
                <w:szCs w:val="22"/>
              </w:rPr>
            </w:pPr>
            <w:r w:rsidRPr="002630C9">
              <w:t>Ulehnutí</w:t>
            </w:r>
            <w:r w:rsidRPr="002630C9">
              <w:rPr>
                <w:vertAlign w:val="superscript"/>
              </w:rPr>
              <w:t>1</w:t>
            </w:r>
          </w:p>
        </w:tc>
      </w:tr>
      <w:tr w:rsidR="0097619E" w14:paraId="582BED84" w14:textId="77777777" w:rsidTr="00674D24">
        <w:tc>
          <w:tcPr>
            <w:tcW w:w="1957" w:type="pct"/>
          </w:tcPr>
          <w:p w14:paraId="69B91BAB" w14:textId="77777777" w:rsidR="0097619E" w:rsidRPr="002630C9" w:rsidRDefault="0097619E" w:rsidP="00674D24">
            <w:pPr>
              <w:spacing w:before="60" w:after="60"/>
              <w:rPr>
                <w:szCs w:val="22"/>
              </w:rPr>
            </w:pPr>
            <w:r w:rsidRPr="002630C9">
              <w:t>Velmi vzácné</w:t>
            </w:r>
          </w:p>
          <w:p w14:paraId="7D676521" w14:textId="52A61F15" w:rsidR="0097619E" w:rsidRPr="002630C9" w:rsidRDefault="009B7841" w:rsidP="00674D24">
            <w:pPr>
              <w:spacing w:before="60" w:after="60"/>
              <w:rPr>
                <w:szCs w:val="22"/>
              </w:rPr>
            </w:pPr>
            <w:r w:rsidRPr="002630C9">
              <w:t>(&lt;1</w:t>
            </w:r>
            <w:r w:rsidR="0097619E" w:rsidRPr="002630C9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29FA66B" w14:textId="77777777" w:rsidR="0097619E" w:rsidRPr="002630C9" w:rsidRDefault="0097619E" w:rsidP="00674D24">
            <w:pPr>
              <w:spacing w:before="60" w:after="60"/>
            </w:pPr>
            <w:r w:rsidRPr="002630C9">
              <w:t>Reakce anafylaktického typu</w:t>
            </w:r>
            <w:r w:rsidRPr="002630C9">
              <w:rPr>
                <w:vertAlign w:val="superscript"/>
              </w:rPr>
              <w:t>2</w:t>
            </w:r>
          </w:p>
          <w:p w14:paraId="41BFFB10" w14:textId="5011B8BD" w:rsidR="0097619E" w:rsidRPr="002630C9" w:rsidRDefault="004574EE" w:rsidP="00674D24">
            <w:pPr>
              <w:spacing w:before="60" w:after="60"/>
            </w:pPr>
            <w:r>
              <w:t>E</w:t>
            </w:r>
            <w:r w:rsidRPr="002630C9">
              <w:t xml:space="preserve">dém </w:t>
            </w:r>
            <w:r>
              <w:t>v m</w:t>
            </w:r>
            <w:r w:rsidR="0097619E" w:rsidRPr="002630C9">
              <w:t xml:space="preserve">ístě injekčního podání </w:t>
            </w:r>
            <w:r w:rsidR="0097619E" w:rsidRPr="002630C9">
              <w:rPr>
                <w:vertAlign w:val="superscript"/>
              </w:rPr>
              <w:t>3,4</w:t>
            </w:r>
            <w:r w:rsidR="0097619E" w:rsidRPr="002630C9">
              <w:t xml:space="preserve">, </w:t>
            </w:r>
            <w:r w:rsidRPr="002630C9">
              <w:t xml:space="preserve">krvácení </w:t>
            </w:r>
            <w:r>
              <w:t xml:space="preserve">v </w:t>
            </w:r>
            <w:r w:rsidR="0097619E" w:rsidRPr="002630C9">
              <w:t xml:space="preserve">místě injekčního podání </w:t>
            </w:r>
            <w:r w:rsidR="0097619E" w:rsidRPr="002630C9">
              <w:rPr>
                <w:vertAlign w:val="superscript"/>
              </w:rPr>
              <w:t>3,4</w:t>
            </w:r>
            <w:r w:rsidR="0097619E" w:rsidRPr="002630C9">
              <w:t xml:space="preserve">, </w:t>
            </w:r>
            <w:r w:rsidRPr="002630C9">
              <w:t xml:space="preserve">nekróza </w:t>
            </w:r>
            <w:r>
              <w:t xml:space="preserve">v </w:t>
            </w:r>
            <w:r w:rsidR="0097619E" w:rsidRPr="002630C9">
              <w:t xml:space="preserve">místě injekčního podání </w:t>
            </w:r>
            <w:r w:rsidR="0097619E" w:rsidRPr="002630C9">
              <w:rPr>
                <w:vertAlign w:val="superscript"/>
              </w:rPr>
              <w:t>3,4</w:t>
            </w:r>
          </w:p>
          <w:p w14:paraId="7D0F6463" w14:textId="77777777" w:rsidR="0097619E" w:rsidRPr="002630C9" w:rsidRDefault="0097619E" w:rsidP="00674D24">
            <w:pPr>
              <w:spacing w:before="60" w:after="60"/>
            </w:pPr>
            <w:r w:rsidRPr="002630C9">
              <w:t>Slzení</w:t>
            </w:r>
            <w:r w:rsidRPr="002630C9">
              <w:rPr>
                <w:vertAlign w:val="superscript"/>
              </w:rPr>
              <w:t>4,6</w:t>
            </w:r>
          </w:p>
          <w:p w14:paraId="3D008646" w14:textId="52E90CD1" w:rsidR="0097619E" w:rsidRPr="00FE66D2" w:rsidRDefault="0097619E" w:rsidP="00674D24">
            <w:pPr>
              <w:spacing w:before="60" w:after="60"/>
            </w:pPr>
            <w:r w:rsidRPr="002630C9">
              <w:t>Třes</w:t>
            </w:r>
            <w:r w:rsidRPr="002630C9">
              <w:rPr>
                <w:vertAlign w:val="superscript"/>
              </w:rPr>
              <w:t>5,6</w:t>
            </w:r>
          </w:p>
        </w:tc>
      </w:tr>
      <w:tr w:rsidR="0097619E" w14:paraId="6058AF0E" w14:textId="77777777" w:rsidTr="00674D24">
        <w:tc>
          <w:tcPr>
            <w:tcW w:w="1957" w:type="pct"/>
          </w:tcPr>
          <w:p w14:paraId="2843C2BC" w14:textId="77777777" w:rsidR="0097619E" w:rsidRPr="002630C9" w:rsidRDefault="0097619E" w:rsidP="00674D24">
            <w:pPr>
              <w:spacing w:before="60" w:after="60"/>
            </w:pPr>
            <w:r w:rsidRPr="002630C9">
              <w:t>Neznámá četnost (z dostupných údajů nelze určit):</w:t>
            </w:r>
          </w:p>
        </w:tc>
        <w:tc>
          <w:tcPr>
            <w:tcW w:w="3043" w:type="pct"/>
          </w:tcPr>
          <w:p w14:paraId="4A9281B6" w14:textId="519D85D1" w:rsidR="0097619E" w:rsidRPr="002630C9" w:rsidRDefault="0097619E" w:rsidP="00674D24">
            <w:pPr>
              <w:spacing w:before="60" w:after="60"/>
            </w:pPr>
            <w:r w:rsidRPr="002630C9">
              <w:t>Slinění</w:t>
            </w:r>
            <w:r w:rsidRPr="002630C9">
              <w:rPr>
                <w:vertAlign w:val="superscript"/>
              </w:rPr>
              <w:t>6</w:t>
            </w:r>
            <w:r w:rsidRPr="002630C9">
              <w:t>, spontánní defekace</w:t>
            </w:r>
            <w:r w:rsidRPr="002630C9">
              <w:rPr>
                <w:vertAlign w:val="superscript"/>
              </w:rPr>
              <w:t>6</w:t>
            </w:r>
          </w:p>
          <w:p w14:paraId="786262AC" w14:textId="77777777" w:rsidR="0097619E" w:rsidRDefault="0097619E" w:rsidP="00674D24">
            <w:pPr>
              <w:spacing w:before="60" w:after="60"/>
              <w:rPr>
                <w:vertAlign w:val="superscript"/>
              </w:rPr>
            </w:pPr>
            <w:r w:rsidRPr="002630C9">
              <w:t>Spontánní močení</w:t>
            </w:r>
            <w:r w:rsidRPr="002630C9">
              <w:rPr>
                <w:vertAlign w:val="superscript"/>
              </w:rPr>
              <w:t>6</w:t>
            </w:r>
          </w:p>
          <w:p w14:paraId="483B85A9" w14:textId="77777777" w:rsidR="00FD7B1F" w:rsidRPr="002630C9" w:rsidRDefault="00FD7B1F" w:rsidP="00FD7B1F">
            <w:pPr>
              <w:spacing w:before="60" w:after="60"/>
              <w:rPr>
                <w:iCs/>
                <w:szCs w:val="22"/>
              </w:rPr>
            </w:pPr>
            <w:r w:rsidRPr="002630C9">
              <w:rPr>
                <w:iCs/>
                <w:szCs w:val="22"/>
              </w:rPr>
              <w:t>Neklid</w:t>
            </w:r>
          </w:p>
          <w:p w14:paraId="7186EDAB" w14:textId="2E836DC0" w:rsidR="00FD7B1F" w:rsidRPr="002630C9" w:rsidRDefault="00FD7B1F" w:rsidP="00FD7B1F">
            <w:pPr>
              <w:spacing w:before="60" w:after="60"/>
            </w:pPr>
            <w:r w:rsidRPr="002630C9">
              <w:rPr>
                <w:iCs/>
                <w:szCs w:val="22"/>
              </w:rPr>
              <w:t>Tachypnoe</w:t>
            </w:r>
          </w:p>
        </w:tc>
      </w:tr>
    </w:tbl>
    <w:p w14:paraId="1D616E5A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7E750D0" w14:textId="23237F3D" w:rsidR="0097619E" w:rsidRPr="0097619E" w:rsidRDefault="0097619E" w:rsidP="0097619E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97619E">
        <w:rPr>
          <w:szCs w:val="22"/>
        </w:rPr>
        <w:t xml:space="preserve">přechodné, zejména u skotu a po </w:t>
      </w:r>
      <w:bookmarkStart w:id="2" w:name="_Hlk187747649"/>
      <w:r w:rsidRPr="0097619E">
        <w:rPr>
          <w:szCs w:val="22"/>
        </w:rPr>
        <w:t>rychlé</w:t>
      </w:r>
      <w:r w:rsidR="004574EE">
        <w:rPr>
          <w:szCs w:val="22"/>
        </w:rPr>
        <w:t>m</w:t>
      </w:r>
      <w:r w:rsidRPr="0097619E">
        <w:rPr>
          <w:szCs w:val="22"/>
        </w:rPr>
        <w:t xml:space="preserve"> intravenózní</w:t>
      </w:r>
      <w:r w:rsidR="004574EE">
        <w:rPr>
          <w:szCs w:val="22"/>
        </w:rPr>
        <w:t>m podání</w:t>
      </w:r>
      <w:r w:rsidRPr="0097619E">
        <w:rPr>
          <w:szCs w:val="22"/>
        </w:rPr>
        <w:t xml:space="preserve"> </w:t>
      </w:r>
      <w:bookmarkEnd w:id="2"/>
    </w:p>
    <w:p w14:paraId="4014000C" w14:textId="77777777" w:rsidR="0097619E" w:rsidRPr="0097619E" w:rsidRDefault="0097619E" w:rsidP="0097619E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2</w:t>
      </w:r>
      <w:r w:rsidRPr="0097619E">
        <w:rPr>
          <w:szCs w:val="22"/>
        </w:rPr>
        <w:t xml:space="preserve"> je třeba léčit symptomaticky</w:t>
      </w:r>
    </w:p>
    <w:p w14:paraId="5A52A6F2" w14:textId="77777777" w:rsidR="0097619E" w:rsidRPr="0097619E" w:rsidRDefault="0097619E" w:rsidP="0097619E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3</w:t>
      </w:r>
      <w:r w:rsidRPr="0097619E">
        <w:rPr>
          <w:szCs w:val="22"/>
        </w:rPr>
        <w:t xml:space="preserve"> po intramuskulárním podání</w:t>
      </w:r>
    </w:p>
    <w:p w14:paraId="2FDB82E8" w14:textId="77777777" w:rsidR="0097619E" w:rsidRPr="0097619E" w:rsidRDefault="0097619E" w:rsidP="0097619E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4</w:t>
      </w:r>
      <w:r w:rsidRPr="0097619E">
        <w:rPr>
          <w:szCs w:val="22"/>
        </w:rPr>
        <w:t xml:space="preserve"> četnost stanovena pouze pro skot</w:t>
      </w:r>
    </w:p>
    <w:p w14:paraId="1339D4D4" w14:textId="77777777" w:rsidR="0097619E" w:rsidRPr="0097619E" w:rsidRDefault="0097619E" w:rsidP="0097619E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5</w:t>
      </w:r>
      <w:r w:rsidRPr="0097619E">
        <w:rPr>
          <w:szCs w:val="22"/>
        </w:rPr>
        <w:t xml:space="preserve"> četnost stanovena pouze pro skot a koně</w:t>
      </w:r>
    </w:p>
    <w:p w14:paraId="47242EB0" w14:textId="2CA674A0" w:rsidR="0097619E" w:rsidRDefault="0097619E" w:rsidP="0097619E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6</w:t>
      </w:r>
      <w:r w:rsidRPr="0097619E">
        <w:rPr>
          <w:szCs w:val="22"/>
        </w:rPr>
        <w:t xml:space="preserve"> po intravenózním podání</w:t>
      </w:r>
    </w:p>
    <w:p w14:paraId="5966D9D1" w14:textId="77777777" w:rsidR="0097619E" w:rsidRPr="00B41D57" w:rsidRDefault="0097619E" w:rsidP="0097619E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8BF3B05" w:rsidR="00247A48" w:rsidRDefault="002C21BD" w:rsidP="00247A48">
      <w:bookmarkStart w:id="3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825721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4574EE">
        <w:t>i</w:t>
      </w:r>
      <w:r w:rsidRPr="00B41D57">
        <w:t>.</w:t>
      </w:r>
    </w:p>
    <w:bookmarkEnd w:id="3"/>
    <w:p w14:paraId="5F595F0A" w14:textId="77777777" w:rsidR="00B23355" w:rsidRPr="00B41D57" w:rsidRDefault="00B23355" w:rsidP="005B75F2">
      <w:pPr>
        <w:keepNext/>
        <w:rPr>
          <w:szCs w:val="22"/>
        </w:rPr>
      </w:pPr>
    </w:p>
    <w:p w14:paraId="772CD533" w14:textId="77777777" w:rsidR="00C114FF" w:rsidRPr="00B41D57" w:rsidRDefault="002C21B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7FFF6F" w14:textId="77777777" w:rsidR="00154635" w:rsidRPr="00904754" w:rsidRDefault="00154635" w:rsidP="00154635">
      <w:pPr>
        <w:outlineLvl w:val="0"/>
        <w:rPr>
          <w:u w:val="single"/>
        </w:rPr>
      </w:pPr>
      <w:r w:rsidRPr="00904754">
        <w:rPr>
          <w:u w:val="single"/>
        </w:rPr>
        <w:t>Březost:</w:t>
      </w:r>
    </w:p>
    <w:p w14:paraId="13772383" w14:textId="77777777" w:rsidR="00154635" w:rsidRDefault="00154635" w:rsidP="00154635">
      <w:pPr>
        <w:outlineLvl w:val="0"/>
      </w:pPr>
      <w:r>
        <w:t>Nepoužívat během poslední třetiny březosti.</w:t>
      </w:r>
    </w:p>
    <w:p w14:paraId="16D3DB83" w14:textId="3B9B5E5E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1CD7C9" w14:textId="77777777" w:rsidR="008D54D9" w:rsidRPr="00904754" w:rsidRDefault="008D54D9" w:rsidP="008D54D9">
      <w:pPr>
        <w:outlineLvl w:val="0"/>
        <w:rPr>
          <w:u w:val="single"/>
        </w:rPr>
      </w:pPr>
      <w:r w:rsidRPr="00904754">
        <w:rPr>
          <w:u w:val="single"/>
        </w:rPr>
        <w:t>Laktace:</w:t>
      </w:r>
    </w:p>
    <w:p w14:paraId="7715F88D" w14:textId="77777777" w:rsidR="00AA3EF2" w:rsidRPr="00B41D57" w:rsidRDefault="00AA3EF2" w:rsidP="00AA3EF2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Lze použít během </w:t>
      </w:r>
      <w:r>
        <w:t>laktaci</w:t>
      </w:r>
      <w:r w:rsidRPr="00B41D57">
        <w:t>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2C21B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65AECA8F" w:rsidR="00C114FF" w:rsidRPr="00B41D57" w:rsidRDefault="002C21B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2C21B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D10704" w14:textId="1AD7359E" w:rsidR="0093235F" w:rsidRDefault="0093235F" w:rsidP="00145C3F">
      <w:pPr>
        <w:tabs>
          <w:tab w:val="clear" w:pos="567"/>
        </w:tabs>
        <w:spacing w:line="240" w:lineRule="auto"/>
        <w:rPr>
          <w:szCs w:val="22"/>
        </w:rPr>
      </w:pPr>
      <w:bookmarkStart w:id="4" w:name="_Hlk187747683"/>
      <w:r w:rsidRPr="0093235F">
        <w:rPr>
          <w:szCs w:val="22"/>
        </w:rPr>
        <w:t>Intramuskulární po</w:t>
      </w:r>
      <w:r w:rsidR="004574EE">
        <w:rPr>
          <w:szCs w:val="22"/>
        </w:rPr>
        <w:t>dání</w:t>
      </w:r>
      <w:r w:rsidRPr="0093235F">
        <w:rPr>
          <w:szCs w:val="22"/>
        </w:rPr>
        <w:t>, intravenózní po</w:t>
      </w:r>
      <w:r w:rsidR="004574EE">
        <w:rPr>
          <w:szCs w:val="22"/>
        </w:rPr>
        <w:t>dání</w:t>
      </w:r>
      <w:r w:rsidRPr="0093235F">
        <w:rPr>
          <w:szCs w:val="22"/>
        </w:rPr>
        <w:t>.</w:t>
      </w:r>
    </w:p>
    <w:bookmarkEnd w:id="4"/>
    <w:p w14:paraId="4530C6EF" w14:textId="77777777" w:rsidR="00A91104" w:rsidRDefault="00A9110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771B27" w14:textId="1DC2CD1A" w:rsidR="00A91104" w:rsidRDefault="00A91104" w:rsidP="00904754">
      <w:pPr>
        <w:ind w:left="4536" w:hanging="4536"/>
        <w:jc w:val="both"/>
      </w:pPr>
      <w:r>
        <w:t>Telata (do 6 měsíců věku), ovce, kozy a prasata:</w:t>
      </w:r>
      <w:r>
        <w:tab/>
      </w:r>
      <w:bookmarkStart w:id="5" w:name="_Hlk187747696"/>
      <w:r w:rsidRPr="00904754">
        <w:t>hlubo</w:t>
      </w:r>
      <w:r w:rsidR="004574EE">
        <w:t>ké</w:t>
      </w:r>
      <w:r w:rsidRPr="00904754">
        <w:t xml:space="preserve"> intramuskulárn</w:t>
      </w:r>
      <w:r w:rsidR="004574EE">
        <w:t>í</w:t>
      </w:r>
      <w:r w:rsidRPr="00904754">
        <w:t xml:space="preserve"> nebo pomal</w:t>
      </w:r>
      <w:r w:rsidR="004574EE">
        <w:t>é</w:t>
      </w:r>
      <w:r w:rsidRPr="00904754">
        <w:t xml:space="preserve"> intravenózn</w:t>
      </w:r>
      <w:r w:rsidR="004574EE">
        <w:t>í podání</w:t>
      </w:r>
      <w:bookmarkEnd w:id="5"/>
    </w:p>
    <w:p w14:paraId="0EF81158" w14:textId="77777777" w:rsidR="00A91104" w:rsidRDefault="00A91104" w:rsidP="00A91104">
      <w:pPr>
        <w:jc w:val="both"/>
      </w:pPr>
    </w:p>
    <w:p w14:paraId="025FD144" w14:textId="4F61986A" w:rsidR="00A91104" w:rsidRPr="00A91104" w:rsidRDefault="00A91104" w:rsidP="00A91104">
      <w:pPr>
        <w:jc w:val="both"/>
      </w:pPr>
      <w:r>
        <w:t>Skot, koně:</w:t>
      </w:r>
      <w:r w:rsidR="003270FC">
        <w:tab/>
      </w:r>
      <w:r w:rsidR="003270FC">
        <w:tab/>
      </w:r>
      <w:r w:rsidR="003270FC">
        <w:tab/>
      </w:r>
      <w:r w:rsidR="003270FC">
        <w:tab/>
      </w:r>
      <w:r w:rsidR="003270FC">
        <w:tab/>
      </w:r>
      <w:r w:rsidR="003270FC">
        <w:tab/>
      </w:r>
      <w:r w:rsidR="003270FC">
        <w:tab/>
      </w:r>
      <w:bookmarkStart w:id="6" w:name="_Hlk187747708"/>
      <w:r w:rsidR="003270FC">
        <w:t>pomal</w:t>
      </w:r>
      <w:r w:rsidR="004574EE">
        <w:t>é</w:t>
      </w:r>
      <w:r w:rsidR="003270FC">
        <w:t xml:space="preserve"> intravenózn</w:t>
      </w:r>
      <w:r w:rsidR="004574EE">
        <w:t>í podání</w:t>
      </w:r>
      <w:bookmarkEnd w:id="6"/>
    </w:p>
    <w:p w14:paraId="339F9B8A" w14:textId="77777777" w:rsidR="00A91104" w:rsidRPr="00B41D57" w:rsidRDefault="00A9110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C85519A" w14:textId="77777777" w:rsidR="00A91104" w:rsidRDefault="00A91104" w:rsidP="00A91104">
      <w:pPr>
        <w:jc w:val="both"/>
        <w:rPr>
          <w:szCs w:val="24"/>
        </w:rPr>
      </w:pPr>
      <w:r>
        <w:t>Telata (do 6 měsíců věku), ovce, kozy a prasata:</w:t>
      </w:r>
    </w:p>
    <w:p w14:paraId="71984727" w14:textId="7E9CB437" w:rsidR="00A91104" w:rsidRPr="00A91104" w:rsidRDefault="00A91104" w:rsidP="00A91104">
      <w:pPr>
        <w:pStyle w:val="Zkladntext2"/>
        <w:tabs>
          <w:tab w:val="left" w:pos="0"/>
        </w:tabs>
        <w:jc w:val="both"/>
        <w:rPr>
          <w:i w:val="0"/>
          <w:color w:val="auto"/>
        </w:rPr>
      </w:pPr>
      <w:r w:rsidRPr="00A91104">
        <w:rPr>
          <w:i w:val="0"/>
          <w:color w:val="auto"/>
        </w:rPr>
        <w:t>10 mg menbutonu na kg živé hmotnosti, což odpovídá 1 ml injekčního roztoku na 10 kg živé hmotnosti.</w:t>
      </w:r>
    </w:p>
    <w:p w14:paraId="79EE8492" w14:textId="77777777" w:rsidR="00A91104" w:rsidRDefault="00A91104" w:rsidP="00A91104">
      <w:pPr>
        <w:jc w:val="both"/>
        <w:rPr>
          <w:szCs w:val="24"/>
        </w:rPr>
      </w:pPr>
    </w:p>
    <w:p w14:paraId="4E60DA56" w14:textId="77777777" w:rsidR="00A91104" w:rsidRDefault="00A91104" w:rsidP="00A91104">
      <w:pPr>
        <w:jc w:val="both"/>
        <w:rPr>
          <w:szCs w:val="24"/>
        </w:rPr>
      </w:pPr>
      <w:r>
        <w:t>Skot:</w:t>
      </w:r>
    </w:p>
    <w:p w14:paraId="74A4F479" w14:textId="5CBAB0F1" w:rsidR="00A91104" w:rsidRDefault="00A91104" w:rsidP="00A91104">
      <w:pPr>
        <w:jc w:val="both"/>
        <w:rPr>
          <w:b/>
          <w:spacing w:val="2"/>
          <w:szCs w:val="24"/>
        </w:rPr>
      </w:pPr>
      <w:r>
        <w:t>5–7,5 mg menbutonu na kg živé hmotnosti, což odpovídá 1 ml injekčního roztoku na 15–20 kg živé hmotnosti.</w:t>
      </w:r>
    </w:p>
    <w:p w14:paraId="7743C0FC" w14:textId="77777777" w:rsidR="00A91104" w:rsidRDefault="00A91104" w:rsidP="00A91104">
      <w:pPr>
        <w:jc w:val="both"/>
        <w:rPr>
          <w:b/>
          <w:spacing w:val="2"/>
          <w:szCs w:val="24"/>
        </w:rPr>
      </w:pPr>
    </w:p>
    <w:p w14:paraId="7D4F8DA3" w14:textId="77777777" w:rsidR="00A91104" w:rsidRDefault="00A91104" w:rsidP="00A91104">
      <w:pPr>
        <w:jc w:val="both"/>
        <w:rPr>
          <w:b/>
          <w:spacing w:val="2"/>
          <w:szCs w:val="24"/>
        </w:rPr>
      </w:pPr>
      <w:r>
        <w:t>Koně:</w:t>
      </w:r>
    </w:p>
    <w:p w14:paraId="6FF99D6C" w14:textId="0122FD46" w:rsidR="00A91104" w:rsidRDefault="00A91104" w:rsidP="00A91104">
      <w:pPr>
        <w:jc w:val="both"/>
        <w:rPr>
          <w:szCs w:val="24"/>
        </w:rPr>
      </w:pPr>
      <w:r>
        <w:t>2,5–5 mg menbutonu na kg živé hmotnosti, což odpovídá 1 ml injekčního roztoku na 20–40 kg živé hmotnosti.</w:t>
      </w:r>
    </w:p>
    <w:p w14:paraId="11E559BC" w14:textId="77777777" w:rsidR="002C5F4C" w:rsidRDefault="002C5F4C" w:rsidP="00A91104">
      <w:pPr>
        <w:jc w:val="both"/>
        <w:rPr>
          <w:szCs w:val="28"/>
        </w:rPr>
      </w:pPr>
    </w:p>
    <w:p w14:paraId="56193823" w14:textId="365B133D" w:rsidR="00A91104" w:rsidRDefault="002C5F4C" w:rsidP="00A91104">
      <w:pPr>
        <w:jc w:val="both"/>
        <w:rPr>
          <w:szCs w:val="28"/>
        </w:rPr>
      </w:pPr>
      <w:r w:rsidRPr="002C5F4C">
        <w:rPr>
          <w:szCs w:val="28"/>
        </w:rPr>
        <w:t xml:space="preserve">Doporučuje se nepodávat intramuskulárně více než 20 ml na jedno místo </w:t>
      </w:r>
      <w:r w:rsidR="00B47072">
        <w:rPr>
          <w:szCs w:val="28"/>
        </w:rPr>
        <w:t>injekčního podání</w:t>
      </w:r>
      <w:r w:rsidRPr="002C5F4C">
        <w:rPr>
          <w:szCs w:val="28"/>
        </w:rPr>
        <w:t>.</w:t>
      </w:r>
    </w:p>
    <w:p w14:paraId="2EDA5DF3" w14:textId="77777777" w:rsidR="002C5F4C" w:rsidRDefault="002C5F4C" w:rsidP="00A91104">
      <w:pPr>
        <w:jc w:val="both"/>
        <w:rPr>
          <w:szCs w:val="28"/>
        </w:rPr>
      </w:pPr>
    </w:p>
    <w:p w14:paraId="208B72F4" w14:textId="5EFDD676" w:rsidR="00A91104" w:rsidRDefault="002C5F4C" w:rsidP="00A91104">
      <w:pPr>
        <w:jc w:val="both"/>
        <w:rPr>
          <w:szCs w:val="28"/>
        </w:rPr>
      </w:pPr>
      <w:r>
        <w:t>V</w:t>
      </w:r>
      <w:r w:rsidRPr="00B41D57">
        <w:t xml:space="preserve">eterinární léčivý </w:t>
      </w:r>
      <w:r>
        <w:t xml:space="preserve">přípravek </w:t>
      </w:r>
      <w:r w:rsidR="00A91104">
        <w:t xml:space="preserve">je možné v případě nutnosti podat opakovaně jedenkrát po 24 hodinách. 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2C21B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D05C1B" w14:textId="77777777" w:rsidR="00B01BA9" w:rsidRDefault="00B01BA9" w:rsidP="00B01BA9">
      <w:pPr>
        <w:jc w:val="both"/>
        <w:rPr>
          <w:szCs w:val="28"/>
        </w:rPr>
      </w:pPr>
      <w:r>
        <w:t>Doporučené dávkování musí být přísně dodržováno, protože meze bezpečnosti menbutonu nejsou známy. V případě srdeční blokády je nutné použít léky ovlivňující kardiovaskulární systém.</w:t>
      </w:r>
    </w:p>
    <w:p w14:paraId="689B0015" w14:textId="77777777" w:rsidR="00B01BA9" w:rsidRPr="00B41D57" w:rsidRDefault="00B01B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2C21B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E09D41" w14:textId="77777777" w:rsidR="00B01BA9" w:rsidRPr="00B41D57" w:rsidRDefault="00B01BA9" w:rsidP="00B01BA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2C21B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91F174" w14:textId="77777777" w:rsidR="00FE0DA1" w:rsidRDefault="00FE0DA1" w:rsidP="00FE0DA1">
      <w:pPr>
        <w:jc w:val="both"/>
        <w:outlineLvl w:val="0"/>
        <w:rPr>
          <w:szCs w:val="28"/>
        </w:rPr>
      </w:pPr>
      <w:r>
        <w:t>Maso: Bez ochranných lhůt.</w:t>
      </w:r>
    </w:p>
    <w:p w14:paraId="031D4F23" w14:textId="7AA5DE29" w:rsidR="00FE0DA1" w:rsidRPr="00FE0DA1" w:rsidRDefault="00FE0DA1" w:rsidP="00FE0DA1">
      <w:pPr>
        <w:jc w:val="both"/>
        <w:outlineLvl w:val="0"/>
        <w:rPr>
          <w:szCs w:val="28"/>
        </w:rPr>
      </w:pPr>
      <w:r>
        <w:t>Mléko: 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97D3EA0" w:rsidR="00C114FF" w:rsidRPr="00B41D57" w:rsidRDefault="002C21BD" w:rsidP="00825721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82572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A42117" w14:textId="0136F99E" w:rsidR="00C114FF" w:rsidRPr="00B41D57" w:rsidRDefault="00825721" w:rsidP="00CF3F48">
      <w:pPr>
        <w:tabs>
          <w:tab w:val="clear" w:pos="567"/>
        </w:tabs>
        <w:spacing w:line="240" w:lineRule="auto"/>
        <w:rPr>
          <w:szCs w:val="22"/>
        </w:rPr>
      </w:pPr>
      <w:r w:rsidRPr="005B75F2">
        <w:rPr>
          <w:b/>
        </w:rPr>
        <w:t>4.1</w:t>
      </w:r>
      <w:r w:rsidRPr="005B75F2">
        <w:rPr>
          <w:b/>
        </w:rPr>
        <w:tab/>
      </w:r>
      <w:proofErr w:type="spellStart"/>
      <w:r w:rsidRPr="005B75F2">
        <w:rPr>
          <w:b/>
        </w:rPr>
        <w:t>ATCvet</w:t>
      </w:r>
      <w:proofErr w:type="spellEnd"/>
      <w:r w:rsidRPr="005B75F2">
        <w:rPr>
          <w:b/>
        </w:rPr>
        <w:t xml:space="preserve"> kód: </w:t>
      </w:r>
      <w:r w:rsidR="00CF3F48">
        <w:t>QA05AX90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69752E1A" w:rsidR="00C114FF" w:rsidRDefault="002C21BD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4F768804" w14:textId="77777777" w:rsidR="00825721" w:rsidRPr="00B41D57" w:rsidRDefault="00825721" w:rsidP="00B13B6D">
      <w:pPr>
        <w:pStyle w:val="Style1"/>
      </w:pPr>
    </w:p>
    <w:p w14:paraId="40AEA0B9" w14:textId="2BF4C2F5" w:rsidR="002C3510" w:rsidRDefault="002C3510" w:rsidP="002C3510">
      <w:pPr>
        <w:jc w:val="both"/>
        <w:rPr>
          <w:rFonts w:cs="Arial"/>
        </w:rPr>
      </w:pPr>
      <w:r>
        <w:t xml:space="preserve">Menbuton, neboli kyselina genabilová, je derivátem kyseliny oxybutyrové, která působí jako choleretikum, stimuluje sekreci trypsinogenu a pepsinogenu. Po injekčním podání dojde ke zvýšení biliární, pankreatické a peptické sekrece </w:t>
      </w:r>
      <w:r w:rsidR="004574EE">
        <w:t>2krát</w:t>
      </w:r>
      <w:r>
        <w:t xml:space="preserve"> až </w:t>
      </w:r>
      <w:r w:rsidR="004574EE">
        <w:t>5krát</w:t>
      </w:r>
      <w:r>
        <w:t xml:space="preserve"> v porovnání s normálními úrovněmi. </w:t>
      </w:r>
    </w:p>
    <w:p w14:paraId="0658A56A" w14:textId="77777777" w:rsidR="002C3510" w:rsidRDefault="002C3510" w:rsidP="002C3510">
      <w:pPr>
        <w:jc w:val="both"/>
        <w:rPr>
          <w:szCs w:val="28"/>
        </w:rPr>
      </w:pPr>
      <w:r>
        <w:t>Tím podporuje využití živin z potravy a působí jako látka detoxifikující játra.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14CE2DD" w:rsidR="00C114FF" w:rsidRDefault="002C21BD" w:rsidP="00825721">
      <w:pPr>
        <w:pStyle w:val="Style1"/>
        <w:keepNext/>
      </w:pPr>
      <w:r w:rsidRPr="00B41D57">
        <w:lastRenderedPageBreak/>
        <w:t>4.3</w:t>
      </w:r>
      <w:r w:rsidRPr="00B41D57">
        <w:tab/>
        <w:t>Farmakokinetika</w:t>
      </w:r>
    </w:p>
    <w:p w14:paraId="4DA7F0DB" w14:textId="77777777" w:rsidR="00825721" w:rsidRPr="00B41D57" w:rsidRDefault="00825721" w:rsidP="00825721">
      <w:pPr>
        <w:pStyle w:val="Style1"/>
        <w:keepNext/>
      </w:pPr>
    </w:p>
    <w:p w14:paraId="57340C01" w14:textId="77777777" w:rsidR="002C3510" w:rsidRDefault="002C3510" w:rsidP="002C3510">
      <w:pPr>
        <w:jc w:val="both"/>
        <w:rPr>
          <w:szCs w:val="28"/>
        </w:rPr>
      </w:pPr>
      <w:r>
        <w:t>U krav byla v plazmě jednu hodinu po intravenózním podání naměřena koncentrace menbutonu 20 mg/l. Po 8 hodinách byly plazmové koncentrace nižší než 1 mg/l. 40,4 % perorální dávky a 12 % intravenózní dávky se vyloučilo močí do 24 hodin. V mléku byla naměřena maximální koncentrace 0,7 až 0,8 mg/l přibližně pět hodin po injekčním podání. Do 14 hodin koncentrace menbutonu poklesly na 0,1 mg/l nebo méně.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2C21B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2C21B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E03050" w14:textId="77777777" w:rsidR="004F38CF" w:rsidRDefault="004F38CF" w:rsidP="004F38CF">
      <w:pPr>
        <w:jc w:val="both"/>
        <w:rPr>
          <w:szCs w:val="28"/>
        </w:rPr>
      </w:pPr>
      <w:r>
        <w:t>Nepodávat s roztoky, které obsahují:</w:t>
      </w:r>
    </w:p>
    <w:p w14:paraId="3EAA17F6" w14:textId="77777777" w:rsidR="004F38CF" w:rsidRDefault="004F38CF" w:rsidP="004F38CF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8"/>
        </w:rPr>
      </w:pPr>
      <w:r>
        <w:t>Vápník</w:t>
      </w:r>
    </w:p>
    <w:p w14:paraId="1E65FE9D" w14:textId="77777777" w:rsidR="004F38CF" w:rsidRDefault="004F38CF" w:rsidP="004F38CF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8"/>
        </w:rPr>
      </w:pPr>
      <w:r>
        <w:t>Prokain-benzylpenicilin</w:t>
      </w:r>
    </w:p>
    <w:p w14:paraId="434AD30A" w14:textId="36380BB5" w:rsidR="00C114FF" w:rsidRPr="004F38CF" w:rsidRDefault="004F38CF" w:rsidP="004F38CF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8"/>
        </w:rPr>
      </w:pPr>
      <w:r>
        <w:t>Vitamín B-komplex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2C21B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6AD742" w14:textId="77777777" w:rsidR="004F38CF" w:rsidRDefault="004F38CF" w:rsidP="004F38CF">
      <w:pPr>
        <w:ind w:right="-318"/>
      </w:pPr>
      <w:r>
        <w:t>Doba použitelnosti veterinárního léčivého přípravku v neporušeném obalu: 2 roky.</w:t>
      </w:r>
    </w:p>
    <w:p w14:paraId="0AD0DA2B" w14:textId="77777777" w:rsidR="004F38CF" w:rsidRDefault="004F38CF" w:rsidP="004F38CF">
      <w:pPr>
        <w:ind w:right="-318"/>
      </w:pPr>
      <w:r>
        <w:t>Doba použitelnosti po prvním otevření vnitřního obalu: 28 dnů.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2C21B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AD0F7B" w14:textId="77777777" w:rsidR="004F38CF" w:rsidRDefault="004F38CF" w:rsidP="004F38CF">
      <w:pPr>
        <w:jc w:val="both"/>
        <w:outlineLvl w:val="0"/>
        <w:rPr>
          <w:szCs w:val="28"/>
        </w:rPr>
      </w:pPr>
      <w:r>
        <w:t>Uchovávejte při teplotě do 25 °C.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2C21B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6E0ADB1" w14:textId="67E80961" w:rsidR="00A76963" w:rsidRDefault="00A76963" w:rsidP="00A76963">
      <w:r>
        <w:t xml:space="preserve">Vícedávková, čirá, injekční lahvička </w:t>
      </w:r>
      <w:r w:rsidR="00F9589A">
        <w:t xml:space="preserve">ze skla typu I </w:t>
      </w:r>
      <w:r>
        <w:t xml:space="preserve">obsahující 100 ml s </w:t>
      </w:r>
      <w:proofErr w:type="spellStart"/>
      <w:r>
        <w:t>bromobutylovou</w:t>
      </w:r>
      <w:proofErr w:type="spellEnd"/>
      <w:r>
        <w:t xml:space="preserve"> gumovou zátkou a hliníkovou pertlí </w:t>
      </w:r>
      <w:r w:rsidRPr="00A76963">
        <w:t>v kartonové krabici</w:t>
      </w:r>
      <w:r>
        <w:t>.</w:t>
      </w:r>
    </w:p>
    <w:p w14:paraId="4B3EB764" w14:textId="77777777" w:rsidR="00A76963" w:rsidRDefault="00A76963" w:rsidP="00A76963"/>
    <w:p w14:paraId="3CB8287B" w14:textId="13523062" w:rsidR="00A76963" w:rsidRDefault="00A76963" w:rsidP="00A76963">
      <w:r>
        <w:t>Velikosti balení:</w:t>
      </w:r>
    </w:p>
    <w:p w14:paraId="79697E6D" w14:textId="23D177A4" w:rsidR="00A76963" w:rsidRPr="00B07E88" w:rsidRDefault="00A76963" w:rsidP="00A76963">
      <w:r w:rsidRPr="00A76963">
        <w:t>Kart</w:t>
      </w:r>
      <w:r w:rsidR="00F9589A">
        <w:t>onová</w:t>
      </w:r>
      <w:r w:rsidRPr="00A76963">
        <w:t xml:space="preserve"> </w:t>
      </w:r>
      <w:r>
        <w:t>krabička s 1 x 100 ml nebo 12 x 100 ml</w:t>
      </w:r>
      <w:r w:rsidR="00F9589A">
        <w:t xml:space="preserve"> lahvičkami</w:t>
      </w:r>
      <w:r>
        <w:t>.</w:t>
      </w:r>
    </w:p>
    <w:p w14:paraId="5F240F5C" w14:textId="77777777" w:rsidR="00A76963" w:rsidRPr="00C43087" w:rsidRDefault="00A76963" w:rsidP="00A76963"/>
    <w:p w14:paraId="5C703918" w14:textId="056E2EB1" w:rsidR="00C114FF" w:rsidRPr="00B41D57" w:rsidRDefault="00A76963" w:rsidP="00A76963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2C21BD" w:rsidP="00825721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82572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0DAB3E4D" w:rsidR="00FD1E45" w:rsidRPr="00B41D57" w:rsidRDefault="002C21BD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2C21BD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2C21B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06D408" w14:textId="77777777" w:rsidR="00CF6040" w:rsidRDefault="00CF6040" w:rsidP="00CF6040">
      <w:pPr>
        <w:jc w:val="both"/>
        <w:rPr>
          <w:szCs w:val="28"/>
        </w:rPr>
      </w:pPr>
      <w:r>
        <w:t>aniMedica GmbH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2C21B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0E215154" w:rsidR="00C114FF" w:rsidRPr="00904754" w:rsidRDefault="00CF6040" w:rsidP="00A9226B">
      <w:pPr>
        <w:tabs>
          <w:tab w:val="clear" w:pos="567"/>
        </w:tabs>
        <w:spacing w:line="240" w:lineRule="auto"/>
      </w:pPr>
      <w:r w:rsidRPr="00904754">
        <w:t>96/077/18-C</w:t>
      </w:r>
    </w:p>
    <w:p w14:paraId="2C3DBCE4" w14:textId="77777777" w:rsidR="00CF6040" w:rsidRPr="00904754" w:rsidRDefault="00CF6040" w:rsidP="00A9226B">
      <w:pPr>
        <w:tabs>
          <w:tab w:val="clear" w:pos="567"/>
        </w:tabs>
        <w:spacing w:line="240" w:lineRule="auto"/>
      </w:pPr>
    </w:p>
    <w:p w14:paraId="4C0F2219" w14:textId="77777777" w:rsidR="00CF6040" w:rsidRPr="00B41D57" w:rsidRDefault="00CF60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2C21B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38BB8356" w:rsidR="00D65777" w:rsidRPr="00904754" w:rsidRDefault="00C10D77" w:rsidP="00A9226B">
      <w:pPr>
        <w:tabs>
          <w:tab w:val="clear" w:pos="567"/>
        </w:tabs>
        <w:spacing w:line="240" w:lineRule="auto"/>
      </w:pPr>
      <w:r w:rsidRPr="00904754">
        <w:t>28.12.2018/ 04.02.2022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2C21B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98EFBC" w14:textId="2BD32EBB" w:rsidR="0002358F" w:rsidRPr="00B41D57" w:rsidRDefault="00B47072" w:rsidP="0002358F">
      <w:pPr>
        <w:tabs>
          <w:tab w:val="clear" w:pos="567"/>
        </w:tabs>
        <w:spacing w:line="240" w:lineRule="auto"/>
        <w:rPr>
          <w:szCs w:val="22"/>
        </w:rPr>
      </w:pPr>
      <w:r>
        <w:t>1/2025</w:t>
      </w:r>
    </w:p>
    <w:p w14:paraId="7AF5E6B8" w14:textId="77777777" w:rsidR="0002358F" w:rsidRPr="00B41D57" w:rsidRDefault="0002358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2C21B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55429E" w14:textId="77777777" w:rsidR="00226DDF" w:rsidRPr="00B41D57" w:rsidRDefault="00226DDF" w:rsidP="00226DD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16277C9F" w:rsidR="0078538F" w:rsidRDefault="002C21BD">
      <w:pPr>
        <w:ind w:right="-1"/>
        <w:rPr>
          <w:i/>
          <w:szCs w:val="22"/>
        </w:rPr>
      </w:pPr>
      <w:bookmarkStart w:id="7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3E4AED1" w14:textId="0A86862A" w:rsidR="00B47072" w:rsidRDefault="00B47072">
      <w:pPr>
        <w:ind w:right="-1"/>
        <w:rPr>
          <w:szCs w:val="22"/>
        </w:rPr>
      </w:pPr>
    </w:p>
    <w:p w14:paraId="1E2C6E4C" w14:textId="77777777" w:rsidR="00B47072" w:rsidRPr="005B75F2" w:rsidRDefault="00B47072" w:rsidP="00B47072">
      <w:pPr>
        <w:spacing w:line="240" w:lineRule="auto"/>
        <w:jc w:val="both"/>
      </w:pPr>
      <w:bookmarkStart w:id="8" w:name="_Hlk148432335"/>
      <w:r w:rsidRPr="005B75F2">
        <w:t>Podrobné informace o tomto veterinárním léčivém přípravku naleznete také v národní databázi (</w:t>
      </w:r>
      <w:hyperlink r:id="rId9" w:history="1">
        <w:r w:rsidRPr="005B75F2">
          <w:rPr>
            <w:rStyle w:val="Hypertextovodkaz"/>
          </w:rPr>
          <w:t>https://www.uskvbl.cz</w:t>
        </w:r>
      </w:hyperlink>
      <w:r w:rsidRPr="005B75F2">
        <w:t>).</w:t>
      </w:r>
    </w:p>
    <w:bookmarkEnd w:id="8"/>
    <w:p w14:paraId="65D5A7F0" w14:textId="77777777" w:rsidR="00B47072" w:rsidRPr="00B41D57" w:rsidRDefault="00B47072" w:rsidP="005B75F2">
      <w:pPr>
        <w:ind w:right="-1"/>
        <w:rPr>
          <w:szCs w:val="22"/>
        </w:rPr>
      </w:pPr>
    </w:p>
    <w:bookmarkEnd w:id="7"/>
    <w:p w14:paraId="39B0DBCB" w14:textId="1C510869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F8D3B" w14:textId="77777777" w:rsidR="00413276" w:rsidRDefault="00413276">
      <w:pPr>
        <w:spacing w:line="240" w:lineRule="auto"/>
      </w:pPr>
      <w:r>
        <w:separator/>
      </w:r>
    </w:p>
  </w:endnote>
  <w:endnote w:type="continuationSeparator" w:id="0">
    <w:p w14:paraId="727A5646" w14:textId="77777777" w:rsidR="00413276" w:rsidRDefault="00413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2C21B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2C21B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17087" w14:textId="77777777" w:rsidR="00413276" w:rsidRDefault="00413276">
      <w:pPr>
        <w:spacing w:line="240" w:lineRule="auto"/>
      </w:pPr>
      <w:r>
        <w:separator/>
      </w:r>
    </w:p>
  </w:footnote>
  <w:footnote w:type="continuationSeparator" w:id="0">
    <w:p w14:paraId="358D9B20" w14:textId="77777777" w:rsidR="00413276" w:rsidRDefault="00413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572B" w14:textId="118BCF33" w:rsidR="00FA303D" w:rsidRDefault="00FA303D" w:rsidP="00FA303D">
    <w:pPr>
      <w:pStyle w:val="Zhlav"/>
    </w:pPr>
  </w:p>
  <w:p w14:paraId="40085904" w14:textId="77777777" w:rsidR="00FA303D" w:rsidRDefault="00FA3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3C4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6A9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C9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88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C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07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61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692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709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006BF6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EAAC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21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E05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49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68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FE6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66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5C7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000009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AE0684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14E51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64ECA8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976AB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DB4EF6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A87D3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E46D4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90EBA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5E41B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F041F9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D6EE05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E8034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48A2B6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56894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4221D4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9BCBFC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9E4D0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18A7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434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94A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AD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86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C1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44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46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1EF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FFA6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4C82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220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0A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A9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21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25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CB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665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8FB0C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882D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CE37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A88B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6A2D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BC33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8657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600D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3C62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AD2FD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C983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8E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06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7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EF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CB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A8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21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CCC04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FE3BF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262D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EC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27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08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25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E6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EC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D7E57A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B185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A46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C6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2C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D06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0D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EC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586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316B68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6E7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46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AE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05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7E9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4C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C1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E5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DEBC70E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E41CB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60E95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18808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3564B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9AAAE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7348F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CC0F9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130A1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7FEA1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9527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BE3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AA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40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F2D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A0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6C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46A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4F087D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682414A" w:tentative="1">
      <w:start w:val="1"/>
      <w:numFmt w:val="lowerLetter"/>
      <w:lvlText w:val="%2."/>
      <w:lvlJc w:val="left"/>
      <w:pPr>
        <w:ind w:left="1440" w:hanging="360"/>
      </w:pPr>
    </w:lvl>
    <w:lvl w:ilvl="2" w:tplc="1BF4DE60" w:tentative="1">
      <w:start w:val="1"/>
      <w:numFmt w:val="lowerRoman"/>
      <w:lvlText w:val="%3."/>
      <w:lvlJc w:val="right"/>
      <w:pPr>
        <w:ind w:left="2160" w:hanging="180"/>
      </w:pPr>
    </w:lvl>
    <w:lvl w:ilvl="3" w:tplc="B308C074" w:tentative="1">
      <w:start w:val="1"/>
      <w:numFmt w:val="decimal"/>
      <w:lvlText w:val="%4."/>
      <w:lvlJc w:val="left"/>
      <w:pPr>
        <w:ind w:left="2880" w:hanging="360"/>
      </w:pPr>
    </w:lvl>
    <w:lvl w:ilvl="4" w:tplc="9CC0E13A" w:tentative="1">
      <w:start w:val="1"/>
      <w:numFmt w:val="lowerLetter"/>
      <w:lvlText w:val="%5."/>
      <w:lvlJc w:val="left"/>
      <w:pPr>
        <w:ind w:left="3600" w:hanging="360"/>
      </w:pPr>
    </w:lvl>
    <w:lvl w:ilvl="5" w:tplc="EC9A67C4" w:tentative="1">
      <w:start w:val="1"/>
      <w:numFmt w:val="lowerRoman"/>
      <w:lvlText w:val="%6."/>
      <w:lvlJc w:val="right"/>
      <w:pPr>
        <w:ind w:left="4320" w:hanging="180"/>
      </w:pPr>
    </w:lvl>
    <w:lvl w:ilvl="6" w:tplc="66EAA612" w:tentative="1">
      <w:start w:val="1"/>
      <w:numFmt w:val="decimal"/>
      <w:lvlText w:val="%7."/>
      <w:lvlJc w:val="left"/>
      <w:pPr>
        <w:ind w:left="5040" w:hanging="360"/>
      </w:pPr>
    </w:lvl>
    <w:lvl w:ilvl="7" w:tplc="AF0265A8" w:tentative="1">
      <w:start w:val="1"/>
      <w:numFmt w:val="lowerLetter"/>
      <w:lvlText w:val="%8."/>
      <w:lvlJc w:val="left"/>
      <w:pPr>
        <w:ind w:left="5760" w:hanging="360"/>
      </w:pPr>
    </w:lvl>
    <w:lvl w:ilvl="8" w:tplc="6CE87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764E8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5C1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50A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67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46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4E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AB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C1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2C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C625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41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65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CD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65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C8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042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6C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62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2EC080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463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8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E7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6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50B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D6A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A8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CA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72E40F4">
      <w:start w:val="1"/>
      <w:numFmt w:val="decimal"/>
      <w:lvlText w:val="%1."/>
      <w:lvlJc w:val="left"/>
      <w:pPr>
        <w:ind w:left="720" w:hanging="360"/>
      </w:pPr>
    </w:lvl>
    <w:lvl w:ilvl="1" w:tplc="550E759C" w:tentative="1">
      <w:start w:val="1"/>
      <w:numFmt w:val="lowerLetter"/>
      <w:lvlText w:val="%2."/>
      <w:lvlJc w:val="left"/>
      <w:pPr>
        <w:ind w:left="1440" w:hanging="360"/>
      </w:pPr>
    </w:lvl>
    <w:lvl w:ilvl="2" w:tplc="7B6EA824" w:tentative="1">
      <w:start w:val="1"/>
      <w:numFmt w:val="lowerRoman"/>
      <w:lvlText w:val="%3."/>
      <w:lvlJc w:val="right"/>
      <w:pPr>
        <w:ind w:left="2160" w:hanging="180"/>
      </w:pPr>
    </w:lvl>
    <w:lvl w:ilvl="3" w:tplc="1D5C9C62" w:tentative="1">
      <w:start w:val="1"/>
      <w:numFmt w:val="decimal"/>
      <w:lvlText w:val="%4."/>
      <w:lvlJc w:val="left"/>
      <w:pPr>
        <w:ind w:left="2880" w:hanging="360"/>
      </w:pPr>
    </w:lvl>
    <w:lvl w:ilvl="4" w:tplc="00F656F8" w:tentative="1">
      <w:start w:val="1"/>
      <w:numFmt w:val="lowerLetter"/>
      <w:lvlText w:val="%5."/>
      <w:lvlJc w:val="left"/>
      <w:pPr>
        <w:ind w:left="3600" w:hanging="360"/>
      </w:pPr>
    </w:lvl>
    <w:lvl w:ilvl="5" w:tplc="F04889C2" w:tentative="1">
      <w:start w:val="1"/>
      <w:numFmt w:val="lowerRoman"/>
      <w:lvlText w:val="%6."/>
      <w:lvlJc w:val="right"/>
      <w:pPr>
        <w:ind w:left="4320" w:hanging="180"/>
      </w:pPr>
    </w:lvl>
    <w:lvl w:ilvl="6" w:tplc="6C72B0E2" w:tentative="1">
      <w:start w:val="1"/>
      <w:numFmt w:val="decimal"/>
      <w:lvlText w:val="%7."/>
      <w:lvlJc w:val="left"/>
      <w:pPr>
        <w:ind w:left="5040" w:hanging="360"/>
      </w:pPr>
    </w:lvl>
    <w:lvl w:ilvl="7" w:tplc="8466BCB4" w:tentative="1">
      <w:start w:val="1"/>
      <w:numFmt w:val="lowerLetter"/>
      <w:lvlText w:val="%8."/>
      <w:lvlJc w:val="left"/>
      <w:pPr>
        <w:ind w:left="5760" w:hanging="360"/>
      </w:pPr>
    </w:lvl>
    <w:lvl w:ilvl="8" w:tplc="F6524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DD0807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67EC9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D0F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A9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0F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645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4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23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8C6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FA666B2"/>
    <w:multiLevelType w:val="hybridMultilevel"/>
    <w:tmpl w:val="A7F0475C"/>
    <w:lvl w:ilvl="0" w:tplc="B69CF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358F"/>
    <w:rsid w:val="00024777"/>
    <w:rsid w:val="00024E21"/>
    <w:rsid w:val="00027100"/>
    <w:rsid w:val="000349AA"/>
    <w:rsid w:val="00036C50"/>
    <w:rsid w:val="00052D2B"/>
    <w:rsid w:val="00054F55"/>
    <w:rsid w:val="00056EE7"/>
    <w:rsid w:val="00057B98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401E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635"/>
    <w:rsid w:val="00164543"/>
    <w:rsid w:val="00164C48"/>
    <w:rsid w:val="001674D3"/>
    <w:rsid w:val="00174721"/>
    <w:rsid w:val="00175264"/>
    <w:rsid w:val="00177981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4EB3"/>
    <w:rsid w:val="001B6F4A"/>
    <w:rsid w:val="001B7B38"/>
    <w:rsid w:val="001C5288"/>
    <w:rsid w:val="001C5B03"/>
    <w:rsid w:val="001D4CE4"/>
    <w:rsid w:val="001D6052"/>
    <w:rsid w:val="001D6D96"/>
    <w:rsid w:val="001E5621"/>
    <w:rsid w:val="001E7763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DDF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30C9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986"/>
    <w:rsid w:val="002C1F27"/>
    <w:rsid w:val="002C21BD"/>
    <w:rsid w:val="002C3510"/>
    <w:rsid w:val="002C55FF"/>
    <w:rsid w:val="002C592B"/>
    <w:rsid w:val="002C5F4C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270F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BA8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3276"/>
    <w:rsid w:val="00414B20"/>
    <w:rsid w:val="0041628A"/>
    <w:rsid w:val="00417DE3"/>
    <w:rsid w:val="004201DB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4EE"/>
    <w:rsid w:val="00457550"/>
    <w:rsid w:val="00457B74"/>
    <w:rsid w:val="00461B2A"/>
    <w:rsid w:val="004620A4"/>
    <w:rsid w:val="00473CAC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26C"/>
    <w:rsid w:val="004E23A1"/>
    <w:rsid w:val="004E493C"/>
    <w:rsid w:val="004E623E"/>
    <w:rsid w:val="004E7092"/>
    <w:rsid w:val="004E7ECE"/>
    <w:rsid w:val="004F38CF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3074"/>
    <w:rsid w:val="0057436C"/>
    <w:rsid w:val="00575DE3"/>
    <w:rsid w:val="00580B08"/>
    <w:rsid w:val="00582578"/>
    <w:rsid w:val="0058621D"/>
    <w:rsid w:val="00586904"/>
    <w:rsid w:val="005A14F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5F2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4AD3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46C7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5721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6C6C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4D9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754"/>
    <w:rsid w:val="009048E1"/>
    <w:rsid w:val="0090598C"/>
    <w:rsid w:val="00905CAB"/>
    <w:rsid w:val="009071BB"/>
    <w:rsid w:val="00913885"/>
    <w:rsid w:val="00915ABF"/>
    <w:rsid w:val="00921CAD"/>
    <w:rsid w:val="00926AF8"/>
    <w:rsid w:val="009311ED"/>
    <w:rsid w:val="00931D41"/>
    <w:rsid w:val="0093235F"/>
    <w:rsid w:val="00932CC2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19E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B7841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1E84"/>
    <w:rsid w:val="00A16BAC"/>
    <w:rsid w:val="00A207FB"/>
    <w:rsid w:val="00A20ADC"/>
    <w:rsid w:val="00A24016"/>
    <w:rsid w:val="00A265BF"/>
    <w:rsid w:val="00A26698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6963"/>
    <w:rsid w:val="00A829A2"/>
    <w:rsid w:val="00A82AA0"/>
    <w:rsid w:val="00A82F8A"/>
    <w:rsid w:val="00A84622"/>
    <w:rsid w:val="00A84BF0"/>
    <w:rsid w:val="00A91104"/>
    <w:rsid w:val="00A9226B"/>
    <w:rsid w:val="00A9575C"/>
    <w:rsid w:val="00A95B56"/>
    <w:rsid w:val="00A95E81"/>
    <w:rsid w:val="00A969AF"/>
    <w:rsid w:val="00AA3EF2"/>
    <w:rsid w:val="00AB1A2E"/>
    <w:rsid w:val="00AB328A"/>
    <w:rsid w:val="00AB4918"/>
    <w:rsid w:val="00AB4BC8"/>
    <w:rsid w:val="00AB6BA7"/>
    <w:rsid w:val="00AB7BE8"/>
    <w:rsid w:val="00AD0710"/>
    <w:rsid w:val="00AD4DB9"/>
    <w:rsid w:val="00AD587F"/>
    <w:rsid w:val="00AD63C0"/>
    <w:rsid w:val="00AE35B2"/>
    <w:rsid w:val="00AE6AA0"/>
    <w:rsid w:val="00AF406C"/>
    <w:rsid w:val="00AF4456"/>
    <w:rsid w:val="00AF45ED"/>
    <w:rsid w:val="00B00CA4"/>
    <w:rsid w:val="00B01BA9"/>
    <w:rsid w:val="00B02195"/>
    <w:rsid w:val="00B075D6"/>
    <w:rsid w:val="00B113B9"/>
    <w:rsid w:val="00B119A2"/>
    <w:rsid w:val="00B13B6D"/>
    <w:rsid w:val="00B177F2"/>
    <w:rsid w:val="00B201F1"/>
    <w:rsid w:val="00B23355"/>
    <w:rsid w:val="00B2603F"/>
    <w:rsid w:val="00B304E7"/>
    <w:rsid w:val="00B318B6"/>
    <w:rsid w:val="00B3499B"/>
    <w:rsid w:val="00B36E65"/>
    <w:rsid w:val="00B374FE"/>
    <w:rsid w:val="00B41D57"/>
    <w:rsid w:val="00B41F47"/>
    <w:rsid w:val="00B44468"/>
    <w:rsid w:val="00B47072"/>
    <w:rsid w:val="00B540BD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97D78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27DD"/>
    <w:rsid w:val="00BF58FC"/>
    <w:rsid w:val="00C01F77"/>
    <w:rsid w:val="00C01FFC"/>
    <w:rsid w:val="00C05321"/>
    <w:rsid w:val="00C06AE4"/>
    <w:rsid w:val="00C10D77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71E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1D62"/>
    <w:rsid w:val="00CF069C"/>
    <w:rsid w:val="00CF0DFF"/>
    <w:rsid w:val="00CF3F48"/>
    <w:rsid w:val="00CF6040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27491"/>
    <w:rsid w:val="00D32624"/>
    <w:rsid w:val="00D32D23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11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6C9D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89A"/>
    <w:rsid w:val="00F95A8C"/>
    <w:rsid w:val="00FA06FD"/>
    <w:rsid w:val="00FA303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1F"/>
    <w:rsid w:val="00FD7B98"/>
    <w:rsid w:val="00FE0A9F"/>
    <w:rsid w:val="00FE0DA1"/>
    <w:rsid w:val="00FE66D2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C159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aliases w:val="En-tête1 Char"/>
    <w:basedOn w:val="Standardnpsmoodstavce"/>
    <w:link w:val="Zhlav"/>
    <w:rsid w:val="00FA303D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008C-E17F-48B4-82A5-3F872BB0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6219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49</cp:revision>
  <cp:lastPrinted>2025-01-17T11:04:00Z</cp:lastPrinted>
  <dcterms:created xsi:type="dcterms:W3CDTF">2022-10-26T09:20:00Z</dcterms:created>
  <dcterms:modified xsi:type="dcterms:W3CDTF">2025-01-17T11:04:00Z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