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9" w:rsidRPr="009B68C9" w:rsidRDefault="009B68C9" w:rsidP="009B68C9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PŘÍBALOVÁ INFORMACE PRO:</w:t>
      </w:r>
      <w:r>
        <w:rPr>
          <w:rFonts w:ascii="Times New Roman" w:eastAsia="Times New Roman" w:hAnsi="Times New Roman" w:cs="Times New Roman"/>
          <w:b/>
          <w:szCs w:val="20"/>
        </w:rPr>
        <w:t xml:space="preserve"> Lahev 100 ml</w:t>
      </w:r>
      <w:bookmarkStart w:id="0" w:name="_GoBack"/>
      <w:bookmarkEnd w:id="0"/>
    </w:p>
    <w:p w:rsidR="009B68C9" w:rsidRPr="009B68C9" w:rsidRDefault="009B68C9" w:rsidP="009B68C9">
      <w:pPr>
        <w:spacing w:after="0" w:line="240" w:lineRule="auto"/>
        <w:ind w:left="567" w:right="113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SPECTRON 100 mg/ml roztok pro podání v pitné vodě pro kur domácí a krůty</w:t>
      </w:r>
    </w:p>
    <w:p w:rsidR="009B68C9" w:rsidRPr="009B68C9" w:rsidRDefault="009B68C9" w:rsidP="009B68C9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right="113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iCs/>
          <w:szCs w:val="20"/>
          <w:u w:val="single"/>
        </w:rPr>
        <w:t>Držitel rozhodnutí o registraci a výrobce odpovědný za uvolnění šarže</w:t>
      </w:r>
      <w:r w:rsidRPr="009B68C9">
        <w:rPr>
          <w:rFonts w:ascii="Times New Roman" w:eastAsia="Times New Roman" w:hAnsi="Times New Roman" w:cs="Times New Roman"/>
          <w:iCs/>
          <w:szCs w:val="20"/>
        </w:rPr>
        <w:t>:</w:t>
      </w:r>
    </w:p>
    <w:p w:rsidR="009B68C9" w:rsidRPr="009B68C9" w:rsidRDefault="009B68C9" w:rsidP="009B68C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 xml:space="preserve">LABORATORIOS HIPRA, </w:t>
      </w:r>
      <w:proofErr w:type="gramStart"/>
      <w:r w:rsidRPr="009B68C9">
        <w:rPr>
          <w:rFonts w:ascii="Times New Roman" w:eastAsia="Times New Roman" w:hAnsi="Times New Roman" w:cs="Times New Roman"/>
          <w:lang w:eastAsia="es-ES"/>
        </w:rPr>
        <w:t>S.A.</w:t>
      </w:r>
      <w:proofErr w:type="gramEnd"/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Avda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. la </w:t>
      </w: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Selva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>, 135    17170-Amer (</w:t>
      </w: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Girona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) 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Španělsko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 xml:space="preserve">Tel. (34) 972 43 06 60   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Fax (34) 972 43 06 61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E-mail: hipra@hipra.com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2.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SPECTRON 100 mg/ml roztok pro podání v pitné vodě pro kur domácí a krůty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Enrofloxacinum</w:t>
      </w:r>
      <w:proofErr w:type="spellEnd"/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Přípravek s indikačním omezením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3.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es-ES"/>
        </w:rPr>
      </w:pPr>
      <w:r w:rsidRPr="009B68C9">
        <w:rPr>
          <w:rFonts w:ascii="Times New Roman" w:eastAsia="Times New Roman" w:hAnsi="Times New Roman" w:cs="Times New Roman"/>
          <w:u w:val="single"/>
          <w:lang w:eastAsia="es-ES"/>
        </w:rPr>
        <w:t>1 ml obsahuje: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eastAsia="es-ES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Léčivá</w:t>
      </w:r>
      <w:r w:rsidRPr="009B68C9">
        <w:rPr>
          <w:rFonts w:ascii="Times New Roman" w:eastAsia="Times New Roman" w:hAnsi="Times New Roman" w:cs="Times New Roman"/>
          <w:b/>
          <w:lang w:eastAsia="es-ES"/>
        </w:rPr>
        <w:t xml:space="preserve"> látka:</w:t>
      </w:r>
    </w:p>
    <w:p w:rsidR="009B68C9" w:rsidRPr="009B68C9" w:rsidRDefault="009B68C9" w:rsidP="009B68C9">
      <w:pPr>
        <w:tabs>
          <w:tab w:val="right" w:leader="dot" w:pos="120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Enrofloxacinum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 …………………………………………………………………….……. 100 mg</w:t>
      </w:r>
    </w:p>
    <w:p w:rsidR="009B68C9" w:rsidRPr="009B68C9" w:rsidRDefault="009B68C9" w:rsidP="009B68C9">
      <w:pPr>
        <w:tabs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lang w:eastAsia="es-ES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Slabě nažloutlý, čirý roztok.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4.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Léčba infekcí způsobených následujícími bakteriemi citlivými vůči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enrofloxacinu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: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bCs/>
          <w:szCs w:val="20"/>
        </w:rPr>
        <w:t xml:space="preserve">Kur domácí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Avibacterium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paragallinarum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Pasteurella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multocida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>.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bCs/>
          <w:szCs w:val="20"/>
        </w:rPr>
        <w:t xml:space="preserve">Krůty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Pasteurella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  <w:szCs w:val="20"/>
        </w:rPr>
        <w:t>multocida</w:t>
      </w:r>
      <w:proofErr w:type="spellEnd"/>
      <w:r w:rsidRPr="009B68C9">
        <w:rPr>
          <w:rFonts w:ascii="Times New Roman" w:eastAsia="Times New Roman" w:hAnsi="Times New Roman" w:cs="Times New Roman"/>
          <w:i/>
          <w:iCs/>
          <w:szCs w:val="20"/>
        </w:rPr>
        <w:t xml:space="preserve">. </w:t>
      </w:r>
    </w:p>
    <w:p w:rsidR="009B68C9" w:rsidRPr="009B68C9" w:rsidRDefault="009B68C9" w:rsidP="009B68C9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br w:type="page"/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lastRenderedPageBreak/>
        <w:t xml:space="preserve">5. 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Nepoužívat </w:t>
      </w:r>
      <w:r w:rsidRPr="009B68C9">
        <w:rPr>
          <w:rFonts w:ascii="Times New Roman" w:eastAsia="Times New Roman" w:hAnsi="Times New Roman" w:cs="Times New Roman"/>
          <w:shd w:val="clear" w:color="auto" w:fill="FFFFFF"/>
        </w:rPr>
        <w:t>jako prevenci vzniku onemocnění.</w:t>
      </w:r>
    </w:p>
    <w:p w:rsidR="009B68C9" w:rsidRPr="009B68C9" w:rsidRDefault="009B68C9" w:rsidP="009B68C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Nepoužívat, je-li známo, že se v hejnu, které má být léčeno, vyskytla rezistence / zkřížená rezistence vůči (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fluoro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>)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chinolonům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9B68C9" w:rsidRPr="009B68C9" w:rsidRDefault="009B68C9" w:rsidP="009B68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</w:rPr>
        <w:t>Nepoužívat v případě známé přecitlivělosti na léčivou látku, na jiné (</w:t>
      </w:r>
      <w:proofErr w:type="spellStart"/>
      <w:r w:rsidRPr="009B68C9">
        <w:rPr>
          <w:rFonts w:ascii="Times New Roman" w:eastAsia="Times New Roman" w:hAnsi="Times New Roman" w:cs="Times New Roman"/>
        </w:rPr>
        <w:t>fluoro</w:t>
      </w:r>
      <w:proofErr w:type="spellEnd"/>
      <w:r w:rsidRPr="009B68C9">
        <w:rPr>
          <w:rFonts w:ascii="Times New Roman" w:eastAsia="Times New Roman" w:hAnsi="Times New Roman" w:cs="Times New Roman"/>
        </w:rPr>
        <w:t>)</w:t>
      </w:r>
      <w:proofErr w:type="spellStart"/>
      <w:r w:rsidRPr="009B68C9">
        <w:rPr>
          <w:rFonts w:ascii="Times New Roman" w:eastAsia="Times New Roman" w:hAnsi="Times New Roman" w:cs="Times New Roman"/>
        </w:rPr>
        <w:t>chinolony</w:t>
      </w:r>
      <w:proofErr w:type="spellEnd"/>
      <w:r w:rsidRPr="009B68C9">
        <w:rPr>
          <w:rFonts w:ascii="Times New Roman" w:eastAsia="Times New Roman" w:hAnsi="Times New Roman" w:cs="Times New Roman"/>
        </w:rPr>
        <w:t xml:space="preserve"> nebo na kteroukoli z pomocných látek.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6.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Nejsou známy.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Jestliže zaznamenáte jakékoliv závažné nežádoucí účinky či jiné reakce, které nejsou uvedeny v této příbalové informaci, oznamte to prosím vašemu veterinárnímu lékaři.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7.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Kur domácí a krůty.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8.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9B68C9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9B68C9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9B68C9">
        <w:rPr>
          <w:rFonts w:ascii="Times New Roman" w:eastAsia="Times New Roman" w:hAnsi="Times New Roman" w:cs="Times New Roman"/>
          <w:bCs/>
          <w:lang w:eastAsia="es-ES"/>
        </w:rPr>
        <w:t>Perorální podání v pitné vod</w:t>
      </w:r>
      <w:r w:rsidRPr="009B68C9">
        <w:rPr>
          <w:rFonts w:ascii="Times New Roman" w:eastAsia="Times New Roman" w:hAnsi="Times New Roman" w:cs="Times New Roman"/>
          <w:lang w:eastAsia="es-ES"/>
        </w:rPr>
        <w:t>ě</w:t>
      </w:r>
      <w:r w:rsidRPr="009B68C9">
        <w:rPr>
          <w:rFonts w:ascii="Times New Roman" w:eastAsia="Times New Roman" w:hAnsi="Times New Roman" w:cs="Times New Roman"/>
          <w:bCs/>
          <w:lang w:eastAsia="es-ES"/>
        </w:rPr>
        <w:t xml:space="preserve">. Medikovaná voda může být podávána přímo ze </w:t>
      </w:r>
      <w:r w:rsidRPr="009B68C9">
        <w:rPr>
          <w:rFonts w:ascii="Times New Roman" w:eastAsia="Times New Roman" w:hAnsi="Times New Roman" w:cs="Times New Roman"/>
          <w:lang w:eastAsia="es-ES"/>
        </w:rPr>
        <w:t>zásobních nádrží</w:t>
      </w:r>
      <w:r w:rsidRPr="009B68C9">
        <w:rPr>
          <w:rFonts w:ascii="Times New Roman" w:eastAsia="Times New Roman" w:hAnsi="Times New Roman" w:cs="Times New Roman"/>
          <w:bCs/>
          <w:lang w:eastAsia="es-ES"/>
        </w:rPr>
        <w:t xml:space="preserve"> nebo prostřednictvím</w:t>
      </w:r>
      <w:r w:rsidRPr="009B68C9">
        <w:rPr>
          <w:rFonts w:ascii="Times New Roman" w:eastAsia="Times New Roman" w:hAnsi="Times New Roman" w:cs="Times New Roman"/>
          <w:lang w:eastAsia="es-ES"/>
        </w:rPr>
        <w:t xml:space="preserve"> určených k dávkování vody.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sl-SI"/>
        </w:rPr>
      </w:pPr>
      <w:r w:rsidRPr="009B68C9">
        <w:rPr>
          <w:rFonts w:ascii="Times New Roman" w:eastAsia="Times New Roman" w:hAnsi="Times New Roman" w:cs="Times New Roman"/>
          <w:b/>
          <w:kern w:val="24"/>
          <w:lang w:eastAsia="sl-SI"/>
        </w:rPr>
        <w:t>Dávkování: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sl-SI"/>
        </w:rPr>
      </w:pP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9B68C9">
        <w:rPr>
          <w:rFonts w:ascii="Times New Roman" w:eastAsia="Times New Roman" w:hAnsi="Times New Roman" w:cs="Times New Roman"/>
          <w:b/>
          <w:bCs/>
          <w:szCs w:val="20"/>
        </w:rPr>
        <w:t>Kur domácí a krůty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10 mg </w:t>
      </w:r>
      <w:proofErr w:type="spellStart"/>
      <w:proofErr w:type="gramStart"/>
      <w:r w:rsidRPr="009B68C9">
        <w:rPr>
          <w:rFonts w:ascii="Times New Roman" w:eastAsia="Times New Roman" w:hAnsi="Times New Roman" w:cs="Times New Roman"/>
          <w:szCs w:val="20"/>
        </w:rPr>
        <w:t>enrofloxacinu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>/kg ž.hm</w:t>
      </w:r>
      <w:proofErr w:type="gramEnd"/>
      <w:r w:rsidRPr="009B68C9">
        <w:rPr>
          <w:rFonts w:ascii="Times New Roman" w:eastAsia="Times New Roman" w:hAnsi="Times New Roman" w:cs="Times New Roman"/>
          <w:szCs w:val="20"/>
        </w:rPr>
        <w:t>. na den po dobu 3–5 po sobě následujících dní. Léčba po dobu 3–5 po sobě následujících dní; po dobu 5 po sobě následujících dní v případě smíšených infekcí a chronických progresivních forem. Pokud není během 2-3 dní dosaženo klinického zlepšení, mělo by se zvážit nasazení alternativní antimikrobiální léčby na základě výsledků testů citlivosti.</w:t>
      </w:r>
    </w:p>
    <w:p w:rsidR="009B68C9" w:rsidRPr="009B68C9" w:rsidRDefault="009B68C9" w:rsidP="009B68C9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sl-SI"/>
        </w:rPr>
      </w:pPr>
      <w:r w:rsidRPr="009B68C9">
        <w:rPr>
          <w:rFonts w:ascii="Times New Roman" w:eastAsia="Times New Roman" w:hAnsi="Times New Roman" w:cs="Times New Roman"/>
          <w:kern w:val="24"/>
          <w:lang w:eastAsia="sl-SI"/>
        </w:rPr>
        <w:t xml:space="preserve">Je třeba zajistit kontinuální přísun </w:t>
      </w:r>
      <w:proofErr w:type="spellStart"/>
      <w:r w:rsidRPr="009B68C9">
        <w:rPr>
          <w:rFonts w:ascii="Times New Roman" w:eastAsia="Times New Roman" w:hAnsi="Times New Roman" w:cs="Times New Roman"/>
          <w:kern w:val="24"/>
          <w:lang w:eastAsia="sl-SI"/>
        </w:rPr>
        <w:t>medikované</w:t>
      </w:r>
      <w:proofErr w:type="spellEnd"/>
      <w:r w:rsidRPr="009B68C9">
        <w:rPr>
          <w:rFonts w:ascii="Times New Roman" w:eastAsia="Times New Roman" w:hAnsi="Times New Roman" w:cs="Times New Roman"/>
          <w:kern w:val="24"/>
          <w:lang w:eastAsia="sl-SI"/>
        </w:rPr>
        <w:t xml:space="preserve"> vody a zvířata nesmí mít v  průběhu léčby k dispozici žádný jiný zdroj vody. 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sl-SI"/>
        </w:rPr>
      </w:pPr>
      <w:r w:rsidRPr="009B68C9">
        <w:rPr>
          <w:rFonts w:ascii="Times New Roman" w:eastAsia="Times New Roman" w:hAnsi="Times New Roman" w:cs="Times New Roman"/>
          <w:kern w:val="24"/>
          <w:lang w:eastAsia="sl-SI"/>
        </w:rPr>
        <w:t>Medikace vody by se měla provádět každý den, bezprostředně před každým podáním.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sl-SI"/>
        </w:rPr>
      </w:pPr>
      <w:r w:rsidRPr="009B68C9">
        <w:rPr>
          <w:rFonts w:ascii="Times New Roman" w:eastAsia="Times New Roman" w:hAnsi="Times New Roman" w:cs="Times New Roman"/>
          <w:kern w:val="24"/>
          <w:lang w:eastAsia="sl-SI"/>
        </w:rPr>
        <w:t>Před každým podáním je třeba pečlivě vypočítat celkovou živou hmotnost léčených zvířat a celkovou denní spotřebu vody.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 xml:space="preserve">Příjem </w:t>
      </w: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medikované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 vody závisí na věku a klinickém stavu ptáků, okolní teplotě a světelném režimu. Za účelem získání správného dávkování by měla být odpovídajícím způsobem upravena koncentrace přípravku. Vezmeme-li v úvahu, že 10 mg </w:t>
      </w: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enrofloxacinu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9B68C9">
          <w:rPr>
            <w:rFonts w:ascii="Times New Roman" w:eastAsia="Times New Roman" w:hAnsi="Times New Roman" w:cs="Times New Roman"/>
            <w:lang w:eastAsia="es-ES"/>
          </w:rPr>
          <w:t>1 kg</w:t>
        </w:r>
      </w:smartTag>
      <w:r w:rsidRPr="009B68C9">
        <w:rPr>
          <w:rFonts w:ascii="Times New Roman" w:eastAsia="Times New Roman" w:hAnsi="Times New Roman" w:cs="Times New Roman"/>
          <w:lang w:eastAsia="es-ES"/>
        </w:rPr>
        <w:t xml:space="preserve"> živé hmotnosti </w:t>
      </w:r>
      <w:proofErr w:type="gramStart"/>
      <w:r w:rsidRPr="009B68C9">
        <w:rPr>
          <w:rFonts w:ascii="Times New Roman" w:eastAsia="Times New Roman" w:hAnsi="Times New Roman" w:cs="Times New Roman"/>
          <w:lang w:eastAsia="es-ES"/>
        </w:rPr>
        <w:t>odpovídá</w:t>
      </w:r>
      <w:proofErr w:type="gramEnd"/>
      <w:r w:rsidRPr="009B68C9">
        <w:rPr>
          <w:rFonts w:ascii="Times New Roman" w:eastAsia="Times New Roman" w:hAnsi="Times New Roman" w:cs="Times New Roman"/>
          <w:lang w:eastAsia="es-ES"/>
        </w:rPr>
        <w:t xml:space="preserve"> 0,1 ml přípravku na </w:t>
      </w:r>
      <w:smartTag w:uri="urn:schemas-microsoft-com:office:smarttags" w:element="metricconverter">
        <w:smartTagPr>
          <w:attr w:name="ProductID" w:val="1 kg"/>
        </w:smartTagPr>
        <w:r w:rsidRPr="009B68C9">
          <w:rPr>
            <w:rFonts w:ascii="Times New Roman" w:eastAsia="Times New Roman" w:hAnsi="Times New Roman" w:cs="Times New Roman"/>
            <w:lang w:eastAsia="es-ES"/>
          </w:rPr>
          <w:t>1 kg</w:t>
        </w:r>
      </w:smartTag>
      <w:r w:rsidRPr="009B68C9">
        <w:rPr>
          <w:rFonts w:ascii="Times New Roman" w:eastAsia="Times New Roman" w:hAnsi="Times New Roman" w:cs="Times New Roman"/>
          <w:lang w:eastAsia="es-ES"/>
        </w:rPr>
        <w:t xml:space="preserve"> živé hmotnosti </w:t>
      </w:r>
      <w:proofErr w:type="gramStart"/>
      <w:r w:rsidRPr="009B68C9">
        <w:rPr>
          <w:rFonts w:ascii="Times New Roman" w:eastAsia="Times New Roman" w:hAnsi="Times New Roman" w:cs="Times New Roman"/>
          <w:lang w:eastAsia="es-ES"/>
        </w:rPr>
        <w:t>je</w:t>
      </w:r>
      <w:proofErr w:type="gramEnd"/>
      <w:r w:rsidRPr="009B68C9">
        <w:rPr>
          <w:rFonts w:ascii="Times New Roman" w:eastAsia="Times New Roman" w:hAnsi="Times New Roman" w:cs="Times New Roman"/>
          <w:lang w:eastAsia="es-ES"/>
        </w:rPr>
        <w:t xml:space="preserve"> třeba použít požadované množství přípravku na litr pitné vody podle následujícího výpočtu: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471"/>
        <w:gridCol w:w="2312"/>
        <w:gridCol w:w="748"/>
        <w:gridCol w:w="1252"/>
        <w:gridCol w:w="1133"/>
        <w:gridCol w:w="1256"/>
      </w:tblGrid>
      <w:tr w:rsidR="009B68C9" w:rsidRPr="009B68C9" w:rsidTr="00432D1B">
        <w:trPr>
          <w:jc w:val="center"/>
        </w:trPr>
        <w:tc>
          <w:tcPr>
            <w:tcW w:w="1548" w:type="dxa"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 xml:space="preserve">0,1 </w:t>
            </w:r>
          </w:p>
        </w:tc>
        <w:tc>
          <w:tcPr>
            <w:tcW w:w="471" w:type="dxa"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>x</w:t>
            </w:r>
          </w:p>
        </w:tc>
        <w:tc>
          <w:tcPr>
            <w:tcW w:w="2312" w:type="dxa"/>
            <w:vAlign w:val="center"/>
          </w:tcPr>
          <w:p w:rsidR="009B68C9" w:rsidRPr="009B68C9" w:rsidRDefault="009B68C9" w:rsidP="009B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>Průměrná živá hmotnost ošetřovaných ptáků (kg)</w:t>
            </w:r>
          </w:p>
        </w:tc>
        <w:tc>
          <w:tcPr>
            <w:tcW w:w="748" w:type="dxa"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>x</w:t>
            </w:r>
          </w:p>
        </w:tc>
        <w:tc>
          <w:tcPr>
            <w:tcW w:w="1252" w:type="dxa"/>
            <w:vAlign w:val="center"/>
          </w:tcPr>
          <w:p w:rsidR="009B68C9" w:rsidRPr="009B68C9" w:rsidRDefault="009B68C9" w:rsidP="009B68C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Počet ptáků</w:t>
            </w:r>
          </w:p>
        </w:tc>
        <w:tc>
          <w:tcPr>
            <w:tcW w:w="1133" w:type="dxa"/>
            <w:vMerge w:val="restart"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>=</w:t>
            </w:r>
          </w:p>
        </w:tc>
        <w:tc>
          <w:tcPr>
            <w:tcW w:w="1256" w:type="dxa"/>
            <w:vMerge w:val="restart"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>ml přípravku na litr pitné vody</w:t>
            </w:r>
          </w:p>
        </w:tc>
      </w:tr>
      <w:tr w:rsidR="009B68C9" w:rsidRPr="009B68C9" w:rsidTr="00432D1B">
        <w:trPr>
          <w:jc w:val="center"/>
        </w:trPr>
        <w:tc>
          <w:tcPr>
            <w:tcW w:w="6331" w:type="dxa"/>
            <w:gridSpan w:val="5"/>
            <w:vAlign w:val="center"/>
          </w:tcPr>
          <w:p w:rsidR="009B68C9" w:rsidRPr="009B68C9" w:rsidRDefault="009B68C9" w:rsidP="009B68C9">
            <w:pPr>
              <w:pBdr>
                <w:bottom w:val="single" w:sz="12" w:space="1" w:color="auto"/>
              </w:pBd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9B68C9" w:rsidRPr="009B68C9" w:rsidRDefault="009B68C9" w:rsidP="009B68C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133" w:type="dxa"/>
            <w:vMerge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256" w:type="dxa"/>
            <w:vMerge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9B68C9" w:rsidRPr="009B68C9" w:rsidTr="00432D1B">
        <w:trPr>
          <w:jc w:val="center"/>
        </w:trPr>
        <w:tc>
          <w:tcPr>
            <w:tcW w:w="6331" w:type="dxa"/>
            <w:gridSpan w:val="5"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B68C9">
              <w:rPr>
                <w:rFonts w:ascii="Times New Roman" w:eastAsia="Times New Roman" w:hAnsi="Times New Roman" w:cs="Times New Roman"/>
                <w:lang w:eastAsia="es-ES"/>
              </w:rPr>
              <w:t>Celková spotřeba vody (l) hejna předchozí den</w:t>
            </w:r>
          </w:p>
        </w:tc>
        <w:tc>
          <w:tcPr>
            <w:tcW w:w="1133" w:type="dxa"/>
            <w:vMerge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256" w:type="dxa"/>
            <w:vMerge/>
            <w:vAlign w:val="center"/>
          </w:tcPr>
          <w:p w:rsidR="009B68C9" w:rsidRPr="009B68C9" w:rsidRDefault="009B68C9" w:rsidP="009B68C9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</w:tbl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eastAsia="es-ES"/>
        </w:rPr>
      </w:pP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Je třeba dbát na to, aby stanovená dávka byla zvířaty kompletně spotřebována.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Používat vhodné a řádně kalibrované dávkovací zařízení.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9.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Před použitím je třeba vyprázdnit a důkladně vyčistit zásobní nádrže a poté je naplnit známým objemem čisté vody před tím, než se přidá požadované množství veterinárního léčivého přípravku. Výsledná směs se promíchá.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10.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 xml:space="preserve">OCHRANNÁ LHŮTA 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Kur domácí: Maso: 7 dní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Krůty: Maso: 13 dní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Nepoužívat u nosnic, jejichž vejce jsou určena pro lidskou spotřebu.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Nepoužívat u kuřic během 14 dní před počátkem snášky.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11.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Uchovávat mimo dosah dětí.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Tento veterinární léčivý přípravek nevyžaduje žádné zvláštní teplotní podmínky uchovávání.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lang w:eastAsia="es-ES"/>
        </w:rPr>
      </w:pPr>
      <w:r w:rsidRPr="009B68C9">
        <w:rPr>
          <w:rFonts w:ascii="Times New Roman" w:eastAsia="Times New Roman" w:hAnsi="Times New Roman" w:cs="Times New Roman"/>
          <w:noProof/>
          <w:lang w:eastAsia="es-ES"/>
        </w:rPr>
        <w:t>Uchovávejte v dobře uzavřené lahvi.</w:t>
      </w:r>
    </w:p>
    <w:p w:rsidR="009B68C9" w:rsidRPr="009B68C9" w:rsidRDefault="009B68C9" w:rsidP="009B68C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Nepoužívejte tento veterinární léčivý přípravek po uplynutí doby použitelnosti uvedené na etiketě po EXP. Doba použitelnosti končí posledním dnem v uvedeném měsíci.</w:t>
      </w: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Doba použitelnosti po prvním otevření vnitřního obalu: 3 měsíce.</w:t>
      </w: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Doba použitelnosti po rozpuštění podle návodu: 24 hodin</w:t>
      </w: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12.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u w:val="single"/>
        </w:rPr>
      </w:pPr>
      <w:r w:rsidRPr="009B68C9">
        <w:rPr>
          <w:rFonts w:ascii="Times New Roman" w:eastAsia="Times New Roman" w:hAnsi="Times New Roman" w:cs="Times New Roman"/>
          <w:szCs w:val="20"/>
          <w:u w:val="single"/>
        </w:rPr>
        <w:t>Zvláštní upozornění pro každý cílový druh:</w:t>
      </w:r>
    </w:p>
    <w:p w:rsidR="009B68C9" w:rsidRPr="009B68C9" w:rsidRDefault="009B68C9" w:rsidP="009B6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Léčba infekcí způsobených bakterií </w:t>
      </w:r>
      <w:proofErr w:type="spellStart"/>
      <w:r w:rsidRPr="009B68C9">
        <w:rPr>
          <w:rFonts w:ascii="Times New Roman" w:eastAsia="Times New Roman" w:hAnsi="Times New Roman" w:cs="Times New Roman"/>
          <w:i/>
          <w:szCs w:val="20"/>
        </w:rPr>
        <w:t>Mycoplasma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spp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. nemusí vést k eradikaci mikroorganismu. 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u w:val="single"/>
        </w:rPr>
      </w:pPr>
      <w:r w:rsidRPr="009B68C9">
        <w:rPr>
          <w:rFonts w:ascii="Times New Roman" w:eastAsia="Times New Roman" w:hAnsi="Times New Roman" w:cs="Times New Roman"/>
          <w:szCs w:val="20"/>
          <w:u w:val="single"/>
        </w:rPr>
        <w:t>Zvláštní opatření pro použití u zvířat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V případě použití přípravku musí být brána v úvahu oficiální a místní pravidla antibiotické politiky.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 xml:space="preserve">Doporučuje se </w:t>
      </w: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fluorochinolony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 ponechat pro léčbu klinických stavů, které měly slabou odezvu, nebo u kterých se očekává slabá odezva na léčbu ostatními skupinami antimikrobních látek.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Použití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fluorochinolonů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 by mělo být vždy, když je to možné, založeno na </w:t>
      </w:r>
      <w:r w:rsidRPr="009B68C9">
        <w:rPr>
          <w:rFonts w:ascii="Times New Roman" w:eastAsia="Times New Roman" w:hAnsi="Times New Roman" w:cs="Times New Roman"/>
        </w:rPr>
        <w:t>výsledku testu citlivosti</w:t>
      </w:r>
      <w:r w:rsidRPr="009B68C9">
        <w:rPr>
          <w:rFonts w:ascii="Times New Roman" w:eastAsia="Times New Roman" w:hAnsi="Times New Roman" w:cs="Times New Roman"/>
          <w:lang w:eastAsia="es-ES"/>
        </w:rPr>
        <w:t>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Použití přípravku za podmínek odlišných od pokynů uvedených v souhrnu údajů o přípravku může vést ke zvyšování prevalence bakterií rezistentních na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fluorochinolony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 a ke snižování účinnosti léčby jinými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chinolony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 vzhledem k možnosti zkřížené rezistence.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Zásobní nádrže</w:t>
      </w:r>
      <w:r w:rsidRPr="009B68C9">
        <w:rPr>
          <w:rFonts w:ascii="Times New Roman" w:eastAsia="Times New Roman" w:hAnsi="Times New Roman" w:cs="Times New Roman"/>
          <w:szCs w:val="20"/>
        </w:rPr>
        <w:t xml:space="preserve"> je třeba před použitím v pravidelných intervalech kontrolovat, aby se vyloučila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přítomnost prachu, tvorba řas a sedimentace. 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Pokud se nedostaví klinické zlepšení během dvou až tří dnů, mělo by se opakovat testování citlivosti a případně by </w:t>
      </w:r>
      <w:proofErr w:type="gramStart"/>
      <w:r w:rsidRPr="009B68C9">
        <w:rPr>
          <w:rFonts w:ascii="Times New Roman" w:eastAsia="Times New Roman" w:hAnsi="Times New Roman" w:cs="Times New Roman"/>
          <w:szCs w:val="20"/>
        </w:rPr>
        <w:t>měla  být</w:t>
      </w:r>
      <w:proofErr w:type="gramEnd"/>
      <w:r w:rsidRPr="009B68C9">
        <w:rPr>
          <w:rFonts w:ascii="Times New Roman" w:eastAsia="Times New Roman" w:hAnsi="Times New Roman" w:cs="Times New Roman"/>
          <w:szCs w:val="20"/>
        </w:rPr>
        <w:t xml:space="preserve"> změněna léčba.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68C9">
        <w:rPr>
          <w:rFonts w:ascii="Times New Roman" w:eastAsia="Times New Roman" w:hAnsi="Times New Roman" w:cs="Times New Roman"/>
        </w:rPr>
        <w:t xml:space="preserve">Od doby, kdy byl </w:t>
      </w:r>
      <w:proofErr w:type="spellStart"/>
      <w:r w:rsidRPr="009B68C9">
        <w:rPr>
          <w:rFonts w:ascii="Times New Roman" w:eastAsia="Times New Roman" w:hAnsi="Times New Roman" w:cs="Times New Roman"/>
        </w:rPr>
        <w:t>enrofloxacin</w:t>
      </w:r>
      <w:proofErr w:type="spellEnd"/>
      <w:r w:rsidRPr="009B68C9">
        <w:rPr>
          <w:rFonts w:ascii="Times New Roman" w:eastAsia="Times New Roman" w:hAnsi="Times New Roman" w:cs="Times New Roman"/>
        </w:rPr>
        <w:t xml:space="preserve"> poprvé registrován pro použití u drůbeže, došlo k rozšíření </w:t>
      </w:r>
      <w:proofErr w:type="gramStart"/>
      <w:r w:rsidRPr="009B68C9">
        <w:rPr>
          <w:rFonts w:ascii="Times New Roman" w:eastAsia="Times New Roman" w:hAnsi="Times New Roman" w:cs="Times New Roman"/>
        </w:rPr>
        <w:t xml:space="preserve">kmenů </w:t>
      </w:r>
      <w:proofErr w:type="spellStart"/>
      <w:r w:rsidRPr="009B68C9">
        <w:rPr>
          <w:rFonts w:ascii="Times New Roman" w:eastAsia="Times New Roman" w:hAnsi="Times New Roman" w:cs="Times New Roman"/>
          <w:i/>
        </w:rPr>
        <w:t>E.coli</w:t>
      </w:r>
      <w:proofErr w:type="spellEnd"/>
      <w:proofErr w:type="gramEnd"/>
      <w:r w:rsidRPr="009B68C9">
        <w:rPr>
          <w:rFonts w:ascii="Times New Roman" w:eastAsia="Times New Roman" w:hAnsi="Times New Roman" w:cs="Times New Roman"/>
        </w:rPr>
        <w:t xml:space="preserve"> se sníženou citlivostí vůči </w:t>
      </w:r>
      <w:proofErr w:type="spellStart"/>
      <w:r w:rsidRPr="009B68C9">
        <w:rPr>
          <w:rFonts w:ascii="Times New Roman" w:eastAsia="Times New Roman" w:hAnsi="Times New Roman" w:cs="Times New Roman"/>
        </w:rPr>
        <w:t>fluorochinolonům</w:t>
      </w:r>
      <w:proofErr w:type="spellEnd"/>
      <w:r w:rsidRPr="009B68C9">
        <w:rPr>
          <w:rFonts w:ascii="Times New Roman" w:eastAsia="Times New Roman" w:hAnsi="Times New Roman" w:cs="Times New Roman"/>
        </w:rPr>
        <w:t xml:space="preserve"> a objevily se kmeny rezistentní. Rezistence byla v EU zaznamenána také u </w:t>
      </w:r>
      <w:proofErr w:type="spellStart"/>
      <w:proofErr w:type="gramStart"/>
      <w:r w:rsidRPr="009B68C9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proofErr w:type="gramEnd"/>
      <w:r w:rsidRPr="009B68C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B68C9">
        <w:rPr>
          <w:rFonts w:ascii="Times New Roman" w:eastAsia="Times New Roman" w:hAnsi="Times New Roman" w:cs="Times New Roman"/>
          <w:i/>
          <w:iCs/>
        </w:rPr>
        <w:t>synoviae</w:t>
      </w:r>
      <w:proofErr w:type="spellEnd"/>
      <w:r w:rsidRPr="009B68C9">
        <w:rPr>
          <w:rFonts w:ascii="Times New Roman" w:eastAsia="Times New Roman" w:hAnsi="Times New Roman" w:cs="Times New Roman"/>
        </w:rPr>
        <w:t>.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9B68C9">
        <w:rPr>
          <w:rFonts w:ascii="Times New Roman" w:eastAsia="Times New Roman" w:hAnsi="Times New Roman" w:cs="Times New Roman"/>
          <w:szCs w:val="20"/>
          <w:u w:val="single"/>
        </w:rPr>
        <w:t>Zvláštní opatření určené osobám, které podávají veterinární léčivý přípravek zvířatům: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Tento přípravek je zásaditý roztok, a proto by se při nakládání s tímto veterinárním léčivým přípravkem měly používat osobní ochranné prostředky včetně nepropustných rukavic.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lastRenderedPageBreak/>
        <w:t>Zabraňte přímému kontaktu přípravku s pokožkou kvůli senzibilizaci, kontaktní dermatitidě a možné reakci z přecitlivělosti.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V případě zasažení pokožky nebo očí opláchněte exponované místo čistou vodou, a pokud dojde k podráždění, vyhledejte lékařskou pomoc.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Lidé se známou přecitlivělostí na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fluorochinolony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 by se měli vyhnout kontaktu s přípravkem.</w:t>
      </w: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Po použití přípravku si umyjte ruce a potřísněnou pokožku.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Během manipulace s přípravkem nejezte, nepijte ani nekuřte.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  <w:r w:rsidRPr="009B68C9">
        <w:rPr>
          <w:rFonts w:ascii="Times New Roman" w:eastAsia="Times New Roman" w:hAnsi="Times New Roman" w:cs="Times New Roman"/>
          <w:szCs w:val="20"/>
          <w:u w:val="single"/>
        </w:rPr>
        <w:t>Interakce s dalšími léčivými přípravky a další formy interakce:</w:t>
      </w:r>
    </w:p>
    <w:p w:rsidR="009B68C9" w:rsidRPr="009B68C9" w:rsidRDefault="009B68C9" w:rsidP="009B68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Cs w:val="20"/>
        </w:rPr>
      </w:pPr>
      <w:r w:rsidRPr="009B68C9">
        <w:rPr>
          <w:rFonts w:ascii="TimesNewRoman,Italic" w:eastAsia="Times New Roman" w:hAnsi="TimesNewRoman,Italic" w:cs="TimesNewRoman,Italic"/>
          <w:i/>
          <w:iCs/>
          <w:szCs w:val="20"/>
        </w:rPr>
        <w:t xml:space="preserve">In vitro </w:t>
      </w:r>
      <w:r w:rsidRPr="009B68C9">
        <w:rPr>
          <w:rFonts w:ascii="TimesNewRoman" w:eastAsia="Times New Roman" w:hAnsi="TimesNewRoman" w:cs="TimesNewRoman"/>
          <w:szCs w:val="20"/>
        </w:rPr>
        <w:t xml:space="preserve">byl prokázán antagonismus při kombinaci </w:t>
      </w:r>
      <w:proofErr w:type="spellStart"/>
      <w:r w:rsidRPr="009B68C9">
        <w:rPr>
          <w:rFonts w:ascii="TimesNewRoman" w:eastAsia="Times New Roman" w:hAnsi="TimesNewRoman" w:cs="TimesNewRoman"/>
          <w:szCs w:val="20"/>
        </w:rPr>
        <w:t>fluorochinolonů</w:t>
      </w:r>
      <w:proofErr w:type="spellEnd"/>
      <w:r w:rsidRPr="009B68C9">
        <w:rPr>
          <w:rFonts w:ascii="TimesNewRoman" w:eastAsia="Times New Roman" w:hAnsi="TimesNewRoman" w:cs="TimesNewRoman"/>
          <w:szCs w:val="20"/>
        </w:rPr>
        <w:t xml:space="preserve"> s bakteriostatickými antimikrobiálními látkami, jako jsou makrolidy nebo tetracykliny a </w:t>
      </w:r>
      <w:proofErr w:type="spellStart"/>
      <w:r w:rsidRPr="009B68C9">
        <w:rPr>
          <w:rFonts w:ascii="TimesNewRoman" w:eastAsia="Times New Roman" w:hAnsi="TimesNewRoman" w:cs="TimesNewRoman"/>
          <w:szCs w:val="20"/>
        </w:rPr>
        <w:t>amfenikoly</w:t>
      </w:r>
      <w:proofErr w:type="spellEnd"/>
      <w:r w:rsidRPr="009B68C9">
        <w:rPr>
          <w:rFonts w:ascii="TimesNewRoman" w:eastAsia="Times New Roman" w:hAnsi="TimesNewRoman" w:cs="TimesNewRoman"/>
          <w:szCs w:val="20"/>
        </w:rPr>
        <w:t xml:space="preserve">. Současná aplikace látek obsahujících hliník nebo hořčík může zhoršit absorpci </w:t>
      </w:r>
      <w:proofErr w:type="spellStart"/>
      <w:r w:rsidRPr="009B68C9">
        <w:rPr>
          <w:rFonts w:ascii="TimesNewRoman" w:eastAsia="Times New Roman" w:hAnsi="TimesNewRoman" w:cs="TimesNewRoman"/>
          <w:szCs w:val="20"/>
        </w:rPr>
        <w:t>enrofloxacinu</w:t>
      </w:r>
      <w:proofErr w:type="spellEnd"/>
      <w:r w:rsidRPr="009B68C9">
        <w:rPr>
          <w:rFonts w:ascii="TimesNewRoman" w:eastAsia="Times New Roman" w:hAnsi="TimesNewRoman" w:cs="TimesNewRoman"/>
          <w:szCs w:val="20"/>
        </w:rPr>
        <w:t>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 xml:space="preserve">Nekombinujte </w:t>
      </w:r>
      <w:proofErr w:type="spellStart"/>
      <w:r w:rsidRPr="009B68C9">
        <w:rPr>
          <w:rFonts w:ascii="Times New Roman" w:eastAsia="Times New Roman" w:hAnsi="Times New Roman" w:cs="Times New Roman"/>
          <w:lang w:eastAsia="es-ES"/>
        </w:rPr>
        <w:t>enrofloxacin</w:t>
      </w:r>
      <w:proofErr w:type="spellEnd"/>
      <w:r w:rsidRPr="009B68C9">
        <w:rPr>
          <w:rFonts w:ascii="Times New Roman" w:eastAsia="Times New Roman" w:hAnsi="Times New Roman" w:cs="Times New Roman"/>
          <w:lang w:eastAsia="es-ES"/>
        </w:rPr>
        <w:t xml:space="preserve"> se steroidními protizánětlivými přípravky.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  <w:r w:rsidRPr="009B68C9">
        <w:rPr>
          <w:rFonts w:ascii="Times New Roman" w:eastAsia="Times New Roman" w:hAnsi="Times New Roman" w:cs="Times New Roman"/>
          <w:szCs w:val="20"/>
          <w:u w:val="single"/>
        </w:rPr>
        <w:t>Předávkování (symptomy, první pomoc, antidota), pokud je to nutné:</w:t>
      </w:r>
    </w:p>
    <w:p w:rsidR="009B68C9" w:rsidRPr="009B68C9" w:rsidRDefault="009B68C9" w:rsidP="009B68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Cs w:val="20"/>
        </w:rPr>
      </w:pPr>
      <w:r w:rsidRPr="009B68C9">
        <w:rPr>
          <w:rFonts w:ascii="TimesNewRoman" w:eastAsia="Times New Roman" w:hAnsi="TimesNewRoman" w:cs="TimesNewRoman"/>
          <w:szCs w:val="20"/>
        </w:rPr>
        <w:t>Během ošetření kura domácího až desetinásobkem léčebné dávky a ošetření krůt až šestinásobkem léčebné dávky nebyly zaznamenány žádné nežádoucí klinické účinky.</w:t>
      </w:r>
    </w:p>
    <w:p w:rsidR="009B68C9" w:rsidRPr="009B68C9" w:rsidRDefault="009B68C9" w:rsidP="009B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 xml:space="preserve">Používání </w:t>
      </w:r>
      <w:proofErr w:type="spellStart"/>
      <w:r w:rsidRPr="009B68C9">
        <w:rPr>
          <w:rFonts w:ascii="Times New Roman" w:eastAsia="Times New Roman" w:hAnsi="Times New Roman" w:cs="Times New Roman"/>
          <w:szCs w:val="20"/>
        </w:rPr>
        <w:t>fluorochinolonů</w:t>
      </w:r>
      <w:proofErr w:type="spellEnd"/>
      <w:r w:rsidRPr="009B68C9">
        <w:rPr>
          <w:rFonts w:ascii="Times New Roman" w:eastAsia="Times New Roman" w:hAnsi="Times New Roman" w:cs="Times New Roman"/>
          <w:szCs w:val="20"/>
        </w:rPr>
        <w:t xml:space="preserve"> během růstové fáze v kombinaci s výrazným déletrvajícím zvýšeným příjmem napájecí vody a tím i účinné látky, například kvůli vyšší teplotě, může potenciálně poškodit kloubní chrupavku.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szCs w:val="20"/>
        </w:rPr>
        <w:t>Inkompatibility: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Nemísit s jiným veterinárním léčivým přípravkem.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13.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POKUD JE JICH TŘEBA</w:t>
      </w: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Léčivé přípravky se nesmí likvidovat prostřednictvím odpadní vody či domovního odpadu.</w:t>
      </w:r>
    </w:p>
    <w:p w:rsidR="009B68C9" w:rsidRPr="009B68C9" w:rsidRDefault="009B68C9" w:rsidP="009B68C9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14.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Červenec 2018</w:t>
      </w:r>
    </w:p>
    <w:p w:rsidR="009B68C9" w:rsidRPr="009B68C9" w:rsidRDefault="009B68C9" w:rsidP="009B68C9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b/>
          <w:szCs w:val="20"/>
        </w:rPr>
        <w:t>15.</w:t>
      </w:r>
      <w:r w:rsidRPr="009B68C9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9B68C9" w:rsidRPr="009B68C9" w:rsidRDefault="009B68C9" w:rsidP="009B68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Velikosti balení: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100 ml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1 l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5 l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Registrované velikosti balení: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1 láhev o objemu 100 ml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1 láhev o objemu 1 l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szCs w:val="20"/>
        </w:rPr>
        <w:t>1 sud o objemu 5 l</w:t>
      </w:r>
      <w:r w:rsidRPr="009B68C9" w:rsidDel="00C249D6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9B68C9" w:rsidRPr="009B68C9" w:rsidRDefault="009B68C9" w:rsidP="009B68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B68C9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lang w:eastAsia="es-ES"/>
        </w:rPr>
        <w:t>Pouze pro zvířata.</w:t>
      </w:r>
    </w:p>
    <w:p w:rsidR="009B68C9" w:rsidRPr="009B68C9" w:rsidRDefault="009B68C9" w:rsidP="009B68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9B68C9">
        <w:rPr>
          <w:rFonts w:ascii="Times New Roman" w:eastAsia="Times New Roman" w:hAnsi="Times New Roman" w:cs="Times New Roman"/>
          <w:szCs w:val="20"/>
        </w:rPr>
        <w:t>Veterinární léčivý přípravek je vydáván pouze na předpis</w:t>
      </w:r>
      <w:r w:rsidRPr="009B68C9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6C3151" w:rsidRDefault="006C3151"/>
    <w:sectPr w:rsidR="006C3151" w:rsidSect="009B68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87" w:usb1="00000000" w:usb2="00000000" w:usb3="00000000" w:csb0="0000000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4"/>
    <w:rsid w:val="001405D3"/>
    <w:rsid w:val="002544B4"/>
    <w:rsid w:val="006C3151"/>
    <w:rsid w:val="009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2</cp:revision>
  <dcterms:created xsi:type="dcterms:W3CDTF">2018-07-24T07:38:00Z</dcterms:created>
  <dcterms:modified xsi:type="dcterms:W3CDTF">2018-07-24T07:40:00Z</dcterms:modified>
</cp:coreProperties>
</file>