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C22E" w14:textId="512A653F" w:rsidR="005E2142" w:rsidRDefault="005E2142" w:rsidP="005E2142">
      <w:pPr>
        <w:jc w:val="center"/>
      </w:pPr>
      <w:r>
        <w:rPr>
          <w:b/>
        </w:rPr>
        <w:t>PŘÍBALOVÁ INFORMACE</w:t>
      </w:r>
      <w:r w:rsidR="004E61F6">
        <w:rPr>
          <w:b/>
        </w:rPr>
        <w:t>:</w:t>
      </w:r>
    </w:p>
    <w:p w14:paraId="337E0D78" w14:textId="41DCEB97" w:rsidR="005E2142" w:rsidRDefault="005E2142" w:rsidP="005E2142">
      <w:pPr>
        <w:ind w:left="0" w:firstLine="0"/>
        <w:jc w:val="center"/>
      </w:pPr>
      <w:proofErr w:type="spellStart"/>
      <w:r>
        <w:rPr>
          <w:b/>
          <w:snapToGrid w:val="0"/>
          <w:szCs w:val="22"/>
        </w:rPr>
        <w:t>Porcilis</w:t>
      </w:r>
      <w:proofErr w:type="spellEnd"/>
      <w:r>
        <w:rPr>
          <w:b/>
          <w:snapToGrid w:val="0"/>
          <w:szCs w:val="22"/>
        </w:rPr>
        <w:t xml:space="preserve"> </w:t>
      </w:r>
      <w:proofErr w:type="spellStart"/>
      <w:r>
        <w:rPr>
          <w:b/>
          <w:snapToGrid w:val="0"/>
          <w:szCs w:val="22"/>
        </w:rPr>
        <w:t>Ery+Parvo</w:t>
      </w:r>
      <w:proofErr w:type="spellEnd"/>
      <w:r>
        <w:rPr>
          <w:b/>
          <w:snapToGrid w:val="0"/>
          <w:szCs w:val="22"/>
        </w:rPr>
        <w:t xml:space="preserve">  </w:t>
      </w:r>
      <w:r>
        <w:rPr>
          <w:snapToGrid w:val="0"/>
          <w:szCs w:val="22"/>
        </w:rPr>
        <w:t>injekční suspenze pro prasata</w:t>
      </w:r>
    </w:p>
    <w:p w14:paraId="05D780C3" w14:textId="77777777" w:rsidR="005E2142" w:rsidRDefault="005E2142" w:rsidP="005E2142"/>
    <w:p w14:paraId="37735A99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5C739534" w14:textId="77777777" w:rsidR="00642193" w:rsidRDefault="00642193" w:rsidP="00642193">
      <w:pPr>
        <w:ind w:firstLine="0"/>
        <w:jc w:val="both"/>
        <w:rPr>
          <w:lang w:val="sv-SE"/>
        </w:rPr>
      </w:pPr>
    </w:p>
    <w:p w14:paraId="1F6DA917" w14:textId="368D0E8A" w:rsidR="00642193" w:rsidRDefault="00642193" w:rsidP="00642193">
      <w:pPr>
        <w:ind w:firstLine="0"/>
        <w:jc w:val="both"/>
        <w:rPr>
          <w:lang w:val="sv-SE"/>
        </w:rPr>
      </w:pPr>
      <w:r>
        <w:rPr>
          <w:lang w:val="sv-SE"/>
        </w:rPr>
        <w:t>Držitel rozhodnutí o registraci a výrobce odpovědný za uvolnění šarže:</w:t>
      </w:r>
    </w:p>
    <w:p w14:paraId="5F675FAE" w14:textId="4745E500" w:rsidR="005E2142" w:rsidRDefault="005E2142" w:rsidP="005E2142">
      <w:pPr>
        <w:ind w:firstLine="0"/>
        <w:jc w:val="both"/>
        <w:rPr>
          <w:lang w:val="sv-SE"/>
        </w:rPr>
      </w:pPr>
      <w:r>
        <w:rPr>
          <w:lang w:val="sv-SE"/>
        </w:rPr>
        <w:t>Intervet International B.V.</w:t>
      </w:r>
    </w:p>
    <w:p w14:paraId="1BCE924B" w14:textId="77777777" w:rsidR="005E2142" w:rsidRDefault="005E2142" w:rsidP="005E2142">
      <w:pPr>
        <w:ind w:firstLine="0"/>
        <w:jc w:val="both"/>
        <w:rPr>
          <w:lang w:val="sv-SE"/>
        </w:rPr>
      </w:pPr>
      <w:r>
        <w:rPr>
          <w:lang w:val="sv-SE"/>
        </w:rPr>
        <w:t>Wim de Körverstraat 35</w:t>
      </w:r>
    </w:p>
    <w:p w14:paraId="5ECF194B" w14:textId="77777777" w:rsidR="005E2142" w:rsidRDefault="005E2142" w:rsidP="005E2142">
      <w:pPr>
        <w:ind w:firstLine="0"/>
        <w:jc w:val="both"/>
      </w:pPr>
      <w:r>
        <w:t>5831 AN BOXMEER</w:t>
      </w:r>
    </w:p>
    <w:p w14:paraId="4A0A281D" w14:textId="77777777" w:rsidR="005E2142" w:rsidRDefault="005E2142" w:rsidP="005E2142">
      <w:pPr>
        <w:ind w:firstLine="0"/>
        <w:jc w:val="both"/>
      </w:pPr>
      <w:r>
        <w:t>Nizozemsko</w:t>
      </w:r>
    </w:p>
    <w:p w14:paraId="02B1C086" w14:textId="1D0844A6" w:rsidR="005E2142" w:rsidRDefault="005E2142" w:rsidP="005E2142"/>
    <w:p w14:paraId="613E659A" w14:textId="77777777" w:rsidR="00642193" w:rsidRDefault="00642193" w:rsidP="005E2142"/>
    <w:p w14:paraId="78337BF0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1BD5052C" w14:textId="77777777" w:rsidR="00642193" w:rsidRDefault="00642193" w:rsidP="005E2142">
      <w:pPr>
        <w:ind w:firstLine="0"/>
        <w:rPr>
          <w:b/>
          <w:snapToGrid w:val="0"/>
          <w:szCs w:val="22"/>
        </w:rPr>
      </w:pPr>
    </w:p>
    <w:p w14:paraId="6A26AD49" w14:textId="60E66A27" w:rsidR="005E2142" w:rsidRPr="00C05FF7" w:rsidRDefault="005E2142" w:rsidP="005E2142">
      <w:pPr>
        <w:ind w:firstLine="0"/>
      </w:pPr>
      <w:proofErr w:type="spellStart"/>
      <w:r w:rsidRPr="00C05FF7">
        <w:rPr>
          <w:snapToGrid w:val="0"/>
          <w:szCs w:val="22"/>
        </w:rPr>
        <w:t>Porcilis</w:t>
      </w:r>
      <w:proofErr w:type="spellEnd"/>
      <w:r w:rsidRPr="00C05FF7">
        <w:rPr>
          <w:snapToGrid w:val="0"/>
          <w:szCs w:val="22"/>
        </w:rPr>
        <w:t xml:space="preserve"> </w:t>
      </w:r>
      <w:proofErr w:type="spellStart"/>
      <w:r w:rsidRPr="00C05FF7">
        <w:rPr>
          <w:snapToGrid w:val="0"/>
          <w:szCs w:val="22"/>
        </w:rPr>
        <w:t>Ery+Parvo</w:t>
      </w:r>
      <w:proofErr w:type="spellEnd"/>
      <w:r w:rsidRPr="00C05FF7">
        <w:rPr>
          <w:snapToGrid w:val="0"/>
          <w:szCs w:val="22"/>
        </w:rPr>
        <w:t xml:space="preserve">  </w:t>
      </w:r>
      <w:r w:rsidRPr="009F67D0">
        <w:rPr>
          <w:snapToGrid w:val="0"/>
          <w:szCs w:val="22"/>
        </w:rPr>
        <w:t>injekční suspenze pro prasata</w:t>
      </w:r>
    </w:p>
    <w:p w14:paraId="68D2A71A" w14:textId="31CCA1DC" w:rsidR="005E2142" w:rsidRDefault="005E2142" w:rsidP="005E2142">
      <w:pPr>
        <w:ind w:firstLine="567"/>
        <w:rPr>
          <w:b/>
        </w:rPr>
      </w:pPr>
    </w:p>
    <w:p w14:paraId="126A3164" w14:textId="77777777" w:rsidR="00642193" w:rsidRDefault="00642193" w:rsidP="005E2142">
      <w:pPr>
        <w:ind w:firstLine="567"/>
        <w:rPr>
          <w:b/>
        </w:rPr>
      </w:pPr>
    </w:p>
    <w:p w14:paraId="74618BA0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2B6507D0" w14:textId="77777777" w:rsidR="00642193" w:rsidRDefault="00642193" w:rsidP="005E2142">
      <w:pPr>
        <w:ind w:firstLine="0"/>
        <w:rPr>
          <w:iCs/>
          <w:szCs w:val="22"/>
        </w:rPr>
      </w:pPr>
    </w:p>
    <w:p w14:paraId="5D366AA4" w14:textId="028341DF" w:rsidR="005E2142" w:rsidRDefault="009F67D0" w:rsidP="005E2142">
      <w:pPr>
        <w:ind w:firstLine="0"/>
        <w:rPr>
          <w:iCs/>
          <w:szCs w:val="22"/>
        </w:rPr>
      </w:pPr>
      <w:r>
        <w:rPr>
          <w:iCs/>
          <w:szCs w:val="22"/>
        </w:rPr>
        <w:t>Každá d</w:t>
      </w:r>
      <w:r w:rsidR="005E2142">
        <w:rPr>
          <w:iCs/>
          <w:szCs w:val="22"/>
        </w:rPr>
        <w:t>ávka (2 ml) obsahuje:</w:t>
      </w:r>
    </w:p>
    <w:p w14:paraId="0BA5F69D" w14:textId="77777777" w:rsidR="005E2142" w:rsidRDefault="005E2142" w:rsidP="005E2142">
      <w:pPr>
        <w:ind w:firstLine="0"/>
        <w:rPr>
          <w:iCs/>
          <w:szCs w:val="22"/>
        </w:rPr>
      </w:pPr>
    </w:p>
    <w:p w14:paraId="78F2A120" w14:textId="7B724E48" w:rsidR="005E2142" w:rsidRDefault="005E2142" w:rsidP="005E2142">
      <w:pPr>
        <w:tabs>
          <w:tab w:val="left" w:leader="dot" w:pos="6804"/>
          <w:tab w:val="left" w:pos="7938"/>
        </w:tabs>
        <w:rPr>
          <w:b/>
          <w:iCs/>
          <w:szCs w:val="22"/>
        </w:rPr>
      </w:pPr>
      <w:r>
        <w:rPr>
          <w:b/>
          <w:iCs/>
          <w:szCs w:val="22"/>
        </w:rPr>
        <w:t xml:space="preserve">          Léčivé látky</w:t>
      </w:r>
      <w:r w:rsidR="009F67D0">
        <w:rPr>
          <w:b/>
          <w:iCs/>
          <w:szCs w:val="22"/>
        </w:rPr>
        <w:t>:</w:t>
      </w:r>
    </w:p>
    <w:p w14:paraId="0F1C3C64" w14:textId="0082CA7A" w:rsidR="005E2142" w:rsidRDefault="005E2142" w:rsidP="005E2142">
      <w:pPr>
        <w:tabs>
          <w:tab w:val="left" w:leader="dot" w:pos="6804"/>
          <w:tab w:val="left" w:pos="7938"/>
        </w:tabs>
        <w:rPr>
          <w:iCs/>
          <w:szCs w:val="22"/>
        </w:rPr>
      </w:pPr>
      <w:r>
        <w:rPr>
          <w:iCs/>
          <w:szCs w:val="22"/>
        </w:rPr>
        <w:tab/>
      </w:r>
      <w:proofErr w:type="spellStart"/>
      <w:r w:rsidRPr="00C05FF7">
        <w:rPr>
          <w:i/>
          <w:iCs/>
          <w:szCs w:val="22"/>
        </w:rPr>
        <w:t>Erysipelothrix</w:t>
      </w:r>
      <w:proofErr w:type="spellEnd"/>
      <w:r w:rsidRPr="00C05FF7">
        <w:rPr>
          <w:i/>
          <w:iCs/>
          <w:szCs w:val="22"/>
        </w:rPr>
        <w:t xml:space="preserve"> </w:t>
      </w:r>
      <w:proofErr w:type="spellStart"/>
      <w:r w:rsidRPr="00C05FF7">
        <w:rPr>
          <w:i/>
          <w:iCs/>
          <w:szCs w:val="22"/>
        </w:rPr>
        <w:t>rhusiopathiae</w:t>
      </w:r>
      <w:proofErr w:type="spellEnd"/>
      <w:r w:rsidR="009F67D0">
        <w:rPr>
          <w:i/>
          <w:iCs/>
          <w:szCs w:val="22"/>
        </w:rPr>
        <w:t>,</w:t>
      </w:r>
      <w:r w:rsidR="009F67D0" w:rsidRPr="009F67D0">
        <w:rPr>
          <w:iCs/>
          <w:szCs w:val="22"/>
        </w:rPr>
        <w:t xml:space="preserve"> </w:t>
      </w:r>
      <w:r w:rsidR="009F67D0">
        <w:rPr>
          <w:iCs/>
          <w:szCs w:val="22"/>
        </w:rPr>
        <w:t>inaktivovaná,</w:t>
      </w:r>
      <w:r w:rsidR="009F67D0" w:rsidRPr="003F50C9">
        <w:t xml:space="preserve"> </w:t>
      </w:r>
      <w:r w:rsidR="009F67D0">
        <w:rPr>
          <w:iCs/>
          <w:szCs w:val="22"/>
        </w:rPr>
        <w:t>sérotyp 2 (</w:t>
      </w:r>
      <w:r w:rsidR="009F67D0" w:rsidRPr="003F50C9">
        <w:rPr>
          <w:iCs/>
          <w:szCs w:val="22"/>
        </w:rPr>
        <w:t>kmen</w:t>
      </w:r>
      <w:r w:rsidR="009F67D0">
        <w:rPr>
          <w:iCs/>
          <w:szCs w:val="22"/>
        </w:rPr>
        <w:t xml:space="preserve"> </w:t>
      </w:r>
      <w:proofErr w:type="gramStart"/>
      <w:r w:rsidR="009F67D0">
        <w:rPr>
          <w:iCs/>
          <w:szCs w:val="22"/>
        </w:rPr>
        <w:t xml:space="preserve">M2) </w:t>
      </w:r>
      <w:r>
        <w:rPr>
          <w:iCs/>
          <w:szCs w:val="22"/>
        </w:rPr>
        <w:t xml:space="preserve">               min.</w:t>
      </w:r>
      <w:proofErr w:type="gramEnd"/>
      <w:r>
        <w:rPr>
          <w:iCs/>
          <w:szCs w:val="22"/>
        </w:rPr>
        <w:t xml:space="preserve"> 50 IU</w:t>
      </w:r>
      <w:r>
        <w:rPr>
          <w:iCs/>
          <w:szCs w:val="22"/>
          <w:vertAlign w:val="superscript"/>
        </w:rPr>
        <w:t>*</w:t>
      </w:r>
    </w:p>
    <w:p w14:paraId="4945943B" w14:textId="787497F9" w:rsidR="005E2142" w:rsidRDefault="005E2142" w:rsidP="005E2142">
      <w:pPr>
        <w:tabs>
          <w:tab w:val="left" w:leader="dot" w:pos="6804"/>
          <w:tab w:val="left" w:pos="7938"/>
        </w:tabs>
        <w:rPr>
          <w:szCs w:val="22"/>
        </w:rPr>
      </w:pPr>
      <w:r>
        <w:rPr>
          <w:iCs/>
          <w:szCs w:val="22"/>
        </w:rPr>
        <w:tab/>
      </w:r>
      <w:proofErr w:type="spellStart"/>
      <w:r>
        <w:rPr>
          <w:iCs/>
          <w:szCs w:val="22"/>
        </w:rPr>
        <w:t>Parvovirus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suis</w:t>
      </w:r>
      <w:proofErr w:type="spellEnd"/>
      <w:r w:rsidR="009F67D0">
        <w:rPr>
          <w:iCs/>
          <w:szCs w:val="22"/>
        </w:rPr>
        <w:t xml:space="preserve">, </w:t>
      </w:r>
      <w:proofErr w:type="spellStart"/>
      <w:r w:rsidR="009F67D0" w:rsidRPr="009F67D0">
        <w:rPr>
          <w:iCs/>
          <w:szCs w:val="22"/>
        </w:rPr>
        <w:t>inactivatum</w:t>
      </w:r>
      <w:proofErr w:type="spellEnd"/>
      <w:r>
        <w:rPr>
          <w:iCs/>
          <w:szCs w:val="22"/>
        </w:rPr>
        <w:t xml:space="preserve"> (</w:t>
      </w:r>
      <w:r w:rsidR="009F67D0">
        <w:rPr>
          <w:iCs/>
          <w:szCs w:val="22"/>
        </w:rPr>
        <w:t>kmen</w:t>
      </w:r>
      <w:r>
        <w:rPr>
          <w:iCs/>
          <w:szCs w:val="22"/>
        </w:rPr>
        <w:t xml:space="preserve"> 014)                                  </w:t>
      </w:r>
      <w:r w:rsidR="00C05FF7">
        <w:rPr>
          <w:iCs/>
          <w:szCs w:val="22"/>
        </w:rPr>
        <w:t xml:space="preserve">                     </w:t>
      </w:r>
      <w:r>
        <w:rPr>
          <w:iCs/>
          <w:szCs w:val="22"/>
        </w:rPr>
        <w:t xml:space="preserve"> </w:t>
      </w:r>
      <w:r>
        <w:rPr>
          <w:szCs w:val="22"/>
        </w:rPr>
        <w:t>≥ 552 EU</w:t>
      </w:r>
      <w:r>
        <w:rPr>
          <w:szCs w:val="22"/>
          <w:vertAlign w:val="superscript"/>
        </w:rPr>
        <w:t>**</w:t>
      </w:r>
    </w:p>
    <w:p w14:paraId="0D54755A" w14:textId="77777777" w:rsidR="005E2142" w:rsidRDefault="005E2142" w:rsidP="005E2142">
      <w:pPr>
        <w:tabs>
          <w:tab w:val="left" w:leader="dot" w:pos="6804"/>
          <w:tab w:val="left" w:pos="7938"/>
        </w:tabs>
        <w:ind w:left="600" w:firstLine="0"/>
        <w:rPr>
          <w:szCs w:val="22"/>
        </w:rPr>
      </w:pPr>
    </w:p>
    <w:p w14:paraId="7C26AFF8" w14:textId="77777777" w:rsidR="005E2142" w:rsidRDefault="005E2142" w:rsidP="005E2142">
      <w:pPr>
        <w:tabs>
          <w:tab w:val="left" w:leader="dot" w:pos="6804"/>
          <w:tab w:val="left" w:pos="7938"/>
        </w:tabs>
        <w:ind w:left="600" w:firstLine="0"/>
        <w:rPr>
          <w:szCs w:val="22"/>
        </w:rPr>
      </w:pPr>
      <w:r>
        <w:rPr>
          <w:szCs w:val="22"/>
          <w:vertAlign w:val="superscript"/>
        </w:rPr>
        <w:t>*</w:t>
      </w:r>
      <w:r>
        <w:rPr>
          <w:szCs w:val="22"/>
        </w:rPr>
        <w:t xml:space="preserve"> dle testu účinnosti </w:t>
      </w:r>
    </w:p>
    <w:p w14:paraId="7339B8B9" w14:textId="77777777" w:rsidR="005E2142" w:rsidRDefault="005E2142" w:rsidP="005E2142">
      <w:pPr>
        <w:tabs>
          <w:tab w:val="left" w:pos="567"/>
          <w:tab w:val="left" w:pos="851"/>
          <w:tab w:val="left" w:pos="4253"/>
          <w:tab w:val="decimal" w:pos="5670"/>
          <w:tab w:val="left" w:pos="6096"/>
        </w:tabs>
        <w:rPr>
          <w:szCs w:val="22"/>
          <w:u w:val="single"/>
        </w:rPr>
      </w:pPr>
      <w:r>
        <w:rPr>
          <w:szCs w:val="22"/>
          <w:vertAlign w:val="superscript"/>
        </w:rPr>
        <w:tab/>
        <w:t xml:space="preserve">** </w:t>
      </w:r>
      <w:r>
        <w:rPr>
          <w:szCs w:val="22"/>
        </w:rPr>
        <w:t>stanoveno v konečném přípravku ELISA testem detekujícím množství antigenu</w:t>
      </w:r>
      <w:r>
        <w:rPr>
          <w:szCs w:val="22"/>
          <w:u w:val="single"/>
        </w:rPr>
        <w:t xml:space="preserve"> </w:t>
      </w:r>
    </w:p>
    <w:p w14:paraId="08708653" w14:textId="77777777" w:rsidR="005E2142" w:rsidRDefault="005E2142" w:rsidP="005E2142">
      <w:pPr>
        <w:ind w:firstLine="0"/>
        <w:rPr>
          <w:iCs/>
          <w:szCs w:val="22"/>
        </w:rPr>
      </w:pPr>
    </w:p>
    <w:p w14:paraId="5FDDCE08" w14:textId="77777777" w:rsidR="005E2142" w:rsidRDefault="005E2142" w:rsidP="005E2142">
      <w:pPr>
        <w:ind w:firstLine="0"/>
        <w:rPr>
          <w:b/>
          <w:iCs/>
          <w:szCs w:val="22"/>
        </w:rPr>
      </w:pPr>
      <w:r>
        <w:rPr>
          <w:b/>
          <w:iCs/>
          <w:szCs w:val="22"/>
        </w:rPr>
        <w:t>Adjuvans</w:t>
      </w:r>
    </w:p>
    <w:p w14:paraId="5B35E55E" w14:textId="6C55E03E" w:rsidR="005E2142" w:rsidRDefault="005E2142" w:rsidP="005E2142">
      <w:pPr>
        <w:ind w:firstLine="0"/>
        <w:rPr>
          <w:b/>
        </w:rPr>
      </w:pPr>
      <w:r>
        <w:rPr>
          <w:iCs/>
          <w:szCs w:val="22"/>
        </w:rPr>
        <w:t>dl-</w:t>
      </w:r>
      <w:r>
        <w:rPr>
          <w:iCs/>
          <w:szCs w:val="22"/>
          <w:lang w:val="en-US"/>
        </w:rPr>
        <w:sym w:font="Symbol" w:char="F061"/>
      </w:r>
      <w:r>
        <w:rPr>
          <w:iCs/>
          <w:szCs w:val="22"/>
        </w:rPr>
        <w:t>-tokoferol acetát</w:t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>
        <w:rPr>
          <w:iCs/>
          <w:szCs w:val="22"/>
        </w:rPr>
        <w:tab/>
      </w:r>
      <w:r w:rsidR="009F67D0" w:rsidRPr="009F67D0">
        <w:rPr>
          <w:iCs/>
          <w:szCs w:val="22"/>
        </w:rPr>
        <w:t xml:space="preserve">150 mg </w:t>
      </w:r>
    </w:p>
    <w:p w14:paraId="3DAD2688" w14:textId="2A91A035" w:rsidR="005E2142" w:rsidRDefault="005E2142" w:rsidP="005E2142">
      <w:pPr>
        <w:ind w:firstLine="0"/>
      </w:pPr>
    </w:p>
    <w:p w14:paraId="2FBBECBE" w14:textId="77777777" w:rsidR="00642193" w:rsidRDefault="00642193" w:rsidP="005E2142">
      <w:pPr>
        <w:ind w:firstLine="0"/>
      </w:pPr>
    </w:p>
    <w:p w14:paraId="36AC1203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6158F37D" w14:textId="77777777" w:rsidR="00642193" w:rsidRDefault="005E2142" w:rsidP="005E2142">
      <w:pPr>
        <w:rPr>
          <w:szCs w:val="22"/>
        </w:rPr>
      </w:pPr>
      <w:r>
        <w:rPr>
          <w:szCs w:val="22"/>
        </w:rPr>
        <w:t xml:space="preserve">          </w:t>
      </w:r>
    </w:p>
    <w:p w14:paraId="023BD86E" w14:textId="1F7B2AF8" w:rsidR="005E2142" w:rsidRDefault="00642193" w:rsidP="005E2142">
      <w:pPr>
        <w:rPr>
          <w:szCs w:val="22"/>
        </w:rPr>
      </w:pPr>
      <w:r>
        <w:rPr>
          <w:szCs w:val="22"/>
        </w:rPr>
        <w:t xml:space="preserve">          </w:t>
      </w:r>
      <w:r w:rsidR="005E2142">
        <w:rPr>
          <w:szCs w:val="22"/>
        </w:rPr>
        <w:t xml:space="preserve">Aktivní imunizace prasnic a prasniček proti července a k ochraně embryí a fétů před úmrtím způsobeném infekcí </w:t>
      </w:r>
      <w:proofErr w:type="spellStart"/>
      <w:r w:rsidR="005E2142">
        <w:rPr>
          <w:szCs w:val="22"/>
        </w:rPr>
        <w:t>parvovirem</w:t>
      </w:r>
      <w:proofErr w:type="spellEnd"/>
      <w:r w:rsidR="005E2142">
        <w:rPr>
          <w:szCs w:val="22"/>
        </w:rPr>
        <w:t xml:space="preserve"> prasat.</w:t>
      </w:r>
    </w:p>
    <w:p w14:paraId="4CEAB78C" w14:textId="77777777" w:rsidR="005E2142" w:rsidRDefault="005E2142" w:rsidP="005E2142">
      <w:pPr>
        <w:rPr>
          <w:szCs w:val="22"/>
        </w:rPr>
      </w:pPr>
      <w:r>
        <w:rPr>
          <w:szCs w:val="22"/>
        </w:rPr>
        <w:t xml:space="preserve">          </w:t>
      </w:r>
      <w:r w:rsidRPr="00C05FF7">
        <w:rPr>
          <w:i/>
          <w:szCs w:val="22"/>
        </w:rPr>
        <w:t xml:space="preserve">E. </w:t>
      </w:r>
      <w:proofErr w:type="spellStart"/>
      <w:proofErr w:type="gramStart"/>
      <w:r w:rsidRPr="00C05FF7">
        <w:rPr>
          <w:i/>
          <w:szCs w:val="22"/>
        </w:rPr>
        <w:t>rhusiopathiae</w:t>
      </w:r>
      <w:proofErr w:type="spellEnd"/>
      <w:proofErr w:type="gramEnd"/>
      <w:r>
        <w:rPr>
          <w:szCs w:val="22"/>
        </w:rPr>
        <w:t>: Nástup imunity: 3 týdny</w:t>
      </w:r>
    </w:p>
    <w:p w14:paraId="6390498E" w14:textId="6D8C5D27" w:rsidR="005E2142" w:rsidRDefault="005E2142" w:rsidP="005E2142">
      <w:pPr>
        <w:rPr>
          <w:szCs w:val="22"/>
        </w:rPr>
      </w:pPr>
      <w:r>
        <w:rPr>
          <w:szCs w:val="22"/>
        </w:rPr>
        <w:t xml:space="preserve">     </w:t>
      </w:r>
      <w:r w:rsidR="00822191">
        <w:rPr>
          <w:szCs w:val="22"/>
        </w:rPr>
        <w:t xml:space="preserve">                                 </w:t>
      </w:r>
      <w:r>
        <w:rPr>
          <w:szCs w:val="22"/>
        </w:rPr>
        <w:t>Trvání imunity: 6 měsíců</w:t>
      </w:r>
    </w:p>
    <w:p w14:paraId="336BD4AE" w14:textId="3588A422" w:rsidR="005E2142" w:rsidRDefault="005E2142" w:rsidP="005E2142">
      <w:pPr>
        <w:rPr>
          <w:szCs w:val="22"/>
        </w:rPr>
      </w:pPr>
      <w:r>
        <w:rPr>
          <w:szCs w:val="22"/>
        </w:rPr>
        <w:t xml:space="preserve">          </w:t>
      </w:r>
      <w:proofErr w:type="spellStart"/>
      <w:r w:rsidR="00642193">
        <w:rPr>
          <w:szCs w:val="22"/>
        </w:rPr>
        <w:t>Parvovirus</w:t>
      </w:r>
      <w:proofErr w:type="spellEnd"/>
      <w:r w:rsidR="00642193">
        <w:rPr>
          <w:szCs w:val="22"/>
        </w:rPr>
        <w:t xml:space="preserve"> </w:t>
      </w:r>
      <w:proofErr w:type="spellStart"/>
      <w:r w:rsidR="00642193">
        <w:rPr>
          <w:szCs w:val="22"/>
        </w:rPr>
        <w:t>suis</w:t>
      </w:r>
      <w:proofErr w:type="spellEnd"/>
      <w:r>
        <w:rPr>
          <w:szCs w:val="22"/>
        </w:rPr>
        <w:t xml:space="preserve">: Jedna dávka nejpozději 2 týdny před prvním připuštěním dostatečně chrání po následující dvě březosti před poškozením způsobeným </w:t>
      </w:r>
      <w:proofErr w:type="spellStart"/>
      <w:r>
        <w:rPr>
          <w:szCs w:val="22"/>
        </w:rPr>
        <w:t>parvovirem</w:t>
      </w:r>
      <w:proofErr w:type="spellEnd"/>
      <w:r>
        <w:rPr>
          <w:szCs w:val="22"/>
        </w:rPr>
        <w:t xml:space="preserve"> prasat.  </w:t>
      </w:r>
    </w:p>
    <w:p w14:paraId="4ACAEDE7" w14:textId="5776068B" w:rsidR="005E2142" w:rsidRDefault="005E2142" w:rsidP="005E2142">
      <w:pPr>
        <w:rPr>
          <w:b/>
        </w:rPr>
      </w:pPr>
    </w:p>
    <w:p w14:paraId="65E5F44F" w14:textId="77777777" w:rsidR="00642193" w:rsidRDefault="00642193" w:rsidP="005E2142">
      <w:pPr>
        <w:rPr>
          <w:b/>
        </w:rPr>
      </w:pPr>
    </w:p>
    <w:p w14:paraId="661596D3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5.</w:t>
      </w:r>
      <w:r>
        <w:rPr>
          <w:b/>
        </w:rPr>
        <w:t xml:space="preserve"> </w:t>
      </w:r>
      <w:r>
        <w:rPr>
          <w:b/>
        </w:rPr>
        <w:tab/>
        <w:t>KONTRAINDIKACE</w:t>
      </w:r>
    </w:p>
    <w:p w14:paraId="6F49D387" w14:textId="77777777" w:rsidR="00642193" w:rsidRDefault="00642193" w:rsidP="005E2142">
      <w:pPr>
        <w:ind w:firstLine="0"/>
      </w:pPr>
    </w:p>
    <w:p w14:paraId="654809AC" w14:textId="0E445A53" w:rsidR="005E2142" w:rsidRDefault="005E2142" w:rsidP="005E2142">
      <w:pPr>
        <w:ind w:firstLine="0"/>
      </w:pPr>
      <w:r>
        <w:t>Nejsou.</w:t>
      </w:r>
    </w:p>
    <w:p w14:paraId="1595DAF4" w14:textId="77777777" w:rsidR="00C05FF7" w:rsidRDefault="00C05FF7" w:rsidP="005E2142">
      <w:pPr>
        <w:ind w:firstLine="0"/>
      </w:pPr>
    </w:p>
    <w:p w14:paraId="17A7F057" w14:textId="41DA7788" w:rsidR="005E2142" w:rsidRDefault="005E2142" w:rsidP="005E2142"/>
    <w:p w14:paraId="20BBFFD1" w14:textId="77777777" w:rsidR="005E2142" w:rsidRDefault="005E2142" w:rsidP="005E2142">
      <w:r w:rsidRPr="00C05FF7"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31F0907F" w14:textId="77777777" w:rsidR="00642193" w:rsidRDefault="00642193" w:rsidP="005E2142">
      <w:pPr>
        <w:ind w:firstLine="0"/>
        <w:rPr>
          <w:szCs w:val="22"/>
        </w:rPr>
      </w:pPr>
    </w:p>
    <w:p w14:paraId="0404A321" w14:textId="2BF71B7A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lastRenderedPageBreak/>
        <w:t xml:space="preserve">Velmi často se může objevit mírné přechodné zvýšení tělesné teploty </w:t>
      </w:r>
      <w:r w:rsidR="004E61F6">
        <w:rPr>
          <w:szCs w:val="22"/>
        </w:rPr>
        <w:t>(</w:t>
      </w:r>
      <w:r w:rsidR="004E61F6" w:rsidRPr="00570D8F">
        <w:rPr>
          <w:szCs w:val="22"/>
        </w:rPr>
        <w:t>0.5°C)</w:t>
      </w:r>
      <w:r w:rsidR="004E61F6">
        <w:rPr>
          <w:szCs w:val="22"/>
        </w:rPr>
        <w:t xml:space="preserve"> po dobu </w:t>
      </w:r>
      <w:r w:rsidR="004E61F6" w:rsidRPr="00570D8F">
        <w:rPr>
          <w:szCs w:val="22"/>
        </w:rPr>
        <w:t>24</w:t>
      </w:r>
      <w:r w:rsidR="004E61F6">
        <w:rPr>
          <w:szCs w:val="22"/>
        </w:rPr>
        <w:t xml:space="preserve"> hodin</w:t>
      </w:r>
      <w:r w:rsidR="004E61F6" w:rsidRPr="009F67D0">
        <w:rPr>
          <w:szCs w:val="22"/>
        </w:rPr>
        <w:t xml:space="preserve"> </w:t>
      </w:r>
      <w:r w:rsidRPr="009F67D0">
        <w:rPr>
          <w:szCs w:val="22"/>
        </w:rPr>
        <w:t>a mírný přechodný otok v místě vpichu</w:t>
      </w:r>
      <w:r w:rsidR="004E61F6">
        <w:rPr>
          <w:szCs w:val="22"/>
        </w:rPr>
        <w:t xml:space="preserve"> </w:t>
      </w:r>
      <w:r w:rsidR="004E61F6" w:rsidRPr="00570D8F">
        <w:rPr>
          <w:szCs w:val="22"/>
        </w:rPr>
        <w:t>(Ø 1-10</w:t>
      </w:r>
      <w:r w:rsidR="001975C1">
        <w:rPr>
          <w:szCs w:val="22"/>
        </w:rPr>
        <w:t xml:space="preserve"> </w:t>
      </w:r>
      <w:r w:rsidR="004E61F6" w:rsidRPr="00570D8F">
        <w:rPr>
          <w:szCs w:val="22"/>
        </w:rPr>
        <w:t xml:space="preserve">mm) </w:t>
      </w:r>
      <w:r w:rsidR="004E61F6">
        <w:rPr>
          <w:szCs w:val="22"/>
        </w:rPr>
        <w:t>do 8 dnů</w:t>
      </w:r>
      <w:r w:rsidRPr="009F67D0">
        <w:rPr>
          <w:szCs w:val="22"/>
        </w:rPr>
        <w:t>.</w:t>
      </w:r>
      <w:r w:rsidR="004E61F6">
        <w:rPr>
          <w:szCs w:val="22"/>
        </w:rPr>
        <w:t xml:space="preserve"> </w:t>
      </w:r>
      <w:r w:rsidRPr="009F67D0">
        <w:rPr>
          <w:szCs w:val="22"/>
        </w:rPr>
        <w:t>Často se může vyskytnout přechodná neochota k pohybu.</w:t>
      </w:r>
    </w:p>
    <w:p w14:paraId="40F2DBCA" w14:textId="224F04F2" w:rsidR="009F67D0" w:rsidRDefault="004E61F6" w:rsidP="009F67D0">
      <w:pPr>
        <w:ind w:firstLine="0"/>
        <w:rPr>
          <w:szCs w:val="22"/>
        </w:rPr>
      </w:pPr>
      <w:r w:rsidRPr="004E61F6">
        <w:rPr>
          <w:szCs w:val="22"/>
        </w:rPr>
        <w:t>Velmi vzácně se může vyskytnout hypersenzitivní reakce.</w:t>
      </w:r>
    </w:p>
    <w:p w14:paraId="4C7D69F7" w14:textId="77777777" w:rsidR="004E61F6" w:rsidRPr="009F67D0" w:rsidRDefault="004E61F6" w:rsidP="009F67D0">
      <w:pPr>
        <w:ind w:firstLine="0"/>
        <w:rPr>
          <w:szCs w:val="22"/>
        </w:rPr>
      </w:pPr>
    </w:p>
    <w:p w14:paraId="3FE6B411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>Četnost nežádoucích účinků je charakterizována podle následujících pravidel:</w:t>
      </w:r>
    </w:p>
    <w:p w14:paraId="1096C84B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 xml:space="preserve">- velmi časté (nežádoucí </w:t>
      </w:r>
      <w:proofErr w:type="gramStart"/>
      <w:r w:rsidRPr="009F67D0">
        <w:rPr>
          <w:szCs w:val="22"/>
        </w:rPr>
        <w:t>účinek(</w:t>
      </w:r>
      <w:proofErr w:type="spellStart"/>
      <w:r w:rsidRPr="009F67D0">
        <w:rPr>
          <w:szCs w:val="22"/>
        </w:rPr>
        <w:t>nky</w:t>
      </w:r>
      <w:proofErr w:type="spellEnd"/>
      <w:proofErr w:type="gramEnd"/>
      <w:r w:rsidRPr="009F67D0">
        <w:rPr>
          <w:szCs w:val="22"/>
        </w:rPr>
        <w:t>) se projevily u více než 1 z 10 ošetřených zvířat)</w:t>
      </w:r>
    </w:p>
    <w:p w14:paraId="038EB01A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>- časté (u více než 1, ale méně než 10 ze 100 ošetřených zvířat)</w:t>
      </w:r>
    </w:p>
    <w:p w14:paraId="14069A88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>- neobvyklé (u více než 1, ale méně než 10 z 1000 ošetřených zvířat)</w:t>
      </w:r>
    </w:p>
    <w:p w14:paraId="5C631903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>- vzácné (u více než 1, ale méně než 10 z 10000 ošetřených zvířat)</w:t>
      </w:r>
    </w:p>
    <w:p w14:paraId="60C37E7A" w14:textId="77777777" w:rsidR="009F67D0" w:rsidRPr="009F67D0" w:rsidRDefault="009F67D0" w:rsidP="009F67D0">
      <w:pPr>
        <w:ind w:firstLine="0"/>
        <w:rPr>
          <w:szCs w:val="22"/>
        </w:rPr>
      </w:pPr>
      <w:r w:rsidRPr="009F67D0">
        <w:rPr>
          <w:szCs w:val="22"/>
        </w:rPr>
        <w:t>- velmi vzácné (u méně než 1 z 10000 ošetřených zvířat, včetně ojedinělých hlášení).</w:t>
      </w:r>
    </w:p>
    <w:p w14:paraId="5BC8E6AF" w14:textId="77777777" w:rsidR="004F0EED" w:rsidRDefault="004F0EED" w:rsidP="005E2142">
      <w:pPr>
        <w:rPr>
          <w:szCs w:val="22"/>
        </w:rPr>
      </w:pPr>
    </w:p>
    <w:p w14:paraId="43D89C07" w14:textId="5A4ADBFE" w:rsidR="005E2142" w:rsidRDefault="004F0EED" w:rsidP="00C05FF7">
      <w:pPr>
        <w:ind w:firstLine="0"/>
      </w:pPr>
      <w:r w:rsidRPr="004F0EED">
        <w:rPr>
          <w:szCs w:val="22"/>
        </w:rPr>
        <w:t>Jestliže zaznamenáte kterýkoliv z nežádoucích účinků a to i takové, které nejsou uvedeny v této příbalové informaci, nebo si myslíte, že léčivo nefung</w:t>
      </w:r>
      <w:r w:rsidR="00C05FF7">
        <w:rPr>
          <w:szCs w:val="22"/>
        </w:rPr>
        <w:t xml:space="preserve">uje, oznamte to, prosím, vašemu </w:t>
      </w:r>
      <w:r w:rsidRPr="004F0EED">
        <w:rPr>
          <w:szCs w:val="22"/>
        </w:rPr>
        <w:t>veterinárnímu lékaři.</w:t>
      </w:r>
    </w:p>
    <w:p w14:paraId="5B7100FC" w14:textId="77777777" w:rsidR="00642193" w:rsidRDefault="00642193" w:rsidP="005E2142"/>
    <w:p w14:paraId="67E697B3" w14:textId="77777777" w:rsidR="005E2142" w:rsidRDefault="005E2142" w:rsidP="005E2142">
      <w:r w:rsidRPr="00C05FF7"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1456A218" w14:textId="77777777" w:rsidR="005E2142" w:rsidRDefault="005E2142" w:rsidP="005E2142">
      <w:pPr>
        <w:ind w:firstLine="0"/>
      </w:pPr>
      <w:r>
        <w:t>Prasata (prasnice a prasničky)</w:t>
      </w:r>
    </w:p>
    <w:p w14:paraId="5A95340E" w14:textId="193FBAB0" w:rsidR="005E2142" w:rsidRDefault="005E2142" w:rsidP="005E2142">
      <w:pPr>
        <w:rPr>
          <w:b/>
        </w:rPr>
      </w:pPr>
    </w:p>
    <w:p w14:paraId="3CE99E12" w14:textId="77777777" w:rsidR="00642193" w:rsidRDefault="00642193" w:rsidP="005E2142">
      <w:pPr>
        <w:rPr>
          <w:b/>
        </w:rPr>
      </w:pPr>
    </w:p>
    <w:p w14:paraId="28FAE5EA" w14:textId="77777777" w:rsidR="005E2142" w:rsidRDefault="005E2142" w:rsidP="005E2142">
      <w:r w:rsidRPr="00C05FF7">
        <w:rPr>
          <w:b/>
          <w:highlight w:val="lightGray"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14:paraId="622AEE86" w14:textId="77777777" w:rsidR="00642193" w:rsidRDefault="00642193" w:rsidP="005E2142">
      <w:pPr>
        <w:pStyle w:val="Zkladntext"/>
        <w:ind w:firstLine="0"/>
      </w:pPr>
    </w:p>
    <w:p w14:paraId="3C52F9E8" w14:textId="322872CE" w:rsidR="005E2142" w:rsidRDefault="005E2142" w:rsidP="005E2142">
      <w:pPr>
        <w:pStyle w:val="Zkladntext"/>
        <w:ind w:firstLine="0"/>
      </w:pPr>
      <w:r>
        <w:t>Aplikuj</w:t>
      </w:r>
      <w:r w:rsidR="00642193">
        <w:t>t</w:t>
      </w:r>
      <w:r>
        <w:t xml:space="preserve">e </w:t>
      </w:r>
      <w:r w:rsidR="009F67D0">
        <w:t xml:space="preserve">jednu </w:t>
      </w:r>
      <w:proofErr w:type="spellStart"/>
      <w:r w:rsidR="009F67D0">
        <w:t>dávkuý</w:t>
      </w:r>
      <w:proofErr w:type="spellEnd"/>
      <w:r w:rsidR="009F67D0">
        <w:t xml:space="preserve"> </w:t>
      </w:r>
      <w:r>
        <w:t>2 ml hluboko intramuskulárně v krajině za uchem.</w:t>
      </w:r>
    </w:p>
    <w:p w14:paraId="564A0016" w14:textId="77777777" w:rsidR="005E2142" w:rsidRDefault="005E2142" w:rsidP="005E2142">
      <w:pPr>
        <w:pStyle w:val="Zkladntext"/>
      </w:pPr>
    </w:p>
    <w:p w14:paraId="6FF23EC8" w14:textId="77777777" w:rsidR="005E2142" w:rsidRDefault="005E2142" w:rsidP="005E2142">
      <w:pPr>
        <w:pStyle w:val="Zkladntext"/>
        <w:ind w:firstLine="0"/>
        <w:jc w:val="left"/>
      </w:pPr>
      <w:r>
        <w:t>Základní vakcinace:</w:t>
      </w:r>
    </w:p>
    <w:p w14:paraId="3B5F62FC" w14:textId="77777777" w:rsidR="005E2142" w:rsidRDefault="005E2142" w:rsidP="005E2142">
      <w:pPr>
        <w:pStyle w:val="Zkladntext"/>
        <w:ind w:firstLine="0"/>
        <w:jc w:val="left"/>
      </w:pPr>
      <w:r>
        <w:t xml:space="preserve">Chráněnosti proti července a </w:t>
      </w:r>
      <w:proofErr w:type="spellStart"/>
      <w:r>
        <w:t>parvoviróze</w:t>
      </w:r>
      <w:proofErr w:type="spellEnd"/>
      <w:r>
        <w:t xml:space="preserve"> prasat se musí dosáhnout u prasniček před prvním připouštěním.  Jedna dávka nejpozději 2 týdny před připuštěním dostatečně chrání po následující dvě březosti před poškozením způsobeným </w:t>
      </w:r>
      <w:proofErr w:type="spellStart"/>
      <w:r>
        <w:t>parvovirem</w:t>
      </w:r>
      <w:proofErr w:type="spellEnd"/>
      <w:r>
        <w:t xml:space="preserve"> prasat. K navození ochrany proti července je nezbytná dvojí vakcinace jako základ. Toho lze dosáhnout jednou aplikací vakcíny proti července </w:t>
      </w:r>
      <w:proofErr w:type="spellStart"/>
      <w:r>
        <w:t>Porcilis</w:t>
      </w:r>
      <w:proofErr w:type="spellEnd"/>
      <w:r>
        <w:t xml:space="preserve"> Ery buď 4 týdny před nebo 4 týdny po aplikaci kombinované vakcíny </w:t>
      </w:r>
      <w:proofErr w:type="spellStart"/>
      <w:r>
        <w:t>Porcilis</w:t>
      </w:r>
      <w:proofErr w:type="spellEnd"/>
      <w:r>
        <w:t xml:space="preserve"> </w:t>
      </w:r>
      <w:proofErr w:type="spellStart"/>
      <w:r>
        <w:t>Ery+Parvo</w:t>
      </w:r>
      <w:proofErr w:type="spellEnd"/>
      <w:r>
        <w:t xml:space="preserve">. </w:t>
      </w:r>
    </w:p>
    <w:p w14:paraId="55653FC7" w14:textId="77777777" w:rsidR="005E2142" w:rsidRDefault="005E2142" w:rsidP="005E2142">
      <w:pPr>
        <w:pStyle w:val="Zkladntext"/>
      </w:pPr>
    </w:p>
    <w:p w14:paraId="284C9427" w14:textId="77777777" w:rsidR="005E2142" w:rsidRDefault="005E2142" w:rsidP="005E2142">
      <w:pPr>
        <w:pStyle w:val="Zkladntext"/>
        <w:ind w:firstLine="0"/>
        <w:jc w:val="left"/>
      </w:pPr>
      <w:r>
        <w:t>Revakcinace:</w:t>
      </w:r>
    </w:p>
    <w:p w14:paraId="1CDC745C" w14:textId="77777777" w:rsidR="005E2142" w:rsidRDefault="005E2142" w:rsidP="005E2142">
      <w:pPr>
        <w:pStyle w:val="Zkladntext"/>
        <w:ind w:firstLine="0"/>
        <w:jc w:val="left"/>
      </w:pPr>
      <w:proofErr w:type="spellStart"/>
      <w:r>
        <w:t>Revakcinuje</w:t>
      </w:r>
      <w:proofErr w:type="spellEnd"/>
      <w:r>
        <w:t xml:space="preserve"> se jedenkrát ročně, v průběhu laktace, 2-4 týdny před připuštěním, doplněno o aplikaci vakcíny proti července </w:t>
      </w:r>
      <w:proofErr w:type="spellStart"/>
      <w:r>
        <w:t>Porcilis</w:t>
      </w:r>
      <w:proofErr w:type="spellEnd"/>
      <w:r>
        <w:t xml:space="preserve"> Ery za 6 měsíců po každé aplikaci vakcíny </w:t>
      </w:r>
      <w:proofErr w:type="spellStart"/>
      <w:r>
        <w:t>Porcilis</w:t>
      </w:r>
      <w:proofErr w:type="spellEnd"/>
      <w:r>
        <w:t xml:space="preserve"> </w:t>
      </w:r>
      <w:proofErr w:type="spellStart"/>
      <w:r>
        <w:t>Ery+Parvo</w:t>
      </w:r>
      <w:proofErr w:type="spellEnd"/>
      <w:r>
        <w:t>.</w:t>
      </w:r>
    </w:p>
    <w:p w14:paraId="5068BF3E" w14:textId="6961F1DA" w:rsidR="005E2142" w:rsidRDefault="005E2142" w:rsidP="005E2142">
      <w:pPr>
        <w:pStyle w:val="Zkladntext"/>
        <w:ind w:firstLine="0"/>
        <w:rPr>
          <w:szCs w:val="22"/>
        </w:rPr>
      </w:pPr>
    </w:p>
    <w:p w14:paraId="6D8825D0" w14:textId="77777777" w:rsidR="00642193" w:rsidRDefault="00642193" w:rsidP="005E2142">
      <w:pPr>
        <w:pStyle w:val="Zkladntext"/>
        <w:ind w:firstLine="0"/>
        <w:rPr>
          <w:szCs w:val="22"/>
        </w:rPr>
      </w:pPr>
    </w:p>
    <w:p w14:paraId="5D7D94D9" w14:textId="77777777" w:rsidR="005E2142" w:rsidRDefault="005E2142" w:rsidP="005E2142">
      <w:r w:rsidRPr="00C05FF7"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35C4352E" w14:textId="77777777" w:rsidR="005E2142" w:rsidRDefault="005E2142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</w:rPr>
      </w:pPr>
    </w:p>
    <w:p w14:paraId="4338F236" w14:textId="77777777" w:rsidR="005E2142" w:rsidRDefault="005E2142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</w:rPr>
      </w:pPr>
      <w:r>
        <w:rPr>
          <w:spacing w:val="-3"/>
        </w:rPr>
        <w:t xml:space="preserve">Před použitím nechat vakcínu pomalu ohřát na pokojovou teplotu (15-25°C). </w:t>
      </w:r>
    </w:p>
    <w:p w14:paraId="7AB0ECE9" w14:textId="54C909B9" w:rsidR="005E2142" w:rsidRDefault="005E2142" w:rsidP="005E2142">
      <w:pPr>
        <w:pStyle w:val="Retrait1cm"/>
        <w:rPr>
          <w:spacing w:val="-3"/>
          <w:lang w:eastAsia="en-US"/>
        </w:rPr>
      </w:pPr>
      <w:r>
        <w:rPr>
          <w:spacing w:val="-3"/>
          <w:lang w:eastAsia="en-US"/>
        </w:rPr>
        <w:t xml:space="preserve">Před a během použití řádně </w:t>
      </w:r>
      <w:r w:rsidR="009F67D0">
        <w:rPr>
          <w:spacing w:val="-3"/>
          <w:lang w:eastAsia="en-US"/>
        </w:rPr>
        <w:t>protřepat</w:t>
      </w:r>
      <w:r>
        <w:rPr>
          <w:spacing w:val="-3"/>
          <w:lang w:eastAsia="en-US"/>
        </w:rPr>
        <w:t>.</w:t>
      </w:r>
    </w:p>
    <w:p w14:paraId="707DAB0A" w14:textId="7B204320" w:rsidR="005E2142" w:rsidRDefault="005E2142" w:rsidP="005E2142">
      <w:pPr>
        <w:pStyle w:val="Retrait1cm"/>
      </w:pPr>
      <w:r>
        <w:t>Používejte sterilní injekční jehly a stříkačky.</w:t>
      </w:r>
    </w:p>
    <w:p w14:paraId="70EF3869" w14:textId="016CEB3B" w:rsidR="009F67D0" w:rsidRDefault="009F67D0" w:rsidP="005E2142">
      <w:pPr>
        <w:pStyle w:val="Retrait1cm"/>
      </w:pPr>
      <w:r w:rsidRPr="009F67D0">
        <w:t>Zabraňte kontaminaci vícenásobným propíchnutím zátky.</w:t>
      </w:r>
    </w:p>
    <w:p w14:paraId="4A88EFD4" w14:textId="77777777" w:rsidR="009F67D0" w:rsidRDefault="009F67D0" w:rsidP="005E2142">
      <w:pPr>
        <w:pStyle w:val="Retrait1cm"/>
      </w:pPr>
    </w:p>
    <w:p w14:paraId="0B09D3F1" w14:textId="77777777" w:rsidR="009F67D0" w:rsidRDefault="009F67D0" w:rsidP="005E2142">
      <w:pPr>
        <w:pStyle w:val="Retrait1cm"/>
      </w:pPr>
    </w:p>
    <w:p w14:paraId="44FBCC13" w14:textId="554AE6A4" w:rsidR="005E2142" w:rsidRDefault="005E2142" w:rsidP="005E2142">
      <w:r w:rsidRPr="00C05FF7">
        <w:rPr>
          <w:b/>
          <w:highlight w:val="lightGray"/>
        </w:rPr>
        <w:t>10.</w:t>
      </w:r>
      <w:r>
        <w:rPr>
          <w:b/>
        </w:rPr>
        <w:tab/>
        <w:t>OCHRANNÁ</w:t>
      </w:r>
      <w:r w:rsidR="00642193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642193">
        <w:rPr>
          <w:b/>
        </w:rPr>
        <w:t>(Y)</w:t>
      </w:r>
      <w:proofErr w:type="gramEnd"/>
      <w:r>
        <w:rPr>
          <w:b/>
        </w:rPr>
        <w:t xml:space="preserve"> </w:t>
      </w:r>
    </w:p>
    <w:p w14:paraId="647FDE08" w14:textId="77777777" w:rsidR="00642193" w:rsidRDefault="005E2142" w:rsidP="005E2142">
      <w:pPr>
        <w:rPr>
          <w:iCs/>
        </w:rPr>
      </w:pPr>
      <w:r>
        <w:rPr>
          <w:iCs/>
        </w:rPr>
        <w:tab/>
      </w:r>
    </w:p>
    <w:p w14:paraId="0AD0DAF5" w14:textId="7334F00D" w:rsidR="005E2142" w:rsidRDefault="00642193" w:rsidP="005E2142">
      <w:pPr>
        <w:rPr>
          <w:iCs/>
        </w:rPr>
      </w:pPr>
      <w:r>
        <w:t xml:space="preserve">          </w:t>
      </w:r>
      <w:r w:rsidR="005E2142">
        <w:t>Bez ochranných lhůt.</w:t>
      </w:r>
    </w:p>
    <w:p w14:paraId="096CAB9E" w14:textId="1B1F92CD" w:rsidR="005E2142" w:rsidRDefault="005E2142" w:rsidP="005E2142">
      <w:pPr>
        <w:rPr>
          <w:iCs/>
        </w:rPr>
      </w:pPr>
    </w:p>
    <w:p w14:paraId="2900923C" w14:textId="77777777" w:rsidR="005E2142" w:rsidRDefault="005E2142" w:rsidP="005E2142">
      <w:r w:rsidRPr="00C05FF7"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3DEF3670" w14:textId="77777777" w:rsidR="00642193" w:rsidRDefault="00642193" w:rsidP="005E2142">
      <w:pPr>
        <w:ind w:firstLine="0"/>
        <w:rPr>
          <w:szCs w:val="22"/>
        </w:rPr>
      </w:pPr>
    </w:p>
    <w:p w14:paraId="3583786B" w14:textId="3F86E396" w:rsidR="00642193" w:rsidRDefault="00642193" w:rsidP="005E2142">
      <w:pPr>
        <w:ind w:firstLine="0"/>
        <w:rPr>
          <w:szCs w:val="22"/>
        </w:rPr>
      </w:pPr>
      <w:r>
        <w:rPr>
          <w:szCs w:val="22"/>
        </w:rPr>
        <w:t>Uchováv</w:t>
      </w:r>
      <w:r w:rsidR="004E61F6">
        <w:rPr>
          <w:szCs w:val="22"/>
        </w:rPr>
        <w:t>at</w:t>
      </w:r>
      <w:r>
        <w:rPr>
          <w:szCs w:val="22"/>
        </w:rPr>
        <w:t xml:space="preserve"> mimo dohled a dosah dětí.</w:t>
      </w:r>
    </w:p>
    <w:p w14:paraId="15F6C65D" w14:textId="7D30002B" w:rsidR="005E2142" w:rsidRDefault="005E2142" w:rsidP="005E2142">
      <w:pPr>
        <w:ind w:firstLine="0"/>
      </w:pPr>
      <w:r>
        <w:rPr>
          <w:szCs w:val="22"/>
        </w:rPr>
        <w:t>Uchovávejte v chladničce (2</w:t>
      </w:r>
      <w:r>
        <w:rPr>
          <w:szCs w:val="22"/>
        </w:rPr>
        <w:sym w:font="Symbol" w:char="F0B0"/>
      </w:r>
      <w:r>
        <w:rPr>
          <w:szCs w:val="22"/>
        </w:rPr>
        <w:t>C – 8</w:t>
      </w:r>
      <w:r>
        <w:rPr>
          <w:szCs w:val="22"/>
        </w:rPr>
        <w:sym w:font="Symbol" w:char="F0B0"/>
      </w:r>
      <w:r>
        <w:rPr>
          <w:szCs w:val="22"/>
        </w:rPr>
        <w:t>C).</w:t>
      </w:r>
    </w:p>
    <w:p w14:paraId="3724AAF6" w14:textId="77777777" w:rsidR="005E2142" w:rsidRDefault="005E2142" w:rsidP="005E2142">
      <w:pPr>
        <w:ind w:right="-318" w:firstLine="0"/>
      </w:pPr>
      <w:r>
        <w:t>Chraňte před mrazem.</w:t>
      </w:r>
    </w:p>
    <w:p w14:paraId="14BF7CA8" w14:textId="77777777" w:rsidR="005E2142" w:rsidRDefault="005E2142" w:rsidP="005E2142">
      <w:pPr>
        <w:ind w:right="-318" w:firstLine="0"/>
      </w:pPr>
      <w:r>
        <w:t>Chraňte před světlem.</w:t>
      </w:r>
    </w:p>
    <w:p w14:paraId="44D8DF75" w14:textId="77777777" w:rsidR="005E2142" w:rsidRDefault="005E2142" w:rsidP="005E2142">
      <w:pPr>
        <w:ind w:firstLine="0"/>
      </w:pPr>
    </w:p>
    <w:p w14:paraId="4F016AF6" w14:textId="387634FC" w:rsidR="005E2142" w:rsidRDefault="005E2142" w:rsidP="005E2142">
      <w:pPr>
        <w:ind w:left="0" w:right="-2" w:firstLine="567"/>
      </w:pPr>
      <w:r>
        <w:t>Nepoužívejte po uplynutí doby použitelnost</w:t>
      </w:r>
      <w:r w:rsidR="00822191">
        <w:t>i</w:t>
      </w:r>
      <w:r>
        <w:t xml:space="preserve"> uvedené na etiketě.</w:t>
      </w:r>
    </w:p>
    <w:p w14:paraId="047148F2" w14:textId="77777777" w:rsidR="005E2142" w:rsidRDefault="005E2142" w:rsidP="005E2142">
      <w:pPr>
        <w:ind w:left="0" w:right="-318" w:firstLine="567"/>
        <w:rPr>
          <w:szCs w:val="22"/>
        </w:rPr>
      </w:pPr>
      <w:r>
        <w:rPr>
          <w:szCs w:val="22"/>
        </w:rPr>
        <w:t>Doba použitelnosti po prvním otevření vnitřního obalu: 10 hodin.</w:t>
      </w:r>
    </w:p>
    <w:p w14:paraId="09081CC5" w14:textId="77777777" w:rsidR="005E2142" w:rsidRDefault="005E2142" w:rsidP="005E2142">
      <w:pPr>
        <w:ind w:left="0" w:right="-318" w:firstLine="567"/>
      </w:pPr>
    </w:p>
    <w:p w14:paraId="17447587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49D5207B" w14:textId="77777777" w:rsidR="00642193" w:rsidRDefault="00642193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u w:val="single"/>
        </w:rPr>
      </w:pPr>
    </w:p>
    <w:p w14:paraId="385D8C38" w14:textId="0784BD76" w:rsidR="005E2142" w:rsidRDefault="005E2142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u w:val="single"/>
        </w:rPr>
      </w:pPr>
      <w:r>
        <w:rPr>
          <w:spacing w:val="-3"/>
          <w:u w:val="single"/>
        </w:rPr>
        <w:t xml:space="preserve">Zvláštní </w:t>
      </w:r>
      <w:r w:rsidR="00642193">
        <w:rPr>
          <w:spacing w:val="-3"/>
          <w:u w:val="single"/>
        </w:rPr>
        <w:t>upozornění pro každý cílový druh</w:t>
      </w:r>
      <w:r>
        <w:rPr>
          <w:spacing w:val="-3"/>
          <w:u w:val="single"/>
        </w:rPr>
        <w:t>:</w:t>
      </w:r>
    </w:p>
    <w:p w14:paraId="77D90174" w14:textId="0A651310" w:rsidR="005E2142" w:rsidRDefault="005E2142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</w:rPr>
      </w:pPr>
      <w:r>
        <w:rPr>
          <w:spacing w:val="-3"/>
        </w:rPr>
        <w:t>Vakcinovat pouze zdravá zvířata.</w:t>
      </w:r>
    </w:p>
    <w:p w14:paraId="5B19B96C" w14:textId="77777777" w:rsidR="005E2142" w:rsidRDefault="005E2142" w:rsidP="005E2142">
      <w:pPr>
        <w:tabs>
          <w:tab w:val="left" w:pos="480"/>
          <w:tab w:val="left" w:pos="567"/>
        </w:tabs>
        <w:suppressAutoHyphens/>
        <w:ind w:left="1056" w:hanging="489"/>
        <w:rPr>
          <w:spacing w:val="-3"/>
        </w:rPr>
      </w:pPr>
    </w:p>
    <w:p w14:paraId="04EB4EDC" w14:textId="77777777" w:rsidR="005E2142" w:rsidRDefault="005E2142" w:rsidP="005E2142">
      <w:pPr>
        <w:tabs>
          <w:tab w:val="left" w:pos="567"/>
        </w:tabs>
        <w:suppressAutoHyphens/>
        <w:ind w:left="1056" w:hanging="489"/>
        <w:outlineLvl w:val="0"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14:paraId="2B3DC99E" w14:textId="13BA2E92" w:rsidR="00C05FF7" w:rsidRPr="003141AD" w:rsidRDefault="00C05FF7" w:rsidP="00C05FF7">
      <w:pPr>
        <w:tabs>
          <w:tab w:val="left" w:pos="567"/>
        </w:tabs>
        <w:suppressAutoHyphens/>
        <w:ind w:left="1056" w:hanging="489"/>
        <w:outlineLvl w:val="0"/>
        <w:rPr>
          <w:rStyle w:val="level2"/>
          <w:sz w:val="22"/>
          <w:szCs w:val="22"/>
          <w:u w:val="none"/>
        </w:rPr>
      </w:pPr>
      <w:r w:rsidRPr="003141AD">
        <w:rPr>
          <w:rStyle w:val="level2"/>
          <w:sz w:val="22"/>
          <w:szCs w:val="22"/>
          <w:u w:val="none"/>
        </w:rPr>
        <w:t>V případě náhodného sebepoškození injekčně aplikovaným přípravkem vyhledejte ihned</w:t>
      </w:r>
    </w:p>
    <w:p w14:paraId="0A2C151C" w14:textId="584B0966" w:rsidR="00C05FF7" w:rsidRPr="003141AD" w:rsidRDefault="00C05FF7" w:rsidP="00C05FF7">
      <w:pPr>
        <w:tabs>
          <w:tab w:val="left" w:pos="567"/>
        </w:tabs>
        <w:suppressAutoHyphens/>
        <w:ind w:left="1056" w:hanging="489"/>
        <w:outlineLvl w:val="0"/>
        <w:rPr>
          <w:rStyle w:val="level2"/>
          <w:sz w:val="22"/>
          <w:szCs w:val="22"/>
          <w:u w:val="none"/>
        </w:rPr>
      </w:pPr>
      <w:r w:rsidRPr="003141AD">
        <w:rPr>
          <w:rStyle w:val="level2"/>
          <w:sz w:val="22"/>
          <w:szCs w:val="22"/>
          <w:u w:val="none"/>
        </w:rPr>
        <w:t>lékařskou pomoc a ukažte příbalovou informaci nebo etiketu praktickému lékaři.</w:t>
      </w:r>
    </w:p>
    <w:p w14:paraId="0C25F84E" w14:textId="77777777" w:rsidR="005E2142" w:rsidRDefault="005E2142" w:rsidP="005E2142">
      <w:pPr>
        <w:ind w:firstLine="0"/>
      </w:pPr>
    </w:p>
    <w:p w14:paraId="27B37765" w14:textId="77777777" w:rsidR="005E2142" w:rsidRDefault="005E2142" w:rsidP="005E2142">
      <w:pPr>
        <w:tabs>
          <w:tab w:val="left" w:pos="567"/>
        </w:tabs>
        <w:rPr>
          <w:u w:val="single"/>
        </w:rPr>
      </w:pPr>
      <w:r>
        <w:t xml:space="preserve">          </w:t>
      </w:r>
      <w:r>
        <w:rPr>
          <w:u w:val="single"/>
        </w:rPr>
        <w:t>Březost a laktace:</w:t>
      </w:r>
    </w:p>
    <w:p w14:paraId="2AF813DE" w14:textId="483F7934" w:rsidR="005E2142" w:rsidRDefault="005E2142" w:rsidP="005E2142">
      <w:pPr>
        <w:pStyle w:val="spc2Char"/>
        <w:ind w:left="0" w:firstLine="567"/>
        <w:rPr>
          <w:lang w:val="cs-CZ"/>
        </w:rPr>
      </w:pPr>
      <w:r>
        <w:rPr>
          <w:lang w:val="cs-CZ"/>
        </w:rPr>
        <w:t>Nepoužív</w:t>
      </w:r>
      <w:r w:rsidR="004E61F6">
        <w:rPr>
          <w:lang w:val="cs-CZ"/>
        </w:rPr>
        <w:t>at</w:t>
      </w:r>
      <w:r>
        <w:rPr>
          <w:lang w:val="cs-CZ"/>
        </w:rPr>
        <w:t xml:space="preserve"> během březosti. Revakcinace se provádí v průběhu laktace.</w:t>
      </w:r>
    </w:p>
    <w:p w14:paraId="0A1EEBA4" w14:textId="77777777" w:rsidR="005E2142" w:rsidRDefault="005E2142" w:rsidP="005E2142">
      <w:pPr>
        <w:pStyle w:val="spc2Char"/>
        <w:ind w:left="0" w:firstLine="567"/>
        <w:rPr>
          <w:lang w:val="cs-CZ"/>
        </w:rPr>
      </w:pPr>
    </w:p>
    <w:p w14:paraId="5F42AAB3" w14:textId="77777777" w:rsidR="005E2142" w:rsidRDefault="005E2142" w:rsidP="005E2142">
      <w:pPr>
        <w:tabs>
          <w:tab w:val="left" w:pos="567"/>
        </w:tabs>
        <w:rPr>
          <w:u w:val="single"/>
        </w:rPr>
      </w:pPr>
      <w:r>
        <w:rPr>
          <w:b/>
        </w:rPr>
        <w:t xml:space="preserve">          </w:t>
      </w:r>
      <w:r>
        <w:rPr>
          <w:u w:val="single"/>
        </w:rPr>
        <w:t>Interakce s dalšími léčivými přípravky a další formy interakce:</w:t>
      </w:r>
    </w:p>
    <w:p w14:paraId="1B9B70BE" w14:textId="77777777" w:rsidR="005E2142" w:rsidRDefault="005E2142" w:rsidP="005E2142">
      <w:pPr>
        <w:pStyle w:val="Retrait1cm"/>
      </w:pPr>
      <w: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540E917" w14:textId="77777777" w:rsidR="005E2142" w:rsidRDefault="005E2142" w:rsidP="005E2142">
      <w:pPr>
        <w:pStyle w:val="Retrait1cm"/>
      </w:pPr>
    </w:p>
    <w:p w14:paraId="163AD673" w14:textId="77777777" w:rsidR="005E2142" w:rsidRDefault="005E2142" w:rsidP="005E2142">
      <w:pPr>
        <w:tabs>
          <w:tab w:val="left" w:pos="567"/>
        </w:tabs>
        <w:rPr>
          <w:szCs w:val="22"/>
          <w:u w:val="single"/>
        </w:rPr>
      </w:pPr>
      <w:r>
        <w:rPr>
          <w:b/>
          <w:szCs w:val="22"/>
        </w:rPr>
        <w:t xml:space="preserve">          </w:t>
      </w: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):</w:t>
      </w:r>
    </w:p>
    <w:p w14:paraId="4B22D6AC" w14:textId="77777777" w:rsidR="004F0EED" w:rsidRDefault="004F0EED" w:rsidP="005E2142">
      <w:pPr>
        <w:pStyle w:val="Retrait1cm"/>
        <w:rPr>
          <w:szCs w:val="20"/>
          <w:lang w:eastAsia="en-US"/>
        </w:rPr>
      </w:pPr>
      <w:r w:rsidRPr="004F0EED">
        <w:rPr>
          <w:szCs w:val="20"/>
          <w:lang w:eastAsia="en-US"/>
        </w:rPr>
        <w:t>Po podání dvojnásobné dávky vakcíny nebyly pozorovány jiné nežádoucí účinky než ty, které byly popsány po podání jedné dávky.</w:t>
      </w:r>
    </w:p>
    <w:p w14:paraId="744A2C29" w14:textId="77777777" w:rsidR="005E2142" w:rsidRDefault="005E2142" w:rsidP="005E2142">
      <w:pPr>
        <w:pStyle w:val="Retrait1cm"/>
      </w:pPr>
    </w:p>
    <w:p w14:paraId="5C8D2930" w14:textId="77777777" w:rsidR="005E2142" w:rsidRDefault="005E2142" w:rsidP="005E2142">
      <w:pPr>
        <w:ind w:firstLine="0"/>
        <w:rPr>
          <w:u w:val="single"/>
        </w:rPr>
      </w:pPr>
      <w:r>
        <w:rPr>
          <w:u w:val="single"/>
        </w:rPr>
        <w:t>Inkompatibility:</w:t>
      </w:r>
    </w:p>
    <w:p w14:paraId="2E71FFDD" w14:textId="77777777" w:rsidR="005E2142" w:rsidRDefault="005E2142" w:rsidP="005E2142">
      <w:pPr>
        <w:pStyle w:val="Retrait1cm"/>
      </w:pPr>
      <w:r>
        <w:t>Nemísit s jiným veterinárním léčivým přípravkem.</w:t>
      </w:r>
    </w:p>
    <w:p w14:paraId="2CDDA8E1" w14:textId="77777777" w:rsidR="005E2142" w:rsidRDefault="005E2142" w:rsidP="005E2142"/>
    <w:p w14:paraId="4EA48F29" w14:textId="77777777" w:rsidR="005E2142" w:rsidRDefault="005E2142" w:rsidP="005E2142">
      <w:pPr>
        <w:rPr>
          <w:b/>
        </w:rPr>
      </w:pPr>
      <w:r w:rsidRPr="00C05FF7">
        <w:rPr>
          <w:b/>
          <w:highlight w:val="lightGray"/>
        </w:rPr>
        <w:t>13</w:t>
      </w:r>
      <w:r>
        <w:rPr>
          <w:b/>
        </w:rPr>
        <w:t>.</w:t>
      </w:r>
      <w:r>
        <w:rPr>
          <w:b/>
        </w:rPr>
        <w:tab/>
        <w:t>ZVLÁŠTNÍ OPATŘENÍ PRO ZNEŠKODŇOVÁNÍ NEPOUŽITÝCH PŘÍPRAVKŮ NEBO ODPADU, POKUD JE JICH TŘEBA</w:t>
      </w:r>
    </w:p>
    <w:p w14:paraId="716828C9" w14:textId="77777777" w:rsidR="00642193" w:rsidRDefault="00642193" w:rsidP="005E2142">
      <w:pPr>
        <w:pStyle w:val="Retrait1cm"/>
      </w:pPr>
    </w:p>
    <w:p w14:paraId="7E7252B6" w14:textId="73C2498F" w:rsidR="005E2142" w:rsidRDefault="00F93CB4" w:rsidP="005E2142">
      <w:pPr>
        <w:pStyle w:val="Retrait1cm"/>
      </w:pPr>
      <w:r>
        <w:t>O možnostech likvidace nepotřebných léčivých přípravků se poraďte s vaš</w:t>
      </w:r>
      <w:r w:rsidR="001975C1">
        <w:t>í</w:t>
      </w:r>
      <w:r>
        <w:t>m veterinárním lékařem. Tato opat</w:t>
      </w:r>
      <w:r w:rsidR="004F0EED">
        <w:t>ř</w:t>
      </w:r>
      <w:r>
        <w:t>ení napomáhají chránit životní prostředí.</w:t>
      </w:r>
    </w:p>
    <w:p w14:paraId="4D9F003A" w14:textId="77777777" w:rsidR="005E2142" w:rsidRDefault="005E2142" w:rsidP="005E2142">
      <w:pPr>
        <w:pStyle w:val="Retrait1cm"/>
      </w:pPr>
    </w:p>
    <w:p w14:paraId="31EC4F4F" w14:textId="45C647BF" w:rsidR="005E2142" w:rsidRDefault="00060DF7" w:rsidP="00060DF7">
      <w:pPr>
        <w:pStyle w:val="Retrait1cm"/>
        <w:ind w:left="0"/>
      </w:pPr>
      <w:proofErr w:type="gramStart"/>
      <w:r w:rsidRPr="00C05FF7">
        <w:rPr>
          <w:b/>
          <w:highlight w:val="lightGray"/>
        </w:rPr>
        <w:t>14.</w:t>
      </w:r>
      <w:r>
        <w:rPr>
          <w:b/>
        </w:rPr>
        <w:t xml:space="preserve">      </w:t>
      </w:r>
      <w:r w:rsidR="005E2142">
        <w:rPr>
          <w:b/>
        </w:rPr>
        <w:t>DATUM</w:t>
      </w:r>
      <w:proofErr w:type="gramEnd"/>
      <w:r w:rsidR="005E2142">
        <w:rPr>
          <w:b/>
        </w:rPr>
        <w:t xml:space="preserve"> POSLEDNÍ REVIZE PŘÍBALOVÉ INFORMACE</w:t>
      </w:r>
    </w:p>
    <w:p w14:paraId="51AB4C3C" w14:textId="77777777" w:rsidR="005E2142" w:rsidRDefault="005E2142" w:rsidP="005E2142">
      <w:pPr>
        <w:ind w:right="-318" w:firstLine="0"/>
      </w:pPr>
    </w:p>
    <w:p w14:paraId="7C4DF23A" w14:textId="34C28DB5" w:rsidR="005E2142" w:rsidRDefault="00DB37A4" w:rsidP="005E2142">
      <w:pPr>
        <w:ind w:right="-318" w:firstLine="0"/>
      </w:pPr>
      <w:r>
        <w:t xml:space="preserve">Září </w:t>
      </w:r>
      <w:bookmarkStart w:id="0" w:name="_GoBack"/>
      <w:bookmarkEnd w:id="0"/>
      <w:r w:rsidR="004F0EED">
        <w:t>2019</w:t>
      </w:r>
    </w:p>
    <w:p w14:paraId="0089DDE8" w14:textId="77777777" w:rsidR="00822191" w:rsidRDefault="00822191" w:rsidP="005E2142">
      <w:pPr>
        <w:ind w:right="-318" w:firstLine="0"/>
      </w:pPr>
    </w:p>
    <w:p w14:paraId="55528E3C" w14:textId="77777777" w:rsidR="005E2142" w:rsidRDefault="005E2142" w:rsidP="005E2142">
      <w:r w:rsidRPr="00C05FF7"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5B2774AE" w14:textId="77777777" w:rsidR="005E2142" w:rsidRDefault="005E2142" w:rsidP="005E2142"/>
    <w:p w14:paraId="13B40BBC" w14:textId="77777777" w:rsidR="005E2142" w:rsidRDefault="005E2142" w:rsidP="005E2142">
      <w:pPr>
        <w:rPr>
          <w:szCs w:val="22"/>
        </w:rPr>
      </w:pPr>
      <w:r>
        <w:tab/>
      </w:r>
      <w:r>
        <w:rPr>
          <w:szCs w:val="22"/>
        </w:rPr>
        <w:t>Veterinární léčivý přípravek je vydáván pouze na předpis.</w:t>
      </w:r>
    </w:p>
    <w:p w14:paraId="7D32DA93" w14:textId="77777777" w:rsidR="005E2142" w:rsidRDefault="005E2142" w:rsidP="005E2142">
      <w:pPr>
        <w:ind w:firstLine="0"/>
        <w:rPr>
          <w:szCs w:val="22"/>
        </w:rPr>
      </w:pPr>
      <w:r>
        <w:rPr>
          <w:szCs w:val="22"/>
        </w:rPr>
        <w:t>Pouze pro zvířata.</w:t>
      </w:r>
    </w:p>
    <w:p w14:paraId="22F82AD9" w14:textId="77777777" w:rsidR="005E2142" w:rsidRDefault="005E2142" w:rsidP="005E2142">
      <w:pPr>
        <w:ind w:left="0" w:firstLine="0"/>
      </w:pPr>
    </w:p>
    <w:p w14:paraId="25907A9C" w14:textId="77777777" w:rsidR="005E2142" w:rsidRDefault="005E2142" w:rsidP="005E2142">
      <w:pPr>
        <w:ind w:firstLine="0"/>
      </w:pPr>
      <w:r>
        <w:t>Velikost balení</w:t>
      </w:r>
    </w:p>
    <w:p w14:paraId="01DB97F5" w14:textId="5BC0FC24" w:rsidR="005E2142" w:rsidRPr="00C05FF7" w:rsidRDefault="005E2142" w:rsidP="00C05FF7">
      <w:pPr>
        <w:ind w:firstLine="0"/>
        <w:rPr>
          <w:snapToGrid w:val="0"/>
        </w:rPr>
      </w:pPr>
      <w:r>
        <w:rPr>
          <w:snapToGrid w:val="0"/>
        </w:rPr>
        <w:t>L</w:t>
      </w:r>
      <w:r w:rsidR="004E61F6">
        <w:rPr>
          <w:snapToGrid w:val="0"/>
        </w:rPr>
        <w:t>ahvička</w:t>
      </w:r>
      <w:r>
        <w:rPr>
          <w:snapToGrid w:val="0"/>
        </w:rPr>
        <w:t xml:space="preserve"> s propichovací zátkou o objemu 50 ml (25 dávek).</w:t>
      </w:r>
      <w:r>
        <w:rPr>
          <w:szCs w:val="22"/>
        </w:rPr>
        <w:tab/>
      </w:r>
    </w:p>
    <w:sectPr w:rsidR="005E2142" w:rsidRPr="00C0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3355" w14:textId="77777777" w:rsidR="00AD3B27" w:rsidRDefault="00AD3B27" w:rsidP="005E2142">
      <w:r>
        <w:separator/>
      </w:r>
    </w:p>
  </w:endnote>
  <w:endnote w:type="continuationSeparator" w:id="0">
    <w:p w14:paraId="505CC711" w14:textId="77777777" w:rsidR="00AD3B27" w:rsidRDefault="00AD3B27" w:rsidP="005E2142">
      <w:r>
        <w:continuationSeparator/>
      </w:r>
    </w:p>
  </w:endnote>
  <w:endnote w:type="continuationNotice" w:id="1">
    <w:p w14:paraId="485925F6" w14:textId="77777777" w:rsidR="00AD3B27" w:rsidRDefault="00AD3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7C25" w14:textId="77777777" w:rsidR="00AD3B27" w:rsidRDefault="00AD3B27" w:rsidP="005E2142">
      <w:r>
        <w:separator/>
      </w:r>
    </w:p>
  </w:footnote>
  <w:footnote w:type="continuationSeparator" w:id="0">
    <w:p w14:paraId="20BD55C7" w14:textId="77777777" w:rsidR="00AD3B27" w:rsidRDefault="00AD3B27" w:rsidP="005E2142">
      <w:r>
        <w:continuationSeparator/>
      </w:r>
    </w:p>
  </w:footnote>
  <w:footnote w:type="continuationNotice" w:id="1">
    <w:p w14:paraId="35F6495C" w14:textId="77777777" w:rsidR="00AD3B27" w:rsidRDefault="00AD3B27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acova, Marta">
    <w15:presenceInfo w15:providerId="AD" w15:userId="S-1-5-21-6776287-1952083785-2110791508-2795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5"/>
    <w:rsid w:val="00060DF7"/>
    <w:rsid w:val="000B47C5"/>
    <w:rsid w:val="001975C1"/>
    <w:rsid w:val="002203A4"/>
    <w:rsid w:val="003141AD"/>
    <w:rsid w:val="00481AD1"/>
    <w:rsid w:val="004930CA"/>
    <w:rsid w:val="004E61F6"/>
    <w:rsid w:val="004F0EED"/>
    <w:rsid w:val="005C09EE"/>
    <w:rsid w:val="005E2142"/>
    <w:rsid w:val="00642193"/>
    <w:rsid w:val="007242D3"/>
    <w:rsid w:val="00822191"/>
    <w:rsid w:val="009F67D0"/>
    <w:rsid w:val="00A96392"/>
    <w:rsid w:val="00AC07CF"/>
    <w:rsid w:val="00AD3B27"/>
    <w:rsid w:val="00B045B9"/>
    <w:rsid w:val="00C05FF7"/>
    <w:rsid w:val="00CC6A4F"/>
    <w:rsid w:val="00D057C3"/>
    <w:rsid w:val="00DB37A4"/>
    <w:rsid w:val="00E606B7"/>
    <w:rsid w:val="00ED6599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14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142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5E2142"/>
  </w:style>
  <w:style w:type="paragraph" w:styleId="Zpat">
    <w:name w:val="footer"/>
    <w:basedOn w:val="Normln"/>
    <w:link w:val="ZpatChar"/>
    <w:uiPriority w:val="99"/>
    <w:unhideWhenUsed/>
    <w:rsid w:val="005E2142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5E2142"/>
  </w:style>
  <w:style w:type="paragraph" w:styleId="Zkladntext">
    <w:name w:val="Body Text"/>
    <w:basedOn w:val="Normln"/>
    <w:link w:val="ZkladntextChar"/>
    <w:semiHidden/>
    <w:unhideWhenUsed/>
    <w:rsid w:val="005E214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E2142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Retrait1cm">
    <w:name w:val="Retrait1cm"/>
    <w:basedOn w:val="Normln"/>
    <w:autoRedefine/>
    <w:rsid w:val="005E2142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customStyle="1" w:styleId="spc2Char">
    <w:name w:val="spc2 Char"/>
    <w:basedOn w:val="Normln"/>
    <w:rsid w:val="005E2142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firstLine="0"/>
    </w:pPr>
    <w:rPr>
      <w:lang w:val="en-US"/>
    </w:rPr>
  </w:style>
  <w:style w:type="paragraph" w:customStyle="1" w:styleId="KopSEC">
    <w:name w:val="Kop SEC"/>
    <w:rsid w:val="005E2142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spacing w:after="0" w:line="240" w:lineRule="auto"/>
      <w:jc w:val="both"/>
    </w:pPr>
    <w:rPr>
      <w:rFonts w:ascii="Albertus Medium" w:eastAsia="Times New Roman" w:hAnsi="Albertus Medium" w:cs="Times New Roman"/>
      <w:spacing w:val="-2"/>
      <w:szCs w:val="20"/>
    </w:rPr>
  </w:style>
  <w:style w:type="character" w:customStyle="1" w:styleId="level2">
    <w:name w:val="level 2"/>
    <w:rsid w:val="005E2142"/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7D0"/>
    <w:rPr>
      <w:rFonts w:ascii="Tahoma" w:eastAsia="Times New Roman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6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7D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7D0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7D0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14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142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5E2142"/>
  </w:style>
  <w:style w:type="paragraph" w:styleId="Zpat">
    <w:name w:val="footer"/>
    <w:basedOn w:val="Normln"/>
    <w:link w:val="ZpatChar"/>
    <w:uiPriority w:val="99"/>
    <w:unhideWhenUsed/>
    <w:rsid w:val="005E2142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5E2142"/>
  </w:style>
  <w:style w:type="paragraph" w:styleId="Zkladntext">
    <w:name w:val="Body Text"/>
    <w:basedOn w:val="Normln"/>
    <w:link w:val="ZkladntextChar"/>
    <w:semiHidden/>
    <w:unhideWhenUsed/>
    <w:rsid w:val="005E214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E2142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Retrait1cm">
    <w:name w:val="Retrait1cm"/>
    <w:basedOn w:val="Normln"/>
    <w:autoRedefine/>
    <w:rsid w:val="005E2142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customStyle="1" w:styleId="spc2Char">
    <w:name w:val="spc2 Char"/>
    <w:basedOn w:val="Normln"/>
    <w:rsid w:val="005E2142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firstLine="0"/>
    </w:pPr>
    <w:rPr>
      <w:lang w:val="en-US"/>
    </w:rPr>
  </w:style>
  <w:style w:type="paragraph" w:customStyle="1" w:styleId="KopSEC">
    <w:name w:val="Kop SEC"/>
    <w:rsid w:val="005E2142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spacing w:after="0" w:line="240" w:lineRule="auto"/>
      <w:jc w:val="both"/>
    </w:pPr>
    <w:rPr>
      <w:rFonts w:ascii="Albertus Medium" w:eastAsia="Times New Roman" w:hAnsi="Albertus Medium" w:cs="Times New Roman"/>
      <w:spacing w:val="-2"/>
      <w:szCs w:val="20"/>
    </w:rPr>
  </w:style>
  <w:style w:type="character" w:customStyle="1" w:styleId="level2">
    <w:name w:val="level 2"/>
    <w:rsid w:val="005E2142"/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7D0"/>
    <w:rPr>
      <w:rFonts w:ascii="Tahoma" w:eastAsia="Times New Roman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6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7D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7D0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7D0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C1274FDC-2919-4A59-B9EA-70EE2D9FDB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774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Kovacova, Marta</dc:creator>
  <cp:keywords/>
  <dc:description/>
  <cp:lastModifiedBy>Neugebauerová Kateřina</cp:lastModifiedBy>
  <cp:revision>16</cp:revision>
  <cp:lastPrinted>2019-10-01T10:45:00Z</cp:lastPrinted>
  <dcterms:created xsi:type="dcterms:W3CDTF">2019-02-21T16:56:00Z</dcterms:created>
  <dcterms:modified xsi:type="dcterms:W3CDTF">2019-10-01T10:45:00Z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fe743741-e607-40c0-86bf-c9886435a038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-1630223895</vt:i4>
  </property>
  <property fmtid="{D5CDD505-2E9C-101B-9397-08002B2CF9AE}" pid="8" name="_NewReviewCycle">
    <vt:lpwstr/>
  </property>
  <property fmtid="{D5CDD505-2E9C-101B-9397-08002B2CF9AE}" pid="9" name="_EmailSubject">
    <vt:lpwstr> Porcilis Ery+Parvo DE/V/xxxx/WS/054 - end of procedure 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