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80" w:rsidRPr="00B82BBA" w:rsidRDefault="00C25380" w:rsidP="00657210">
      <w:pPr>
        <w:spacing w:line="276" w:lineRule="auto"/>
        <w:outlineLvl w:val="0"/>
        <w:rPr>
          <w:rFonts w:asciiTheme="minorHAnsi" w:hAnsiTheme="minorHAnsi" w:cstheme="minorHAnsi"/>
          <w:sz w:val="18"/>
          <w:szCs w:val="18"/>
        </w:rPr>
      </w:pPr>
      <w:bookmarkStart w:id="0" w:name="bookmark1"/>
    </w:p>
    <w:p w:rsidR="001E5040" w:rsidRPr="00B82BBA" w:rsidRDefault="00CC0693" w:rsidP="00657210">
      <w:pPr>
        <w:spacing w:line="276" w:lineRule="auto"/>
        <w:outlineLvl w:val="0"/>
        <w:rPr>
          <w:rFonts w:asciiTheme="minorHAnsi" w:hAnsiTheme="minorHAnsi" w:cstheme="minorHAnsi"/>
          <w:sz w:val="36"/>
          <w:szCs w:val="32"/>
        </w:rPr>
      </w:pPr>
      <w:r w:rsidRPr="00B82BBA">
        <w:rPr>
          <w:rFonts w:asciiTheme="minorHAnsi" w:eastAsia="Arial Narrow" w:hAnsiTheme="minorHAnsi" w:cstheme="minorHAnsi"/>
          <w:sz w:val="36"/>
          <w:szCs w:val="32"/>
          <w:lang w:bidi="cs-CZ"/>
        </w:rPr>
        <w:t>Souprava VetMAX™ Schmallenberg Virus</w:t>
      </w:r>
      <w:bookmarkEnd w:id="0"/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C25380" w:rsidRPr="00B82BBA" w:rsidRDefault="00CC0693" w:rsidP="00657210">
      <w:pPr>
        <w:spacing w:line="276" w:lineRule="auto"/>
        <w:rPr>
          <w:rFonts w:asciiTheme="minorHAnsi" w:hAnsiTheme="minorHAnsi" w:cstheme="minorHAnsi"/>
          <w:szCs w:val="18"/>
        </w:rPr>
      </w:pPr>
      <w:bookmarkStart w:id="1" w:name="bookmark2"/>
      <w:r w:rsidRPr="00B82BBA">
        <w:rPr>
          <w:rFonts w:asciiTheme="minorHAnsi" w:eastAsia="Arial Narrow" w:hAnsiTheme="minorHAnsi" w:cstheme="minorHAnsi"/>
          <w:sz w:val="18"/>
          <w:szCs w:val="18"/>
          <w:lang w:bidi="cs-CZ"/>
        </w:rPr>
        <w:t>TaqMan® real-time RT-PCR pro detekci SBV (Schmallenberského viru)</w:t>
      </w: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Cs w:val="18"/>
        </w:rPr>
      </w:pPr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 xml:space="preserve">Katalogové číslo </w:t>
      </w:r>
      <w:r w:rsidRPr="00B82BBA">
        <w:rPr>
          <w:rFonts w:asciiTheme="minorHAnsi" w:eastAsia="Arial Narrow" w:hAnsiTheme="minorHAnsi" w:cstheme="minorHAnsi"/>
          <w:sz w:val="18"/>
          <w:szCs w:val="18"/>
          <w:lang w:bidi="cs-CZ"/>
        </w:rPr>
        <w:t>SBVS50</w:t>
      </w:r>
      <w:bookmarkEnd w:id="1"/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Pub. č.</w:t>
      </w:r>
      <w:r w:rsidRPr="00B82BBA">
        <w:rPr>
          <w:rFonts w:asciiTheme="minorHAnsi" w:eastAsia="Arial Narrow" w:hAnsiTheme="minorHAnsi" w:cstheme="minorHAnsi"/>
          <w:sz w:val="20"/>
          <w:szCs w:val="18"/>
          <w:lang w:bidi="cs-CZ"/>
        </w:rPr>
        <w:t xml:space="preserve"> MAN0008328 </w:t>
      </w:r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Rev</w:t>
      </w:r>
      <w:r w:rsidRPr="00B82BBA">
        <w:rPr>
          <w:rFonts w:asciiTheme="minorHAnsi" w:eastAsia="Arial Narrow" w:hAnsiTheme="minorHAnsi" w:cstheme="minorHAnsi"/>
          <w:sz w:val="20"/>
          <w:szCs w:val="18"/>
          <w:lang w:bidi="cs-CZ"/>
        </w:rPr>
        <w:t>. B.0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242"/>
        <w:gridCol w:w="3763"/>
        <w:gridCol w:w="2669"/>
      </w:tblGrid>
      <w:tr w:rsidR="001E5040" w:rsidRPr="00B82BBA" w:rsidTr="00C25380">
        <w:trPr>
          <w:trHeight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Technologie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Druhy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Nukleová kyselina izolovaná z matric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Typ testu</w:t>
            </w:r>
          </w:p>
        </w:tc>
      </w:tr>
      <w:tr w:rsidR="001E5040" w:rsidRPr="00B82BBA" w:rsidTr="00C25380">
        <w:trPr>
          <w:trHeight w:val="2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Real-time RT-PCR (RNA)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Skot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Mozková tkáň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1E5040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1E5040" w:rsidRPr="00B82BBA" w:rsidTr="00C25380">
        <w:trPr>
          <w:trHeight w:val="197"/>
        </w:trPr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132" w:hanging="132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Duplexní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Malí přežvýkavci</w:t>
            </w:r>
          </w:p>
        </w:tc>
        <w:tc>
          <w:tcPr>
            <w:tcW w:w="37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Krev (EDTA zkumavky)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Individuální</w:t>
            </w:r>
          </w:p>
        </w:tc>
      </w:tr>
      <w:tr w:rsidR="001E5040" w:rsidRPr="00B82BBA" w:rsidTr="00C25380">
        <w:trPr>
          <w:trHeight w:val="254"/>
        </w:trPr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132" w:hanging="132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Endogenní IPC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(ovce, kozy)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Sérum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1E5040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C25380" w:rsidRPr="00B82BBA" w:rsidRDefault="00C2538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C25380" w:rsidRPr="00B82BBA" w:rsidRDefault="00C2538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0123"/>
      </w:tblGrid>
      <w:tr w:rsidR="001E5040" w:rsidRPr="00B82BBA" w:rsidTr="00C25380">
        <w:trPr>
          <w:trHeight w:val="562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25380" w:rsidP="009777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cs-CZ" w:bidi="ar-SA"/>
              </w:rPr>
              <w:drawing>
                <wp:inline distT="0" distB="0" distL="0" distR="0" wp14:anchorId="2D30E4FC" wp14:editId="47CD61A7">
                  <wp:extent cx="238760" cy="188595"/>
                  <wp:effectExtent l="0" t="0" r="8890" b="1905"/>
                  <wp:docPr id="1" name="Obrázek 1" descr="C:\Users\uzivatel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zivatel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VAROVÁNÍ!</w:t>
            </w:r>
            <w:r w:rsidRPr="00B82BBA">
              <w:rPr>
                <w:rFonts w:asciiTheme="minorHAnsi" w:eastAsia="Times New Roman" w:hAnsiTheme="minorHAnsi" w:cstheme="minorHAnsi"/>
                <w:sz w:val="18"/>
                <w:szCs w:val="18"/>
                <w:lang w:bidi="cs-CZ"/>
              </w:rPr>
              <w:t xml:space="preserve"> Přečtěte si bezpečnostní listy (SDS) a dodržujte pokyny k manipulaci. Používejte vhodné ochranné brýle, oděv a rukavice. Bezpečnostní listy (BL) jsou k dispozici na adrese </w:t>
            </w:r>
            <w:r w:rsidRPr="00B82BB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cs-CZ"/>
              </w:rPr>
              <w:t>thermofisher.com/support.</w:t>
            </w:r>
          </w:p>
        </w:tc>
      </w:tr>
      <w:tr w:rsidR="001E5040" w:rsidRPr="00B82BBA" w:rsidTr="00C25380">
        <w:trPr>
          <w:trHeight w:val="6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5040" w:rsidRPr="00B82BBA" w:rsidRDefault="001E5040" w:rsidP="009777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E5040" w:rsidRPr="00B82BBA" w:rsidRDefault="001E5040" w:rsidP="0065721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5040" w:rsidRPr="00B82BBA" w:rsidTr="00C25380">
        <w:trPr>
          <w:trHeight w:val="56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25380" w:rsidP="0097778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cs-CZ" w:bidi="ar-SA"/>
              </w:rPr>
              <w:drawing>
                <wp:inline distT="0" distB="0" distL="0" distR="0" wp14:anchorId="2D280FCC" wp14:editId="74F2CD90">
                  <wp:extent cx="238760" cy="168910"/>
                  <wp:effectExtent l="0" t="0" r="8890" b="2540"/>
                  <wp:docPr id="2" name="Obrázek 2" descr="C:\Users\uzivatel\AppData\Local\Temp\FineReader11.0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zivatel\AppData\Local\Temp\FineReader11.0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VAROVÁNÍ! POTENCIÁLNÍ BIOLOGICKÉ NEBEZPEČÍ</w:t>
            </w:r>
            <w:r w:rsidRPr="00B82BBA">
              <w:rPr>
                <w:rFonts w:asciiTheme="minorHAnsi" w:eastAsia="Times New Roman" w:hAnsiTheme="minorHAnsi" w:cstheme="minorHAnsi"/>
                <w:sz w:val="18"/>
                <w:szCs w:val="18"/>
                <w:lang w:bidi="cs-CZ"/>
              </w:rPr>
              <w:t xml:space="preserve">. Přečtěte si bezpečnostní informace o biologickém nebezpečí na stránce daného výrobku na adrese </w:t>
            </w:r>
            <w:r w:rsidRPr="00B82BB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cs-CZ"/>
              </w:rPr>
              <w:t>termofisher.com</w:t>
            </w:r>
            <w:r w:rsidRPr="00B82BBA">
              <w:rPr>
                <w:rFonts w:asciiTheme="minorHAnsi" w:eastAsia="Times New Roman" w:hAnsiTheme="minorHAnsi" w:cstheme="minorHAnsi"/>
                <w:sz w:val="18"/>
                <w:szCs w:val="18"/>
                <w:lang w:bidi="cs-CZ"/>
              </w:rPr>
              <w:t>. Používejte vhodné ochranné brýle, oděv a rukavice.</w:t>
            </w:r>
          </w:p>
        </w:tc>
      </w:tr>
    </w:tbl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657210">
      <w:pPr>
        <w:spacing w:line="276" w:lineRule="auto"/>
        <w:outlineLvl w:val="2"/>
        <w:rPr>
          <w:rFonts w:asciiTheme="minorHAnsi" w:hAnsiTheme="minorHAnsi" w:cstheme="minorHAnsi"/>
          <w:b/>
          <w:szCs w:val="18"/>
        </w:rPr>
      </w:pPr>
      <w:bookmarkStart w:id="2" w:name="bookmark3"/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Informace o výrobku</w:t>
      </w:r>
      <w:bookmarkEnd w:id="2"/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657210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3" w:name="bookmark4"/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Popis výrobku</w:t>
      </w:r>
      <w:bookmarkEnd w:id="3"/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Souprava VetMAX™ Schmallenberg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od firmy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Applied Biosystems™ 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je molekulárně diagnostický nástroj pro stanovení SBV. Slouží ke specifické detekci genu S viru SBV pomocí real-time PCR reverzní transkripce.</w:t>
      </w: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Každý vzorek RNA je analyzován v jedné jamce: stejná jamka je použita ke specifické detekci virové RNA viru SBV a IPC (Internal Positive Control - interní pozitivní kontroly). Pozitivní IPC zname</w:t>
      </w:r>
      <w:bookmarkStart w:id="4" w:name="_GoBack"/>
      <w:bookmarkEnd w:id="4"/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ná jak úspěšnou extrakci, tak i nepřítomnost inhibitorů PCR ve vzorku.</w:t>
      </w: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Soupravu lze použít k detekci virové RNA extrahované z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mozkové tkáně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,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plné krve 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odebrané do EDTA zkumavek nebo ze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séra.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Detekce virů je přednostně prováděna u mozku z </w:t>
      </w:r>
      <w:r w:rsidR="00617469">
        <w:rPr>
          <w:rFonts w:asciiTheme="minorHAnsi" w:eastAsia="Times New Roman" w:hAnsiTheme="minorHAnsi" w:cstheme="minorHAnsi"/>
          <w:sz w:val="18"/>
          <w:szCs w:val="18"/>
          <w:lang w:bidi="cs-CZ"/>
        </w:rPr>
        <w:t>pot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racených zvířat, virus však může být detekován i v krvi (Zdroj: FLI - Německá národní referenční laboratoř). Vzhledem k absenci dalších informací o délce viremické fáze, která se jeví jako velmi krátká (2 až 3 dny), a o lokalizaci viru v živém zvířeti, doporučujeme pracovat přednostně s virovou RNA extrahovanou z mozkové tkáně.</w:t>
      </w: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Kompletní protokoly pro extrakci virové RNA z těchto matric jsou k dispozici na vyžádání od Technické podpory.</w:t>
      </w: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657210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5" w:name="bookmark5"/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Obsah soupravy a skladování</w:t>
      </w:r>
      <w:bookmarkEnd w:id="5"/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Souprava VetMAX ™ Schmallenberg Virus 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obsahuje reagencie pro detekci v duplexu SBV a IPC. Po převzetí musí být celá souprava skladována při teplotě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-30 °C až -10 °C.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Po prvním použití složky uložte soupravu podle následujících doporučení: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4512"/>
        <w:gridCol w:w="1430"/>
        <w:gridCol w:w="1488"/>
        <w:gridCol w:w="1493"/>
      </w:tblGrid>
      <w:tr w:rsidR="001E5040" w:rsidRPr="00B82BBA" w:rsidTr="00C25380">
        <w:trPr>
          <w:trHeight w:val="298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Složka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Popis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Objem (50 reakcí)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Skladování</w:t>
            </w:r>
          </w:p>
        </w:tc>
      </w:tr>
      <w:tr w:rsidR="001E5040" w:rsidRPr="00B82BBA" w:rsidTr="00C25380">
        <w:trPr>
          <w:trHeight w:val="509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1E5040" w:rsidP="0065721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1E5040" w:rsidP="0065721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1E5040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Po obdržení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Po prvním použití</w:t>
            </w:r>
          </w:p>
        </w:tc>
      </w:tr>
      <w:tr w:rsidR="001E5040" w:rsidRPr="00B82BBA" w:rsidTr="00C25380">
        <w:trPr>
          <w:trHeight w:val="174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3 - Mix SBVS</w:t>
            </w:r>
          </w:p>
          <w:p w:rsidR="001E5040" w:rsidRPr="00B82BBA" w:rsidRDefault="00CC0693" w:rsidP="0065721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(Zelená zkumavka)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Mix pro TaqMan</w:t>
            </w: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vertAlign w:val="superscript"/>
                <w:lang w:bidi="cs-CZ"/>
              </w:rPr>
              <w:t>®</w:t>
            </w: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 xml:space="preserve"> RT-PCR. Obsahuje:</w:t>
            </w:r>
          </w:p>
          <w:p w:rsidR="001E5040" w:rsidRPr="00B82BBA" w:rsidRDefault="00CC0693" w:rsidP="00657210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26" w:hanging="226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Detekční systém pro cílové struktury SBV: přední (forward) primer a reverzní primer, a dále sondu TaqMan</w:t>
            </w: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vertAlign w:val="superscript"/>
                <w:lang w:bidi="cs-CZ"/>
              </w:rPr>
              <w:t>®</w:t>
            </w: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 xml:space="preserve"> označenou symbolem </w:t>
            </w: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FAM</w:t>
            </w: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 xml:space="preserve">™ - </w:t>
            </w: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NFQ</w:t>
            </w: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 xml:space="preserve"> (NFQ = nefluorescenční zhášeč).</w:t>
            </w:r>
          </w:p>
          <w:p w:rsidR="001E5040" w:rsidRPr="00B82BBA" w:rsidRDefault="00CC0693" w:rsidP="00657210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26" w:hanging="226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Detekční systém pro IPC: přední (forward) a reverzní primery a sondu TaqMan</w:t>
            </w: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vertAlign w:val="superscript"/>
                <w:lang w:bidi="cs-CZ"/>
              </w:rPr>
              <w:t>®</w:t>
            </w: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 xml:space="preserve"> označenou symbolem </w:t>
            </w: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VIC</w:t>
            </w: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 xml:space="preserve">™ - </w:t>
            </w: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TAMRA</w:t>
            </w: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™.</w:t>
            </w:r>
          </w:p>
          <w:p w:rsidR="001E5040" w:rsidRPr="00B82BBA" w:rsidRDefault="00CC0693" w:rsidP="00657210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226" w:hanging="226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Pufr, reverzní transkriptáza a PCR enzym.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2 x 500 μl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-30°C až -10°C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-30°C až -10°C</w:t>
            </w:r>
          </w:p>
        </w:tc>
      </w:tr>
      <w:tr w:rsidR="001E5040" w:rsidRPr="00B82BBA" w:rsidTr="00C25380">
        <w:trPr>
          <w:trHeight w:val="67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4a - EPC SBVS</w:t>
            </w:r>
          </w:p>
          <w:p w:rsidR="001E5040" w:rsidRPr="00B82BBA" w:rsidRDefault="00CC0693" w:rsidP="0065721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(Hnědá zkumavka)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Externí pozitivní kontrola:</w:t>
            </w:r>
          </w:p>
          <w:p w:rsidR="001E5040" w:rsidRPr="00B82BBA" w:rsidRDefault="00CC0693" w:rsidP="0065721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 xml:space="preserve">Pozitivní kontrola pro SBV. Sestává z </w:t>
            </w:r>
            <w:r w:rsidRPr="00B82BBA">
              <w:rPr>
                <w:rFonts w:asciiTheme="minorHAnsi" w:eastAsia="Arial Narrow" w:hAnsiTheme="minorHAnsi" w:cstheme="minorHAnsi"/>
                <w:b/>
                <w:sz w:val="18"/>
                <w:szCs w:val="18"/>
                <w:lang w:bidi="cs-CZ"/>
              </w:rPr>
              <w:t>již extrahované</w:t>
            </w: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 xml:space="preserve"> nukleové kyseliny, která má být amplifikována během PCR v reálném čase.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90 μl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-30°C až -10°C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65721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8"/>
                <w:szCs w:val="18"/>
                <w:lang w:bidi="cs-CZ"/>
              </w:rPr>
              <w:t>-30°C až -10°C</w:t>
            </w:r>
          </w:p>
        </w:tc>
      </w:tr>
    </w:tbl>
    <w:p w:rsidR="00C25380" w:rsidRPr="00B82BBA" w:rsidRDefault="00C25380" w:rsidP="00657210">
      <w:pPr>
        <w:spacing w:line="276" w:lineRule="auto"/>
        <w:rPr>
          <w:rFonts w:asciiTheme="minorHAnsi" w:hAnsiTheme="minorHAnsi" w:cstheme="minorHAnsi"/>
          <w:sz w:val="18"/>
          <w:szCs w:val="18"/>
          <w:lang w:eastAsia="fr-FR" w:bidi="fr-FR"/>
        </w:rPr>
      </w:pPr>
      <w:bookmarkStart w:id="6" w:name="bookmark6"/>
      <w:r w:rsidRPr="00B82BBA">
        <w:rPr>
          <w:rFonts w:asciiTheme="minorHAnsi" w:eastAsia="Arial Narrow" w:hAnsiTheme="minorHAnsi" w:cstheme="minorHAnsi"/>
          <w:sz w:val="18"/>
          <w:szCs w:val="18"/>
          <w:lang w:bidi="cs-CZ"/>
        </w:rPr>
        <w:br w:type="page"/>
      </w:r>
    </w:p>
    <w:p w:rsidR="001E5040" w:rsidRPr="00B82BBA" w:rsidRDefault="00CC0693" w:rsidP="00657210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lastRenderedPageBreak/>
        <w:t>Extrakční a amplifikační kontroly</w:t>
      </w:r>
      <w:bookmarkEnd w:id="6"/>
    </w:p>
    <w:p w:rsidR="001E5040" w:rsidRPr="00B82BBA" w:rsidRDefault="00CC0693" w:rsidP="009A490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Souprava VetMAX™ Schmallenberg Virus 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obsahuje jednu kontrolu použitou k ověření amplifikace virové RNA:</w:t>
      </w:r>
    </w:p>
    <w:p w:rsidR="001E5040" w:rsidRPr="00B82BBA" w:rsidRDefault="00CC0693" w:rsidP="00657210">
      <w:pPr>
        <w:spacing w:line="276" w:lineRule="auto"/>
        <w:ind w:left="360" w:hanging="360"/>
        <w:rPr>
          <w:rFonts w:asciiTheme="minorHAnsi" w:hAnsiTheme="minorHAnsi" w:cstheme="minorHAnsi"/>
          <w:b/>
          <w:sz w:val="18"/>
          <w:szCs w:val="18"/>
        </w:rPr>
      </w:pPr>
      <w:bookmarkStart w:id="7" w:name="bookmark7"/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4a - EPC SBVS: positive control for SBV (pozitivní kontrola pro SBV)</w:t>
      </w:r>
      <w:bookmarkEnd w:id="7"/>
    </w:p>
    <w:p w:rsidR="001E5040" w:rsidRPr="00B82BBA" w:rsidRDefault="00CC0693" w:rsidP="009A490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Již extrahovaná 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pozitivní kontrola, která má být amplifikována během RT-PCR v reálném čase.</w:t>
      </w:r>
    </w:p>
    <w:p w:rsidR="001E5040" w:rsidRPr="00B82BBA" w:rsidRDefault="00CC0693" w:rsidP="009A490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Pozitivní výsledek v rámci specifikovaného rozsahu Ct umožňuje ověřit amplifikaci cílové struktury SBV pomocí PCR v reálném čase.</w:t>
      </w: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Ověření extrakce nukleové kyseliny pro každý vzorek se provádí detekcí endogenní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IPC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(Interní pozitivní kontroly) přítomné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v každém vzorku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.</w:t>
      </w: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Pozitivní výsledek IPC pro daný vzorek validuje extrakci vzorku, zda je vzorek pozitivní nebo negativní pro zkoumaný patogen, a umožňuje vyloučit falešně negativní výsledky a ověřit případnou inhibici.</w:t>
      </w: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Pro konfirmaci správné analýzy doporučujeme zahrnout dvě negativní kontroly:</w:t>
      </w: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657210">
      <w:pPr>
        <w:spacing w:line="276" w:lineRule="auto"/>
        <w:ind w:left="360" w:hanging="360"/>
        <w:rPr>
          <w:rFonts w:asciiTheme="minorHAnsi" w:hAnsiTheme="minorHAnsi" w:cstheme="minorHAnsi"/>
          <w:b/>
          <w:sz w:val="18"/>
          <w:szCs w:val="18"/>
        </w:rPr>
      </w:pPr>
      <w:bookmarkStart w:id="8" w:name="bookmark8"/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NCS: negative extraction control (NCS: negativní extrakční kontrola)</w:t>
      </w:r>
      <w:bookmarkEnd w:id="8"/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Tato kontrola je složena z reagencií použitých při extrakci bez přidání vzorku (objem vzorku může být nahrazen pufrem použitým při přípravě vzorku nebo vodou bez DNázy/RNázy), které procházejí stejným zpracováním jako vzorky: extrakcí nukleových kyselin (s přídavkem IPC) a RT-PCR v reálném čase.</w:t>
      </w: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Negativní výsledek pro SBV a IPC umožňuje validovat nepřítomnost kontaminace během extrakce a RT-PCR v reálném čase.</w:t>
      </w:r>
    </w:p>
    <w:p w:rsidR="009A490E" w:rsidRPr="00B82BBA" w:rsidRDefault="009A490E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4B1B26">
      <w:pPr>
        <w:spacing w:line="276" w:lineRule="auto"/>
        <w:ind w:left="360" w:hanging="360"/>
        <w:rPr>
          <w:rFonts w:asciiTheme="minorHAnsi" w:hAnsiTheme="minorHAnsi" w:cstheme="minorHAnsi"/>
          <w:b/>
          <w:sz w:val="18"/>
          <w:szCs w:val="18"/>
        </w:rPr>
      </w:pPr>
      <w:bookmarkStart w:id="9" w:name="bookmark9"/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NC: negative amplification control (</w:t>
      </w:r>
      <w:r w:rsidR="004B1B26"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NC: n</w:t>
      </w:r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egativní amplifikační kontrola)</w:t>
      </w:r>
      <w:bookmarkEnd w:id="9"/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Jedná se o amplifikační mix, který se přidává na destičku během přípravy PCR v reálném čase společně s 5 μl vody bez DNázy/RNázy pro doplnění objemu na 25 μl.</w:t>
      </w:r>
    </w:p>
    <w:p w:rsidR="001E5040" w:rsidRPr="00B82BBA" w:rsidRDefault="00CC0693" w:rsidP="009A490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Negativní výsledek pro SBV a IPC umožňuje validovat nepřítomnost kontaminace během přípravy reakce RT-PCR v reálném čase.</w:t>
      </w: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657210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0" w:name="bookmark10"/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Požadované materiály, které nejsou součástí dodávky</w:t>
      </w:r>
      <w:bookmarkEnd w:id="10"/>
    </w:p>
    <w:p w:rsidR="001E5040" w:rsidRPr="00B82BBA" w:rsidRDefault="00CC0693" w:rsidP="009A490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Pokud není uvedeno jinak, jsou všechny materiály k dispozici na stránce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thermofisher.com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.</w:t>
      </w:r>
    </w:p>
    <w:p w:rsidR="001E5040" w:rsidRPr="00B82BBA" w:rsidRDefault="00CC0693" w:rsidP="009A490E">
      <w:pPr>
        <w:pStyle w:val="Odstavecseseznamem"/>
        <w:numPr>
          <w:ilvl w:val="0"/>
          <w:numId w:val="3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Arial Narrow" w:hAnsiTheme="minorHAnsi" w:cstheme="minorHAnsi"/>
          <w:sz w:val="18"/>
          <w:szCs w:val="18"/>
          <w:lang w:bidi="cs-CZ"/>
        </w:rPr>
        <w:t>Vysoce přesné mikropipety (rozmezí od 1 μl do 1000 μl) s filtrovanými špičkami</w:t>
      </w:r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 xml:space="preserve"> </w:t>
      </w:r>
      <w:r w:rsidRPr="00B82BBA">
        <w:rPr>
          <w:rFonts w:asciiTheme="minorHAnsi" w:eastAsia="Arial Narrow" w:hAnsiTheme="minorHAnsi" w:cstheme="minorHAnsi"/>
          <w:sz w:val="18"/>
          <w:szCs w:val="18"/>
          <w:lang w:bidi="cs-CZ"/>
        </w:rPr>
        <w:t>bez DNázy/RNázy.</w:t>
      </w:r>
    </w:p>
    <w:p w:rsidR="001E5040" w:rsidRPr="00B82BBA" w:rsidRDefault="00CC0693" w:rsidP="009A490E">
      <w:pPr>
        <w:pStyle w:val="Odstavecseseznamem"/>
        <w:numPr>
          <w:ilvl w:val="0"/>
          <w:numId w:val="3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Arial Narrow" w:hAnsiTheme="minorHAnsi" w:cstheme="minorHAnsi"/>
          <w:sz w:val="18"/>
          <w:szCs w:val="18"/>
          <w:lang w:bidi="cs-CZ"/>
        </w:rPr>
        <w:t>DNase/RNase-free water (Voda bez DNázy/RNázy)</w:t>
      </w:r>
    </w:p>
    <w:p w:rsidR="001E5040" w:rsidRPr="00B82BBA" w:rsidRDefault="00CC0693" w:rsidP="009A490E">
      <w:pPr>
        <w:pStyle w:val="Odstavecseseznamem"/>
        <w:numPr>
          <w:ilvl w:val="0"/>
          <w:numId w:val="3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Arial Narrow" w:hAnsiTheme="minorHAnsi" w:cstheme="minorHAnsi"/>
          <w:sz w:val="18"/>
          <w:szCs w:val="18"/>
          <w:lang w:bidi="cs-CZ"/>
        </w:rPr>
        <w:t>1X TE pufr</w:t>
      </w:r>
    </w:p>
    <w:p w:rsidR="001E5040" w:rsidRPr="00B82BBA" w:rsidRDefault="00CC0693" w:rsidP="009A490E">
      <w:pPr>
        <w:pStyle w:val="Odstavecseseznamem"/>
        <w:numPr>
          <w:ilvl w:val="0"/>
          <w:numId w:val="3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Arial Narrow" w:hAnsiTheme="minorHAnsi" w:cstheme="minorHAnsi"/>
          <w:sz w:val="18"/>
          <w:szCs w:val="18"/>
          <w:lang w:bidi="cs-CZ"/>
        </w:rPr>
        <w:t>1X PBS pufr</w:t>
      </w:r>
    </w:p>
    <w:p w:rsidR="001E5040" w:rsidRPr="00B82BBA" w:rsidRDefault="00CC0693" w:rsidP="009A490E">
      <w:pPr>
        <w:pStyle w:val="Odstavecseseznamem"/>
        <w:numPr>
          <w:ilvl w:val="0"/>
          <w:numId w:val="3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Arial Narrow" w:hAnsiTheme="minorHAnsi" w:cstheme="minorHAnsi"/>
          <w:sz w:val="18"/>
          <w:szCs w:val="18"/>
          <w:lang w:bidi="cs-CZ"/>
        </w:rPr>
        <w:t xml:space="preserve">Termocykler pro 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PCR v reálném čase schopný detekovat následující fluorofory:</w:t>
      </w:r>
    </w:p>
    <w:p w:rsidR="001E5040" w:rsidRPr="00B82BBA" w:rsidRDefault="00CC0693" w:rsidP="009A490E">
      <w:pPr>
        <w:pStyle w:val="Odstavecseseznamem"/>
        <w:numPr>
          <w:ilvl w:val="1"/>
          <w:numId w:val="3"/>
        </w:numPr>
        <w:spacing w:line="276" w:lineRule="auto"/>
        <w:ind w:left="567" w:hanging="283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FAM™ (maximální emise: λ515 nm)</w:t>
      </w:r>
    </w:p>
    <w:p w:rsidR="001E5040" w:rsidRPr="00B82BBA" w:rsidRDefault="00CC0693" w:rsidP="009A490E">
      <w:pPr>
        <w:pStyle w:val="Odstavecseseznamem"/>
        <w:numPr>
          <w:ilvl w:val="1"/>
          <w:numId w:val="3"/>
        </w:numPr>
        <w:spacing w:line="276" w:lineRule="auto"/>
        <w:ind w:left="567" w:hanging="283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VIC™ (maximální emise: λ554 nm)</w:t>
      </w:r>
    </w:p>
    <w:p w:rsidR="001E5040" w:rsidRPr="00B82BBA" w:rsidRDefault="00CC0693" w:rsidP="009A490E">
      <w:pPr>
        <w:pStyle w:val="Odstavecseseznamem"/>
        <w:numPr>
          <w:ilvl w:val="0"/>
          <w:numId w:val="3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Spotřební materiál potřebné optické kvality kompatibilní s termocyklerem: 96-jamkové PCR destičky, PCR stripy (8 nebo 12 jamek), mikrozkumavky nebo kapiláry; vhodné kryty destiček nebo víčka pro zakrytí</w:t>
      </w: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9A490E">
      <w:pPr>
        <w:spacing w:line="276" w:lineRule="auto"/>
        <w:outlineLvl w:val="2"/>
        <w:rPr>
          <w:rFonts w:asciiTheme="minorHAnsi" w:hAnsiTheme="minorHAnsi" w:cstheme="minorHAnsi"/>
          <w:b/>
          <w:szCs w:val="18"/>
        </w:rPr>
      </w:pPr>
      <w:bookmarkStart w:id="11" w:name="bookmark11"/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Postup analýzy</w:t>
      </w:r>
      <w:bookmarkEnd w:id="11"/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9A490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Reakční objem RT-PCR v reálném čase je 25 μl:</w:t>
      </w:r>
    </w:p>
    <w:p w:rsidR="001E5040" w:rsidRPr="00B82BBA" w:rsidRDefault="00CC0693" w:rsidP="009A490E">
      <w:pPr>
        <w:pStyle w:val="Odstavecseseznamem"/>
        <w:numPr>
          <w:ilvl w:val="0"/>
          <w:numId w:val="3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3 - Mix SBVS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: 20 μl na analýzu</w:t>
      </w:r>
    </w:p>
    <w:p w:rsidR="001E5040" w:rsidRPr="00B82BBA" w:rsidRDefault="00CC0693" w:rsidP="009A490E">
      <w:pPr>
        <w:pStyle w:val="Odstavecseseznamem"/>
        <w:numPr>
          <w:ilvl w:val="0"/>
          <w:numId w:val="3"/>
        </w:numPr>
        <w:spacing w:line="276" w:lineRule="auto"/>
        <w:ind w:left="226" w:hanging="226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Extrahovaná RNA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: 5 μl na analýzu</w:t>
      </w: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657210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2" w:name="bookmark12"/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Extrakce virové RNA</w:t>
      </w:r>
      <w:bookmarkEnd w:id="12"/>
    </w:p>
    <w:p w:rsidR="001E5040" w:rsidRPr="00B82BBA" w:rsidRDefault="00CC0693" w:rsidP="009A490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RNA musí být izolována ze vzorků pro analýzu RT-PCR v reálném čase.</w:t>
      </w: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POZNÁMKA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: Pro informace o metodách extrakce, které jsou kompatibilní se soupravou VetMAX™ Schmallenberg Virus a které jsou pro ni validovány, kontaktujte technickou podporu.</w:t>
      </w: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657210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3" w:name="bookmark13"/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Příprava reakcí RT-PCR v reálném čase</w:t>
      </w:r>
      <w:bookmarkEnd w:id="13"/>
    </w:p>
    <w:p w:rsidR="001E5040" w:rsidRPr="00B82BBA" w:rsidRDefault="00CC0693" w:rsidP="009A490E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Vytvořte plán analýzy pro distribuci mixů a vzorků. Je-li to možné, uchovávejte pozitivní kontrolu (EPC) odděleně od ostatních vzorků.</w:t>
      </w:r>
    </w:p>
    <w:p w:rsidR="001E5040" w:rsidRPr="00B82BBA" w:rsidRDefault="00CC0693" w:rsidP="009A490E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Rozmrazte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3 - Mix SBVS 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při teplotě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2 °C až + 8 °C na ledě 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nebo ve stojanu v chladničce.</w:t>
      </w:r>
    </w:p>
    <w:p w:rsidR="001E5040" w:rsidRPr="00B82BBA" w:rsidRDefault="00CC0693" w:rsidP="009A490E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Promíchejte opatrně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3 - Mix SBVS 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a poté krátce centrifugujte.</w:t>
      </w:r>
    </w:p>
    <w:p w:rsidR="001E5040" w:rsidRPr="00B82BBA" w:rsidRDefault="00CC0693" w:rsidP="009A490E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Přidejte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20 μl mixu 3 - Mix SBVS 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do každé jamky PCR destičky, PCR stripu nebo kapiláry.</w:t>
      </w:r>
    </w:p>
    <w:p w:rsidR="001E5040" w:rsidRPr="00B82BBA" w:rsidRDefault="00CC0693" w:rsidP="009A490E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Přidejte RNA ze vzorků a kontrol do reakčního mixu podle následujícího předem nastaveného plánu analýzy: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4066"/>
        <w:gridCol w:w="3062"/>
      </w:tblGrid>
      <w:tr w:rsidR="001E5040" w:rsidRPr="00B82BBA" w:rsidTr="009A490E">
        <w:trPr>
          <w:trHeight w:val="30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9A49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Typ analýzy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9A49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Složka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9A49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Objem vzorku</w:t>
            </w:r>
          </w:p>
        </w:tc>
      </w:tr>
      <w:tr w:rsidR="001E5040" w:rsidRPr="00B82BBA" w:rsidTr="009A490E">
        <w:trPr>
          <w:trHeight w:val="336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Vzorek pro analýzu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RNA extrahovaná ze vzorku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  <w:tr w:rsidR="001E5040" w:rsidRPr="00B82BBA" w:rsidTr="009A490E">
        <w:trPr>
          <w:trHeight w:val="341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Positive amplification control (Pozitivní amplifikační kontrola)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4a - EPC SBVS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  <w:tr w:rsidR="001E5040" w:rsidRPr="00B82BBA" w:rsidTr="009A490E">
        <w:trPr>
          <w:trHeight w:val="346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Negative extraction control (Negativní extrakční kontrola) (NCS)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Extrahovaná NCS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  <w:tr w:rsidR="001E5040" w:rsidRPr="00B82BBA" w:rsidTr="009A490E">
        <w:trPr>
          <w:trHeight w:val="346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Negative amplification control Negativní amplifikační kontrola (NC)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DNase/RNase-free water (Voda bez DNázy/RNázy)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9A490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5 μl</w:t>
            </w:r>
          </w:p>
        </w:tc>
      </w:tr>
    </w:tbl>
    <w:p w:rsidR="001E5040" w:rsidRPr="00B82BBA" w:rsidRDefault="00CC0693" w:rsidP="009A490E">
      <w:pPr>
        <w:pStyle w:val="Odstavecseseznamem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Zakryjte PCR destičku, PCR stripy nebo kapiláry adhezivním víčkem destičky nebo vhodnými uzávěry.</w:t>
      </w:r>
    </w:p>
    <w:p w:rsidR="001E5040" w:rsidRPr="00B82BBA" w:rsidRDefault="00CC0693" w:rsidP="0088335B">
      <w:pPr>
        <w:rPr>
          <w:rFonts w:asciiTheme="minorHAnsi" w:hAnsiTheme="minorHAnsi" w:cstheme="minorHAnsi"/>
          <w:b/>
          <w:sz w:val="20"/>
          <w:szCs w:val="18"/>
        </w:rPr>
      </w:pPr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lastRenderedPageBreak/>
        <w:t>Amplifikace pomocí RT-PCR v reálném čase</w:t>
      </w:r>
    </w:p>
    <w:p w:rsidR="001E5040" w:rsidRPr="00B82BBA" w:rsidRDefault="00CC0693" w:rsidP="000D4622">
      <w:pPr>
        <w:pStyle w:val="Odstavecseseznamem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Na termocykleru nastavte následující detektory: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3499"/>
        <w:gridCol w:w="3509"/>
      </w:tblGrid>
      <w:tr w:rsidR="001E5040" w:rsidRPr="00B82BBA" w:rsidTr="000D4622">
        <w:trPr>
          <w:trHeight w:val="3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1E5040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Reportér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Quencher</w:t>
            </w:r>
          </w:p>
        </w:tc>
      </w:tr>
      <w:tr w:rsidR="001E5040" w:rsidRPr="00B82BBA" w:rsidTr="000D4622">
        <w:trPr>
          <w:trHeight w:val="33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SBV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FAM™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NFQ (nefluorescenční zhášeč)</w:t>
            </w:r>
          </w:p>
        </w:tc>
      </w:tr>
      <w:tr w:rsidR="001E5040" w:rsidRPr="00B82BBA" w:rsidTr="000D4622">
        <w:trPr>
          <w:trHeight w:val="34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IPC SBV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VIC™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TAMRA™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</w:tr>
      <w:tr w:rsidR="001E5040" w:rsidRPr="00B82BBA" w:rsidTr="000D4622">
        <w:trPr>
          <w:trHeight w:val="346"/>
        </w:trPr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Pasivní reference: ROX™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</w:tr>
    </w:tbl>
    <w:p w:rsidR="001E5040" w:rsidRPr="00B82BBA" w:rsidRDefault="00CC0693" w:rsidP="000D4622">
      <w:pPr>
        <w:spacing w:line="276" w:lineRule="auto"/>
        <w:ind w:left="142" w:hanging="142"/>
        <w:rPr>
          <w:rFonts w:asciiTheme="minorHAnsi" w:hAnsiTheme="minorHAnsi" w:cstheme="minorHAnsi"/>
          <w:sz w:val="16"/>
          <w:szCs w:val="18"/>
        </w:rPr>
      </w:pPr>
      <w:r w:rsidRPr="00B82BBA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(1)</w:t>
      </w:r>
      <w:r w:rsidRPr="00B82BBA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Fluorofory TAMRA™ a ROX™ jsou zapotřebí pro analýzu PCR v reálném čase, pokud je termocykler schopen je detekovat. U všech ostatních termocyklerů absence schopnosti detekovat tyto fluorofory nezhoršuje analýzu RT-PCR v reálném čase.</w:t>
      </w:r>
    </w:p>
    <w:p w:rsidR="001E5040" w:rsidRPr="00B82BBA" w:rsidRDefault="00CC0693" w:rsidP="000D4622">
      <w:pPr>
        <w:pStyle w:val="Odstavecseseznamem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Nastavte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SBV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a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SBV IPC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 detektory pro každou jamku používanou v analýze.</w:t>
      </w:r>
    </w:p>
    <w:p w:rsidR="001E5040" w:rsidRPr="00B82BBA" w:rsidRDefault="00CC0693" w:rsidP="000D4622">
      <w:pPr>
        <w:pStyle w:val="Odstavecseseznamem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Arial Narrow" w:hAnsiTheme="minorHAnsi" w:cstheme="minorHAnsi"/>
          <w:sz w:val="18"/>
          <w:szCs w:val="18"/>
          <w:lang w:bidi="cs-CZ"/>
        </w:rPr>
        <w:t>Pro analýzu nastavte následující program RT-PCR v reálném čase: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2630"/>
        <w:gridCol w:w="2635"/>
        <w:gridCol w:w="2645"/>
      </w:tblGrid>
      <w:tr w:rsidR="001E5040" w:rsidRPr="00B82BBA" w:rsidTr="000D4622">
        <w:trPr>
          <w:trHeight w:val="38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1E5040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Opakování kroků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Teplota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Doba trvání</w:t>
            </w:r>
          </w:p>
        </w:tc>
      </w:tr>
      <w:tr w:rsidR="001E5040" w:rsidRPr="00B82BBA" w:rsidTr="000D4622">
        <w:trPr>
          <w:trHeight w:val="35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Krok 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x1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45 °C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10 minut</w:t>
            </w:r>
          </w:p>
        </w:tc>
      </w:tr>
      <w:tr w:rsidR="001E5040" w:rsidRPr="00B82BBA" w:rsidTr="000D4622">
        <w:trPr>
          <w:trHeight w:val="35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Krok 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x1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95 °C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10 minut</w:t>
            </w:r>
          </w:p>
        </w:tc>
      </w:tr>
      <w:tr w:rsidR="001E5040" w:rsidRPr="00B82BBA" w:rsidTr="000D4622">
        <w:trPr>
          <w:trHeight w:val="350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Krok 3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x45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95 °C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15 sekund</w:t>
            </w:r>
          </w:p>
        </w:tc>
      </w:tr>
      <w:tr w:rsidR="001E5040" w:rsidRPr="00B82BBA" w:rsidTr="000D4622">
        <w:trPr>
          <w:trHeight w:val="360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1E5040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1E5040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60 °C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45 sekund</w:t>
            </w:r>
          </w:p>
        </w:tc>
      </w:tr>
    </w:tbl>
    <w:p w:rsidR="000D4622" w:rsidRPr="00B82BBA" w:rsidRDefault="00CC0693" w:rsidP="000D4622">
      <w:pPr>
        <w:spacing w:line="276" w:lineRule="auto"/>
        <w:ind w:left="142" w:hanging="142"/>
        <w:rPr>
          <w:rFonts w:asciiTheme="minorHAnsi" w:hAnsiTheme="minorHAnsi" w:cstheme="minorHAnsi"/>
          <w:sz w:val="16"/>
          <w:szCs w:val="18"/>
        </w:rPr>
      </w:pPr>
      <w:r w:rsidRPr="00B82BBA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(1)</w:t>
      </w:r>
      <w:r w:rsidRPr="00B82BBA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Sběr dat fluorescence během 45sekundové fáze při teplotě 60 °C</w:t>
      </w:r>
    </w:p>
    <w:p w:rsidR="001E5040" w:rsidRPr="00B82BBA" w:rsidRDefault="00CC0693" w:rsidP="000D4622">
      <w:pPr>
        <w:pStyle w:val="Odstavecseseznamem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Arial Narrow" w:hAnsiTheme="minorHAnsi" w:cstheme="minorHAnsi"/>
          <w:sz w:val="18"/>
          <w:szCs w:val="18"/>
          <w:lang w:bidi="cs-CZ"/>
        </w:rPr>
        <w:t>Vložte PCR destičku, PCR stripy nebo kapiláry do termocykleru a spusťte RT-PCR v reálném čase.</w:t>
      </w: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657210">
      <w:pPr>
        <w:spacing w:line="276" w:lineRule="auto"/>
        <w:outlineLvl w:val="2"/>
        <w:rPr>
          <w:rFonts w:asciiTheme="minorHAnsi" w:hAnsiTheme="minorHAnsi" w:cstheme="minorHAnsi"/>
          <w:b/>
          <w:szCs w:val="18"/>
        </w:rPr>
      </w:pPr>
      <w:bookmarkStart w:id="14" w:name="bookmark14"/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Analýza výsledků</w:t>
      </w:r>
      <w:bookmarkEnd w:id="14"/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657210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bookmarkStart w:id="15" w:name="bookmark15"/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Analýza surových dat</w:t>
      </w:r>
      <w:bookmarkEnd w:id="15"/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Pro analýzu surových dat postupujte podle doporučení výrobce termocykléru.</w:t>
      </w:r>
    </w:p>
    <w:p w:rsidR="001E5040" w:rsidRPr="00B82BBA" w:rsidRDefault="00CC0693" w:rsidP="000D4622">
      <w:pPr>
        <w:pStyle w:val="Odstavecseseznamem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Prahové limity nastavte odděleně pro každý cíl PCR v reálném čase.</w:t>
      </w:r>
    </w:p>
    <w:p w:rsidR="001E5040" w:rsidRPr="00B82BBA" w:rsidRDefault="00CC0693" w:rsidP="000D4622">
      <w:pPr>
        <w:pStyle w:val="Odstavecseseznamem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Pro každý detektor interpretujte výsledky podle hodnot Ct vzorku získaných podle doporučení níže.</w:t>
      </w: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361283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Validace</w:t>
      </w: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Test je validován, pokud jsou splněna následující kritéria: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3106"/>
        <w:gridCol w:w="3106"/>
        <w:gridCol w:w="3115"/>
      </w:tblGrid>
      <w:tr w:rsidR="001E5040" w:rsidRPr="00B82BBA" w:rsidTr="000D4622">
        <w:trPr>
          <w:trHeight w:val="34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1E5040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SBV detektor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Detektor IPC SBV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Validace</w:t>
            </w:r>
          </w:p>
        </w:tc>
      </w:tr>
      <w:tr w:rsidR="001E5040" w:rsidRPr="00B82BBA" w:rsidTr="000D4622">
        <w:trPr>
          <w:trHeight w:val="34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EPC SBVS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 xml:space="preserve">t 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= 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QC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SBV of </w:t>
            </w: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4a - EPC SBVS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± 3C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A2AEC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 nebo 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Validováno pro PCR</w:t>
            </w:r>
          </w:p>
        </w:tc>
      </w:tr>
      <w:tr w:rsidR="001E5040" w:rsidRPr="00B82BBA" w:rsidTr="000D4622">
        <w:trPr>
          <w:trHeight w:val="34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NCS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A2AEC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Validováno pro extrakci</w:t>
            </w:r>
          </w:p>
        </w:tc>
      </w:tr>
      <w:tr w:rsidR="001E5040" w:rsidRPr="00B82BBA" w:rsidTr="000D4622">
        <w:trPr>
          <w:trHeight w:val="35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A2AEC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Validované PCR složky</w:t>
            </w:r>
          </w:p>
        </w:tc>
      </w:tr>
    </w:tbl>
    <w:p w:rsidR="001E5040" w:rsidRPr="00B82BBA" w:rsidRDefault="00CC0693" w:rsidP="000D4622">
      <w:pPr>
        <w:spacing w:line="276" w:lineRule="auto"/>
        <w:ind w:left="142" w:hanging="142"/>
        <w:rPr>
          <w:rFonts w:asciiTheme="minorHAnsi" w:hAnsiTheme="minorHAnsi" w:cstheme="minorHAnsi"/>
          <w:sz w:val="16"/>
          <w:szCs w:val="18"/>
        </w:rPr>
      </w:pPr>
      <w:r w:rsidRPr="00B82BBA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(1)</w:t>
      </w:r>
      <w:r w:rsidRPr="00B82BBA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Viz hodnoty uvedené v oddílu 2.1 „EPC“, certifikátu o analýze šarže použité pro daný test.</w:t>
      </w:r>
    </w:p>
    <w:p w:rsidR="001E5040" w:rsidRPr="00B82BBA" w:rsidRDefault="00855831" w:rsidP="000D4622">
      <w:pPr>
        <w:spacing w:line="276" w:lineRule="auto"/>
        <w:ind w:left="142" w:hanging="142"/>
        <w:rPr>
          <w:rFonts w:asciiTheme="minorHAnsi" w:hAnsiTheme="minorHAnsi" w:cstheme="minorHAnsi"/>
          <w:sz w:val="16"/>
          <w:szCs w:val="18"/>
        </w:rPr>
      </w:pPr>
      <w:r w:rsidRPr="00B82BBA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</w:t>
      </w:r>
      <w:r w:rsidR="00CC0693" w:rsidRPr="00B82BBA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2)</w:t>
      </w:r>
      <w:r w:rsidR="00CC0693" w:rsidRPr="00B82BBA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Hodnota IPC v EPC by se neměla použít k validaci testu.</w:t>
      </w: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0D4622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t>Interpretace výsledků</w:t>
      </w: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Pro každý analyzovaný vzorek by měly být výsledky interpretovány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5"/>
        <w:gridCol w:w="3600"/>
      </w:tblGrid>
      <w:tr w:rsidR="001E5040" w:rsidRPr="00B82BBA" w:rsidTr="000D4622">
        <w:trPr>
          <w:trHeight w:val="30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SBV detektor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Detektor IPC SBV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b/>
                <w:sz w:val="16"/>
                <w:szCs w:val="18"/>
                <w:lang w:bidi="cs-CZ"/>
              </w:rPr>
              <w:t>Interpretace</w:t>
            </w:r>
          </w:p>
        </w:tc>
      </w:tr>
      <w:tr w:rsidR="001E5040" w:rsidRPr="00B82BBA" w:rsidTr="000D4622">
        <w:trPr>
          <w:trHeight w:val="34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A2AEC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A2AEC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 nebo 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SBV detekován</w:t>
            </w:r>
          </w:p>
        </w:tc>
      </w:tr>
      <w:tr w:rsidR="001E5040" w:rsidRPr="00B82BBA" w:rsidTr="000D4622">
        <w:trPr>
          <w:trHeight w:val="34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A2AEC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A2AEC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&lt; 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SBV nedetekován</w:t>
            </w:r>
          </w:p>
        </w:tc>
      </w:tr>
      <w:tr w:rsidR="001E5040" w:rsidRPr="00B82BBA" w:rsidTr="000D4622">
        <w:trPr>
          <w:trHeight w:val="346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A2AEC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A2AEC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C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bscript"/>
                <w:lang w:bidi="cs-CZ"/>
              </w:rPr>
              <w:t>t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 xml:space="preserve"> &gt; 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040" w:rsidRPr="00B82BBA" w:rsidRDefault="00CC0693" w:rsidP="000D462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lang w:bidi="cs-CZ"/>
              </w:rPr>
              <w:t>Nevalidováno</w:t>
            </w:r>
            <w:r w:rsidRPr="00B82BBA">
              <w:rPr>
                <w:rFonts w:asciiTheme="minorHAnsi" w:eastAsia="Arial Narrow" w:hAnsiTheme="minorHAnsi" w:cstheme="minorHAnsi"/>
                <w:sz w:val="16"/>
                <w:szCs w:val="18"/>
                <w:vertAlign w:val="superscript"/>
                <w:lang w:bidi="cs-CZ"/>
              </w:rPr>
              <w:t>(1)</w:t>
            </w:r>
          </w:p>
        </w:tc>
      </w:tr>
    </w:tbl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6"/>
          <w:szCs w:val="18"/>
        </w:rPr>
      </w:pPr>
      <w:r w:rsidRPr="00B82BBA">
        <w:rPr>
          <w:rFonts w:asciiTheme="minorHAnsi" w:eastAsia="Arial Narrow" w:hAnsiTheme="minorHAnsi" w:cstheme="minorHAnsi"/>
          <w:sz w:val="16"/>
          <w:szCs w:val="18"/>
          <w:vertAlign w:val="superscript"/>
          <w:lang w:bidi="cs-CZ"/>
        </w:rPr>
        <w:t>(1)</w:t>
      </w:r>
      <w:r w:rsidRPr="00B82BBA">
        <w:rPr>
          <w:rFonts w:asciiTheme="minorHAnsi" w:eastAsia="Arial Narrow" w:hAnsiTheme="minorHAnsi" w:cstheme="minorHAnsi"/>
          <w:sz w:val="16"/>
          <w:szCs w:val="18"/>
          <w:lang w:bidi="cs-CZ"/>
        </w:rPr>
        <w:t xml:space="preserve"> Vzorek bude považován za nevalidovaný z důvodu nevyhovující hodnoty IPC.</w:t>
      </w: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Postup pro zacházení s nevalidovanými vzorky</w:t>
      </w:r>
    </w:p>
    <w:p w:rsidR="001E5040" w:rsidRPr="00B82BBA" w:rsidRDefault="00CC0693" w:rsidP="000D4622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Nevalidovaný vzorek RNA nařeďte v poměru 1 : 5 v 1X TE pufru.</w:t>
      </w:r>
    </w:p>
    <w:p w:rsidR="001E5040" w:rsidRPr="00B82BBA" w:rsidRDefault="00CC0693" w:rsidP="000D4622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Proveďte novou RT-PCR analýzu na 5 μl tohoto ředění.</w:t>
      </w:r>
    </w:p>
    <w:p w:rsidR="001E5040" w:rsidRPr="00B82BBA" w:rsidRDefault="00CC0693" w:rsidP="000D4622">
      <w:pPr>
        <w:pStyle w:val="Odstavecseseznamem"/>
        <w:numPr>
          <w:ilvl w:val="0"/>
          <w:numId w:val="11"/>
        </w:numPr>
        <w:tabs>
          <w:tab w:val="center" w:pos="8535"/>
          <w:tab w:val="right" w:pos="9721"/>
        </w:tabs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Pokud je zředěná RNA pozitivní na SBV nebo negativní na SBV s přijatelným výsledkem IPC, získaný výsledek se validuje.</w:t>
      </w:r>
    </w:p>
    <w:p w:rsidR="001E5040" w:rsidRPr="00B82BBA" w:rsidRDefault="00CC0693" w:rsidP="000D4622">
      <w:pPr>
        <w:pStyle w:val="Odstavecseseznamem"/>
        <w:numPr>
          <w:ilvl w:val="0"/>
          <w:numId w:val="11"/>
        </w:numPr>
        <w:tabs>
          <w:tab w:val="center" w:pos="8535"/>
          <w:tab w:val="right" w:pos="9721"/>
        </w:tabs>
        <w:spacing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Pokud je zředěná RNA negativní na SBV s nepřijatelným výsledkem IPC, pak získaný výsledek stále není validován. V takovém případě opakujte extrakci nukleové kyseliny za použití vzorku zředěného 1:2 v 1X PBS pufru.</w:t>
      </w:r>
    </w:p>
    <w:p w:rsidR="000D4622" w:rsidRPr="00B82BBA" w:rsidRDefault="000D4622" w:rsidP="00657210">
      <w:pPr>
        <w:spacing w:line="276" w:lineRule="auto"/>
        <w:outlineLvl w:val="2"/>
        <w:rPr>
          <w:rFonts w:asciiTheme="minorHAnsi" w:hAnsiTheme="minorHAnsi" w:cstheme="minorHAnsi"/>
          <w:sz w:val="18"/>
          <w:szCs w:val="18"/>
        </w:rPr>
      </w:pPr>
      <w:bookmarkStart w:id="16" w:name="bookmark16"/>
    </w:p>
    <w:p w:rsidR="000D4622" w:rsidRPr="00B82BBA" w:rsidRDefault="000D4622" w:rsidP="00657210">
      <w:pPr>
        <w:spacing w:line="276" w:lineRule="auto"/>
        <w:outlineLvl w:val="2"/>
        <w:rPr>
          <w:rFonts w:asciiTheme="minorHAnsi" w:hAnsiTheme="minorHAnsi" w:cstheme="minorHAnsi"/>
          <w:sz w:val="18"/>
          <w:szCs w:val="18"/>
        </w:rPr>
        <w:sectPr w:rsidR="000D4622" w:rsidRPr="00B82BBA" w:rsidSect="00832DF2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709" w:right="427" w:bottom="709" w:left="567" w:header="0" w:footer="3" w:gutter="0"/>
          <w:cols w:space="720"/>
          <w:noEndnote/>
          <w:titlePg/>
          <w:docGrid w:linePitch="360"/>
        </w:sectPr>
      </w:pPr>
    </w:p>
    <w:p w:rsidR="001E5040" w:rsidRPr="00B82BBA" w:rsidRDefault="00CC0693" w:rsidP="00657210">
      <w:pPr>
        <w:spacing w:line="276" w:lineRule="auto"/>
        <w:outlineLvl w:val="2"/>
        <w:rPr>
          <w:rFonts w:asciiTheme="minorHAnsi" w:hAnsiTheme="minorHAnsi" w:cstheme="minorHAnsi"/>
          <w:b/>
          <w:szCs w:val="18"/>
        </w:rPr>
      </w:pPr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lastRenderedPageBreak/>
        <w:t>Dokumentace a podpora</w:t>
      </w:r>
      <w:bookmarkEnd w:id="16"/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055ACA" w:rsidRPr="00B82BBA" w:rsidRDefault="00055ACA" w:rsidP="00657210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  <w:sectPr w:rsidR="00055ACA" w:rsidRPr="00B82BBA" w:rsidSect="000D4622">
          <w:footerReference w:type="first" r:id="rId14"/>
          <w:pgSz w:w="11909" w:h="16834"/>
          <w:pgMar w:top="568" w:right="427" w:bottom="709" w:left="567" w:header="0" w:footer="3" w:gutter="0"/>
          <w:cols w:space="720"/>
          <w:noEndnote/>
          <w:titlePg/>
          <w:docGrid w:linePitch="360"/>
        </w:sectPr>
      </w:pPr>
      <w:bookmarkStart w:id="17" w:name="bookmark17"/>
    </w:p>
    <w:p w:rsidR="001E5040" w:rsidRPr="00B82BBA" w:rsidRDefault="00CC0693" w:rsidP="00657210">
      <w:pPr>
        <w:spacing w:line="276" w:lineRule="auto"/>
        <w:outlineLvl w:val="3"/>
        <w:rPr>
          <w:rFonts w:asciiTheme="minorHAnsi" w:hAnsiTheme="minorHAnsi" w:cstheme="minorHAnsi"/>
          <w:b/>
          <w:sz w:val="20"/>
          <w:szCs w:val="18"/>
        </w:rPr>
      </w:pPr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lastRenderedPageBreak/>
        <w:t>Zákaznická a technická podpora</w:t>
      </w:r>
      <w:bookmarkEnd w:id="17"/>
    </w:p>
    <w:p w:rsidR="00055ACA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Technická podpora: navštivte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>thermofisher.com/askaquestion</w:t>
      </w:r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 xml:space="preserve">Navštivte </w:t>
      </w:r>
      <w:r w:rsidRPr="00B82BBA">
        <w:rPr>
          <w:rFonts w:asciiTheme="minorHAnsi" w:eastAsia="Times New Roman" w:hAnsiTheme="minorHAnsi" w:cstheme="minorHAnsi"/>
          <w:b/>
          <w:sz w:val="18"/>
          <w:szCs w:val="18"/>
          <w:lang w:bidi="cs-CZ"/>
        </w:rPr>
        <w:t xml:space="preserve">thermofisher.com/support 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pro nejnovější služby a podporu:</w:t>
      </w:r>
    </w:p>
    <w:p w:rsidR="001E5040" w:rsidRPr="00B82BBA" w:rsidRDefault="00CC0693" w:rsidP="00055ACA">
      <w:pPr>
        <w:pStyle w:val="Odstavecseseznamem"/>
        <w:numPr>
          <w:ilvl w:val="0"/>
          <w:numId w:val="3"/>
        </w:numPr>
        <w:spacing w:line="276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Mezinárodní kontaktní telefonní čísla</w:t>
      </w:r>
    </w:p>
    <w:p w:rsidR="001E5040" w:rsidRPr="00B82BBA" w:rsidRDefault="00CC0693" w:rsidP="00055ACA">
      <w:pPr>
        <w:pStyle w:val="Odstavecseseznamem"/>
        <w:numPr>
          <w:ilvl w:val="0"/>
          <w:numId w:val="3"/>
        </w:numPr>
        <w:spacing w:line="276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Objednávková a webová podpora</w:t>
      </w:r>
    </w:p>
    <w:p w:rsidR="001E5040" w:rsidRPr="00B82BBA" w:rsidRDefault="00CC0693" w:rsidP="00055ACA">
      <w:pPr>
        <w:pStyle w:val="Odstavecseseznamem"/>
        <w:numPr>
          <w:ilvl w:val="0"/>
          <w:numId w:val="3"/>
        </w:numPr>
        <w:spacing w:line="276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Uživatelské příručky, manuály a protokoly</w:t>
      </w:r>
    </w:p>
    <w:p w:rsidR="001E5040" w:rsidRPr="00B82BBA" w:rsidRDefault="00CC0693" w:rsidP="00055ACA">
      <w:pPr>
        <w:pStyle w:val="Odstavecseseznamem"/>
        <w:numPr>
          <w:ilvl w:val="0"/>
          <w:numId w:val="3"/>
        </w:numPr>
        <w:spacing w:line="276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Osvědčení o analýze</w:t>
      </w:r>
    </w:p>
    <w:p w:rsidR="00055ACA" w:rsidRPr="00B82BBA" w:rsidRDefault="00CC0693" w:rsidP="00055ACA">
      <w:pPr>
        <w:pStyle w:val="Odstavecseseznamem"/>
        <w:numPr>
          <w:ilvl w:val="0"/>
          <w:numId w:val="3"/>
        </w:numPr>
        <w:spacing w:line="276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Bezpečnostní listy (BL; známé také jako MSDS)</w:t>
      </w:r>
    </w:p>
    <w:p w:rsidR="001E5040" w:rsidRPr="00B82BBA" w:rsidRDefault="00CC0693" w:rsidP="00055ACA">
      <w:pPr>
        <w:pStyle w:val="Odstavecseseznamem"/>
        <w:spacing w:line="276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Arial Narrow" w:hAnsiTheme="minorHAnsi" w:cstheme="minorHAnsi"/>
          <w:b/>
          <w:sz w:val="18"/>
          <w:szCs w:val="18"/>
          <w:lang w:bidi="cs-CZ"/>
        </w:rPr>
        <w:t>POZNÁMKA</w:t>
      </w: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: Pokud chcete získat bezpečnostní listy pro chemické látky jiných výrobců, kontaktujte výrobce.</w:t>
      </w:r>
    </w:p>
    <w:p w:rsidR="00C52BC8" w:rsidRPr="00B82BBA" w:rsidRDefault="00055ACA" w:rsidP="00C52BC8">
      <w:pPr>
        <w:spacing w:line="276" w:lineRule="auto"/>
        <w:outlineLvl w:val="3"/>
        <w:rPr>
          <w:rFonts w:asciiTheme="minorHAnsi" w:eastAsia="Times New Roman" w:hAnsiTheme="minorHAnsi" w:cstheme="minorHAnsi"/>
          <w:sz w:val="18"/>
          <w:szCs w:val="18"/>
          <w:lang w:bidi="cs-CZ"/>
        </w:rPr>
      </w:pPr>
      <w:bookmarkStart w:id="18" w:name="bookmark18"/>
      <w:r w:rsidRPr="00B82BBA">
        <w:rPr>
          <w:rFonts w:asciiTheme="minorHAnsi" w:eastAsia="Arial Narrow" w:hAnsiTheme="minorHAnsi" w:cstheme="minorHAnsi"/>
          <w:b/>
          <w:sz w:val="20"/>
          <w:szCs w:val="18"/>
          <w:lang w:bidi="cs-CZ"/>
        </w:rPr>
        <w:br w:type="column"/>
      </w:r>
      <w:bookmarkEnd w:id="18"/>
    </w:p>
    <w:p w:rsidR="001E5040" w:rsidRPr="00B82BBA" w:rsidRDefault="00CC0693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2BBA">
        <w:rPr>
          <w:rFonts w:asciiTheme="minorHAnsi" w:eastAsia="Times New Roman" w:hAnsiTheme="minorHAnsi" w:cstheme="minorHAnsi"/>
          <w:sz w:val="18"/>
          <w:szCs w:val="18"/>
          <w:lang w:bidi="cs-CZ"/>
        </w:rPr>
        <w:t>.</w:t>
      </w:r>
    </w:p>
    <w:p w:rsidR="00055ACA" w:rsidRPr="00B82BBA" w:rsidRDefault="00055ACA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  <w:sectPr w:rsidR="00055ACA" w:rsidRPr="00B82BBA" w:rsidSect="00EE7D08">
          <w:type w:val="continuous"/>
          <w:pgSz w:w="11909" w:h="16834"/>
          <w:pgMar w:top="568" w:right="427" w:bottom="709" w:left="567" w:header="0" w:footer="3" w:gutter="0"/>
          <w:cols w:num="2" w:space="425"/>
          <w:noEndnote/>
          <w:titlePg/>
          <w:docGrid w:linePitch="360"/>
        </w:sectPr>
      </w:pPr>
    </w:p>
    <w:p w:rsidR="001E5040" w:rsidRPr="00B82BBA" w:rsidRDefault="001E5040" w:rsidP="00657210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sectPr w:rsidR="001E5040" w:rsidRPr="00B82BBA" w:rsidSect="00055ACA">
      <w:type w:val="continuous"/>
      <w:pgSz w:w="11909" w:h="16834"/>
      <w:pgMar w:top="568" w:right="427" w:bottom="709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CB" w:rsidRDefault="00073BCB">
      <w:r>
        <w:separator/>
      </w:r>
    </w:p>
  </w:endnote>
  <w:endnote w:type="continuationSeparator" w:id="0">
    <w:p w:rsidR="00073BCB" w:rsidRDefault="0007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76"/>
      <w:gridCol w:w="5616"/>
    </w:tblGrid>
    <w:tr w:rsidR="009A490E" w:rsidRPr="00C25380" w:rsidTr="009E4863">
      <w:trPr>
        <w:trHeight w:val="298"/>
      </w:trPr>
      <w:tc>
        <w:tcPr>
          <w:tcW w:w="5376" w:type="dxa"/>
          <w:shd w:val="clear" w:color="auto" w:fill="FFFFFF"/>
          <w:vAlign w:val="bottom"/>
        </w:tcPr>
        <w:p w:rsidR="009A490E" w:rsidRPr="00C25380" w:rsidRDefault="009A490E" w:rsidP="009E4863">
          <w:pPr>
            <w:spacing w:line="276" w:lineRule="auto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617469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2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  <w:tc>
        <w:tcPr>
          <w:tcW w:w="5616" w:type="dxa"/>
          <w:shd w:val="clear" w:color="auto" w:fill="FFFFFF"/>
          <w:vAlign w:val="center"/>
        </w:tcPr>
        <w:p w:rsidR="009A490E" w:rsidRPr="009A490E" w:rsidRDefault="009A490E" w:rsidP="009E4863">
          <w:pPr>
            <w:spacing w:line="276" w:lineRule="auto"/>
            <w:jc w:val="right"/>
            <w:rPr>
              <w:rFonts w:ascii="Arial Narrow" w:hAnsi="Arial Narrow"/>
              <w:i/>
              <w:sz w:val="18"/>
              <w:szCs w:val="18"/>
            </w:rPr>
          </w:pPr>
        </w:p>
      </w:tc>
    </w:tr>
  </w:tbl>
  <w:p w:rsidR="009A490E" w:rsidRDefault="009A490E">
    <w:pPr>
      <w:pStyle w:val="Zpat"/>
    </w:pPr>
  </w:p>
  <w:p w:rsidR="009A490E" w:rsidRDefault="009A49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76"/>
      <w:gridCol w:w="3610"/>
    </w:tblGrid>
    <w:tr w:rsidR="000D4622" w:rsidRPr="00C25380" w:rsidTr="009E4863">
      <w:trPr>
        <w:trHeight w:val="230"/>
      </w:trPr>
      <w:tc>
        <w:tcPr>
          <w:tcW w:w="7176" w:type="dxa"/>
          <w:shd w:val="clear" w:color="auto" w:fill="FFFFFF"/>
        </w:tcPr>
        <w:p w:rsidR="000D4622" w:rsidRPr="000D4622" w:rsidRDefault="000D4622" w:rsidP="009E4863">
          <w:pPr>
            <w:spacing w:line="276" w:lineRule="auto"/>
            <w:rPr>
              <w:rFonts w:ascii="Arial Narrow" w:hAnsi="Arial Narrow"/>
              <w:i/>
              <w:sz w:val="18"/>
              <w:szCs w:val="18"/>
            </w:rPr>
          </w:pPr>
        </w:p>
      </w:tc>
      <w:tc>
        <w:tcPr>
          <w:tcW w:w="3610" w:type="dxa"/>
          <w:shd w:val="clear" w:color="auto" w:fill="FFFFFF"/>
        </w:tcPr>
        <w:p w:rsidR="000D4622" w:rsidRPr="00C25380" w:rsidRDefault="000D4622" w:rsidP="009E4863">
          <w:pPr>
            <w:spacing w:line="276" w:lineRule="auto"/>
            <w:jc w:val="right"/>
            <w:rPr>
              <w:rFonts w:ascii="Arial Narrow" w:hAnsi="Arial Narrow"/>
              <w:sz w:val="18"/>
              <w:szCs w:val="18"/>
            </w:rPr>
          </w:pP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begin"/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instrText>PAGE   \* MERGEFORMAT</w:instrTex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separate"/>
          </w:r>
          <w:r w:rsidR="00617469">
            <w:rPr>
              <w:rFonts w:ascii="Arial Narrow" w:eastAsia="Arial Narrow" w:hAnsi="Arial Narrow" w:cs="Arial Narrow"/>
              <w:noProof/>
              <w:sz w:val="18"/>
              <w:szCs w:val="18"/>
              <w:lang w:bidi="cs-CZ"/>
            </w:rPr>
            <w:t>3</w:t>
          </w:r>
          <w:r w:rsidRPr="009A490E">
            <w:rPr>
              <w:rFonts w:ascii="Arial Narrow" w:eastAsia="Arial Narrow" w:hAnsi="Arial Narrow" w:cs="Arial Narrow"/>
              <w:sz w:val="18"/>
              <w:szCs w:val="18"/>
              <w:lang w:bidi="cs-CZ"/>
            </w:rPr>
            <w:fldChar w:fldCharType="end"/>
          </w:r>
        </w:p>
      </w:tc>
    </w:tr>
  </w:tbl>
  <w:p w:rsidR="000D4622" w:rsidRDefault="000D4622">
    <w:pPr>
      <w:pStyle w:val="Zpat"/>
    </w:pPr>
  </w:p>
  <w:p w:rsidR="000D4622" w:rsidRPr="000D4622" w:rsidRDefault="000D46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80" w:rsidRPr="00C25380" w:rsidRDefault="00C25380" w:rsidP="00C25380">
    <w:pPr>
      <w:outlineLvl w:val="3"/>
      <w:rPr>
        <w:rFonts w:ascii="Arial Narrow" w:hAnsi="Arial Narrow"/>
        <w:b/>
        <w:sz w:val="18"/>
        <w:szCs w:val="18"/>
      </w:rPr>
    </w:pPr>
  </w:p>
  <w:p w:rsidR="00C25380" w:rsidRDefault="00C25380">
    <w:pPr>
      <w:pStyle w:val="Zpat"/>
    </w:pPr>
  </w:p>
  <w:p w:rsidR="00C25380" w:rsidRDefault="00C2538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CA" w:rsidRPr="00BC5C5D" w:rsidRDefault="00055ACA" w:rsidP="00BC5C5D">
    <w:pPr>
      <w:spacing w:line="276" w:lineRule="auto"/>
      <w:rPr>
        <w:rFonts w:ascii="Arial Narrow" w:hAnsi="Arial Narrow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CB" w:rsidRDefault="00073BCB"/>
  </w:footnote>
  <w:footnote w:type="continuationSeparator" w:id="0">
    <w:p w:rsidR="00073BCB" w:rsidRDefault="00073B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80" w:rsidRDefault="00C25380">
    <w:pPr>
      <w:pStyle w:val="Zhlav"/>
    </w:pPr>
  </w:p>
  <w:p w:rsidR="00BC5C5D" w:rsidRDefault="00BC5C5D" w:rsidP="00BC5C5D">
    <w:pPr>
      <w:pStyle w:val="Zhlav"/>
      <w:jc w:val="center"/>
      <w:rPr>
        <w:rFonts w:ascii="Arial" w:eastAsia="Arial" w:hAnsi="Arial" w:cs="Arial"/>
        <w:color w:val="FF0000"/>
        <w:sz w:val="22"/>
        <w:szCs w:val="18"/>
        <w:lang w:bidi="cs-CZ"/>
      </w:rPr>
    </w:pPr>
  </w:p>
  <w:p w:rsidR="00BC5C5D" w:rsidRPr="00C25380" w:rsidRDefault="00BC5C5D" w:rsidP="00C25380">
    <w:pPr>
      <w:pStyle w:val="Zhlav"/>
      <w:jc w:val="center"/>
      <w:rPr>
        <w:rFonts w:ascii="Arial" w:hAnsi="Arial" w:cs="Arial"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95"/>
    <w:multiLevelType w:val="hybridMultilevel"/>
    <w:tmpl w:val="0A000B2C"/>
    <w:lvl w:ilvl="0" w:tplc="34DC5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767C"/>
    <w:multiLevelType w:val="hybridMultilevel"/>
    <w:tmpl w:val="AB44ECBA"/>
    <w:lvl w:ilvl="0" w:tplc="9BB2709E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1B26"/>
    <w:multiLevelType w:val="hybridMultilevel"/>
    <w:tmpl w:val="D2F45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CEF"/>
    <w:multiLevelType w:val="hybridMultilevel"/>
    <w:tmpl w:val="6646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02956"/>
    <w:multiLevelType w:val="hybridMultilevel"/>
    <w:tmpl w:val="EF6A6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4C09"/>
    <w:multiLevelType w:val="hybridMultilevel"/>
    <w:tmpl w:val="927C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D34E2"/>
    <w:multiLevelType w:val="hybridMultilevel"/>
    <w:tmpl w:val="AF443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E1A09"/>
    <w:multiLevelType w:val="hybridMultilevel"/>
    <w:tmpl w:val="222A30D8"/>
    <w:lvl w:ilvl="0" w:tplc="9BB2709E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3685F"/>
    <w:multiLevelType w:val="hybridMultilevel"/>
    <w:tmpl w:val="28BE5B78"/>
    <w:lvl w:ilvl="0" w:tplc="9BB2709E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6CAEB890">
      <w:start w:val="5"/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264F4"/>
    <w:multiLevelType w:val="hybridMultilevel"/>
    <w:tmpl w:val="248EC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85DE5"/>
    <w:multiLevelType w:val="hybridMultilevel"/>
    <w:tmpl w:val="D3C2707E"/>
    <w:lvl w:ilvl="0" w:tplc="9BB2709E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43E14"/>
    <w:multiLevelType w:val="hybridMultilevel"/>
    <w:tmpl w:val="8B5A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40"/>
    <w:rsid w:val="00055ACA"/>
    <w:rsid w:val="00073BCB"/>
    <w:rsid w:val="000D0376"/>
    <w:rsid w:val="000D4622"/>
    <w:rsid w:val="001D2723"/>
    <w:rsid w:val="001E5040"/>
    <w:rsid w:val="002F6A86"/>
    <w:rsid w:val="00343CE7"/>
    <w:rsid w:val="00361283"/>
    <w:rsid w:val="00396646"/>
    <w:rsid w:val="00454B48"/>
    <w:rsid w:val="004B1B26"/>
    <w:rsid w:val="005545FA"/>
    <w:rsid w:val="00557C88"/>
    <w:rsid w:val="00617469"/>
    <w:rsid w:val="00657210"/>
    <w:rsid w:val="00832DF2"/>
    <w:rsid w:val="00855831"/>
    <w:rsid w:val="0088335B"/>
    <w:rsid w:val="0097778B"/>
    <w:rsid w:val="009A490E"/>
    <w:rsid w:val="009E18A8"/>
    <w:rsid w:val="00A31C49"/>
    <w:rsid w:val="00A51FCF"/>
    <w:rsid w:val="00AD199B"/>
    <w:rsid w:val="00B30728"/>
    <w:rsid w:val="00B82BBA"/>
    <w:rsid w:val="00BB643F"/>
    <w:rsid w:val="00BC5C5D"/>
    <w:rsid w:val="00C25380"/>
    <w:rsid w:val="00C52BC8"/>
    <w:rsid w:val="00C77464"/>
    <w:rsid w:val="00CA2AEC"/>
    <w:rsid w:val="00CC0693"/>
    <w:rsid w:val="00EA3C03"/>
    <w:rsid w:val="00E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C25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538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25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380"/>
    <w:rPr>
      <w:color w:val="000000"/>
    </w:rPr>
  </w:style>
  <w:style w:type="paragraph" w:styleId="Odstavecseseznamem">
    <w:name w:val="List Paragraph"/>
    <w:basedOn w:val="Normln"/>
    <w:uiPriority w:val="34"/>
    <w:qFormat/>
    <w:rsid w:val="00C253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3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C25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538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25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380"/>
    <w:rPr>
      <w:color w:val="000000"/>
    </w:rPr>
  </w:style>
  <w:style w:type="paragraph" w:styleId="Odstavecseseznamem">
    <w:name w:val="List Paragraph"/>
    <w:basedOn w:val="Normln"/>
    <w:uiPriority w:val="34"/>
    <w:qFormat/>
    <w:rsid w:val="00C253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3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1379</Words>
  <Characters>8137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VetMAX™ Schmallenberg Virus Kit Instructions for Use (EN)(MAN0008328 Rev.B)</vt:lpstr>
      <vt:lpstr>VetMAX™ Schmallenberg Virus Kit Instructions for Use (EN)(MAN0008328 Rev.B)</vt:lpstr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VetMAX™ Schmallenberg Virus Kit Instructions for Use (EN)(MAN0008328 Rev.B)</dc:title>
  <dc:subject>VetMAX™ Schmallenberg Virus Kit (SBVS50)</dc:subject>
  <dc:creator>uzivatel</dc:creator>
  <cp:lastModifiedBy>Klapková Kristýna</cp:lastModifiedBy>
  <cp:revision>7</cp:revision>
  <cp:lastPrinted>2019-12-20T07:44:00Z</cp:lastPrinted>
  <dcterms:created xsi:type="dcterms:W3CDTF">2019-09-23T18:13:00Z</dcterms:created>
  <dcterms:modified xsi:type="dcterms:W3CDTF">2019-12-20T09:36:00Z</dcterms:modified>
</cp:coreProperties>
</file>