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7FE8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34BA21B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796897A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524D27C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0AB9C41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2964391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49AADAA8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A9335B9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C80DA1E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63C778F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48C36770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B642043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1B366563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10DC3F8A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C7E49ED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43E6FD29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F8AF5AC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0FF90EA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47673B25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5E54E7FC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7A549DD0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1B372AA7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2E6C0656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13BD787" w14:textId="77777777" w:rsidR="00E57ED3" w:rsidRDefault="0022717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PŘÍLOHA I</w:t>
      </w:r>
    </w:p>
    <w:p w14:paraId="6FC8180D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6A4FABE6" w14:textId="77777777" w:rsidR="00E57ED3" w:rsidRDefault="0022717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SOUHRN ÚDAJŮ O PŘÍPRAVKU</w:t>
      </w:r>
    </w:p>
    <w:p w14:paraId="0D8281A1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br w:type="page"/>
      </w:r>
      <w:r>
        <w:rPr>
          <w:rFonts w:ascii="Times New Roman" w:hAnsi="Times New Roman"/>
          <w:szCs w:val="22"/>
          <w:lang w:bidi="cs-CZ"/>
        </w:rPr>
        <w:lastRenderedPageBreak/>
        <w:t>1.</w:t>
      </w:r>
      <w:r>
        <w:rPr>
          <w:rFonts w:ascii="Times New Roman" w:hAnsi="Times New Roman"/>
          <w:szCs w:val="22"/>
          <w:lang w:bidi="cs-CZ"/>
        </w:rPr>
        <w:tab/>
        <w:t xml:space="preserve">NÁZEV VETERINÁRNÍHO LÉČIVÉHO PŘÍPRAVKU </w:t>
      </w:r>
    </w:p>
    <w:p w14:paraId="57576435" w14:textId="2790147F" w:rsidR="00E57ED3" w:rsidRDefault="00227172" w:rsidP="00A611B4">
      <w:pPr>
        <w:pStyle w:val="BODY"/>
        <w:rPr>
          <w:szCs w:val="22"/>
        </w:rPr>
      </w:pPr>
      <w:r>
        <w:rPr>
          <w:szCs w:val="22"/>
        </w:rPr>
        <w:t xml:space="preserve">Alfadexx 2 mg/ml injekční roztok pro koně, skot, kozy, prasata, psy a kočky </w:t>
      </w:r>
    </w:p>
    <w:p w14:paraId="4EAC3306" w14:textId="77777777" w:rsidR="00E57ED3" w:rsidRDefault="00E57ED3">
      <w:pPr>
        <w:rPr>
          <w:rFonts w:eastAsia="Cambria"/>
          <w:szCs w:val="22"/>
          <w:lang w:eastAsia="ja-JP"/>
        </w:rPr>
      </w:pPr>
    </w:p>
    <w:p w14:paraId="3F2E4AFE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2.</w:t>
      </w:r>
      <w:r>
        <w:rPr>
          <w:rFonts w:ascii="Times New Roman" w:hAnsi="Times New Roman"/>
          <w:szCs w:val="22"/>
          <w:lang w:bidi="cs-CZ"/>
        </w:rPr>
        <w:tab/>
        <w:t>KVALITATIVNÍ A KVANTITATIVNÍ SLOŽENÍ</w:t>
      </w:r>
    </w:p>
    <w:p w14:paraId="6DFFB5A2" w14:textId="07FA6892" w:rsidR="00E57ED3" w:rsidRDefault="00586A37">
      <w:pPr>
        <w:pStyle w:val="Nadpis4"/>
        <w:rPr>
          <w:szCs w:val="22"/>
          <w:u w:val="none"/>
        </w:rPr>
      </w:pPr>
      <w:bookmarkStart w:id="0" w:name="_Hlk73016249"/>
      <w:r>
        <w:rPr>
          <w:szCs w:val="22"/>
          <w:u w:val="none"/>
        </w:rPr>
        <w:t>Každý</w:t>
      </w:r>
      <w:r w:rsidR="00227172">
        <w:rPr>
          <w:szCs w:val="22"/>
          <w:u w:val="none"/>
        </w:rPr>
        <w:t xml:space="preserve"> ml obsahuje: </w:t>
      </w:r>
    </w:p>
    <w:p w14:paraId="05E7ED02" w14:textId="77777777" w:rsidR="00E57ED3" w:rsidRDefault="00E57ED3">
      <w:pPr>
        <w:pStyle w:val="Nadpis5"/>
        <w:rPr>
          <w:szCs w:val="22"/>
        </w:rPr>
      </w:pPr>
    </w:p>
    <w:p w14:paraId="2D7C2199" w14:textId="77777777" w:rsidR="00E57ED3" w:rsidRDefault="00227172">
      <w:pPr>
        <w:pStyle w:val="Nadpis5"/>
        <w:rPr>
          <w:szCs w:val="22"/>
        </w:rPr>
      </w:pPr>
      <w:r>
        <w:rPr>
          <w:szCs w:val="22"/>
        </w:rPr>
        <w:t>Léčivá látka:</w:t>
      </w:r>
    </w:p>
    <w:p w14:paraId="0E21A315" w14:textId="2C8A5FF7" w:rsidR="00E57ED3" w:rsidRDefault="00227172">
      <w:pPr>
        <w:pStyle w:val="BODY"/>
        <w:rPr>
          <w:szCs w:val="22"/>
        </w:rPr>
      </w:pPr>
      <w:proofErr w:type="spellStart"/>
      <w:r>
        <w:rPr>
          <w:szCs w:val="22"/>
        </w:rPr>
        <w:t>Dexamethasonum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 mg</w:t>
      </w:r>
    </w:p>
    <w:p w14:paraId="3B7A0E75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(jako </w:t>
      </w:r>
      <w:bookmarkStart w:id="1" w:name="_Hlk81817464"/>
      <w:r>
        <w:rPr>
          <w:szCs w:val="22"/>
        </w:rPr>
        <w:t>dexamethasoni natrii phosphas</w:t>
      </w:r>
      <w:bookmarkEnd w:id="1"/>
      <w:r>
        <w:rPr>
          <w:szCs w:val="22"/>
        </w:rPr>
        <w:t>)</w:t>
      </w:r>
      <w:r>
        <w:rPr>
          <w:szCs w:val="22"/>
        </w:rPr>
        <w:tab/>
        <w:t>2,63 mg</w:t>
      </w:r>
      <w:r>
        <w:rPr>
          <w:szCs w:val="22"/>
        </w:rPr>
        <w:tab/>
        <w:t xml:space="preserve"> </w:t>
      </w:r>
      <w:r>
        <w:rPr>
          <w:szCs w:val="22"/>
        </w:rPr>
        <w:tab/>
      </w:r>
    </w:p>
    <w:p w14:paraId="54897053" w14:textId="77777777" w:rsidR="00E57ED3" w:rsidRDefault="00227172">
      <w:pPr>
        <w:pStyle w:val="Nadpis5"/>
        <w:rPr>
          <w:szCs w:val="22"/>
        </w:rPr>
      </w:pPr>
      <w:r>
        <w:rPr>
          <w:szCs w:val="22"/>
        </w:rPr>
        <w:t xml:space="preserve">Pomocné látky: </w:t>
      </w:r>
    </w:p>
    <w:tbl>
      <w:tblPr>
        <w:tblW w:w="508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536"/>
      </w:tblGrid>
      <w:tr w:rsidR="00E57ED3" w14:paraId="5283CF9F" w14:textId="77777777" w:rsidTr="00890FF2">
        <w:tc>
          <w:tcPr>
            <w:tcW w:w="2540" w:type="pct"/>
            <w:shd w:val="clear" w:color="auto" w:fill="auto"/>
            <w:vAlign w:val="center"/>
          </w:tcPr>
          <w:p w14:paraId="37A7077B" w14:textId="77777777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1DD6BFAB" w14:textId="77777777" w:rsidR="00E57ED3" w:rsidRPr="00890FF2" w:rsidRDefault="00227172">
            <w:pPr>
              <w:spacing w:before="60" w:after="60"/>
              <w:rPr>
                <w:i/>
                <w:iCs/>
                <w:szCs w:val="22"/>
              </w:rPr>
            </w:pPr>
            <w:r w:rsidRPr="00890FF2">
              <w:rPr>
                <w:b/>
                <w:b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57ED3" w14:paraId="5312F850" w14:textId="77777777" w:rsidTr="00890FF2">
        <w:tc>
          <w:tcPr>
            <w:tcW w:w="2540" w:type="pct"/>
            <w:shd w:val="clear" w:color="auto" w:fill="auto"/>
          </w:tcPr>
          <w:p w14:paraId="25C0F210" w14:textId="40FFB811" w:rsidR="00E57ED3" w:rsidRPr="00890FF2" w:rsidRDefault="00227172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890FF2">
              <w:rPr>
                <w:iCs/>
                <w:szCs w:val="22"/>
              </w:rPr>
              <w:t>Benzylalkohol</w:t>
            </w:r>
            <w:proofErr w:type="spellEnd"/>
            <w:r w:rsidRPr="00890FF2">
              <w:rPr>
                <w:iCs/>
                <w:szCs w:val="22"/>
              </w:rPr>
              <w:t xml:space="preserve"> (E</w:t>
            </w:r>
            <w:r w:rsidR="00586A37">
              <w:rPr>
                <w:iCs/>
                <w:szCs w:val="22"/>
              </w:rPr>
              <w:t xml:space="preserve"> </w:t>
            </w:r>
            <w:r w:rsidRPr="00890FF2">
              <w:rPr>
                <w:iCs/>
                <w:szCs w:val="22"/>
              </w:rPr>
              <w:t>1519)</w:t>
            </w:r>
          </w:p>
        </w:tc>
        <w:tc>
          <w:tcPr>
            <w:tcW w:w="2460" w:type="pct"/>
            <w:shd w:val="clear" w:color="auto" w:fill="auto"/>
          </w:tcPr>
          <w:p w14:paraId="7613077B" w14:textId="77777777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15,6 mg</w:t>
            </w:r>
          </w:p>
        </w:tc>
      </w:tr>
      <w:tr w:rsidR="00E57ED3" w14:paraId="7A28B48E" w14:textId="77777777" w:rsidTr="00890FF2">
        <w:tc>
          <w:tcPr>
            <w:tcW w:w="2540" w:type="pct"/>
            <w:shd w:val="clear" w:color="auto" w:fill="auto"/>
          </w:tcPr>
          <w:p w14:paraId="19CCEE01" w14:textId="77777777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Chlorid sodný</w:t>
            </w:r>
          </w:p>
        </w:tc>
        <w:tc>
          <w:tcPr>
            <w:tcW w:w="2460" w:type="pct"/>
            <w:shd w:val="clear" w:color="auto" w:fill="auto"/>
          </w:tcPr>
          <w:p w14:paraId="65D36724" w14:textId="77777777" w:rsidR="00E57ED3" w:rsidRPr="00890FF2" w:rsidRDefault="00E57ED3">
            <w:pPr>
              <w:spacing w:before="60" w:after="60"/>
              <w:rPr>
                <w:iCs/>
                <w:szCs w:val="22"/>
              </w:rPr>
            </w:pPr>
          </w:p>
        </w:tc>
      </w:tr>
      <w:tr w:rsidR="00E57ED3" w14:paraId="62BDA1FB" w14:textId="77777777" w:rsidTr="00890FF2">
        <w:tc>
          <w:tcPr>
            <w:tcW w:w="2540" w:type="pct"/>
            <w:shd w:val="clear" w:color="auto" w:fill="auto"/>
          </w:tcPr>
          <w:p w14:paraId="06A39BAF" w14:textId="77777777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 xml:space="preserve">Natrium-citrát </w:t>
            </w:r>
          </w:p>
        </w:tc>
        <w:tc>
          <w:tcPr>
            <w:tcW w:w="2460" w:type="pct"/>
            <w:shd w:val="clear" w:color="auto" w:fill="auto"/>
          </w:tcPr>
          <w:p w14:paraId="4D9831DC" w14:textId="77777777" w:rsidR="00E57ED3" w:rsidRPr="00890FF2" w:rsidRDefault="00E57ED3">
            <w:pPr>
              <w:spacing w:before="60" w:after="60"/>
              <w:rPr>
                <w:iCs/>
                <w:szCs w:val="22"/>
              </w:rPr>
            </w:pPr>
          </w:p>
        </w:tc>
      </w:tr>
      <w:tr w:rsidR="00E57ED3" w14:paraId="74742620" w14:textId="77777777" w:rsidTr="00890FF2">
        <w:tc>
          <w:tcPr>
            <w:tcW w:w="2540" w:type="pct"/>
            <w:shd w:val="clear" w:color="auto" w:fill="auto"/>
          </w:tcPr>
          <w:p w14:paraId="1FFC0AF4" w14:textId="53903FAD" w:rsidR="00E57ED3" w:rsidRPr="00890FF2" w:rsidRDefault="0022717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890FF2">
              <w:t>Kyselina citr</w:t>
            </w:r>
            <w:r w:rsidR="00586A37">
              <w:t>o</w:t>
            </w:r>
            <w:r w:rsidRPr="00890FF2">
              <w:t>nová (k úpravě pH)</w:t>
            </w:r>
          </w:p>
        </w:tc>
        <w:tc>
          <w:tcPr>
            <w:tcW w:w="2460" w:type="pct"/>
            <w:shd w:val="clear" w:color="auto" w:fill="auto"/>
          </w:tcPr>
          <w:p w14:paraId="233CF448" w14:textId="77777777" w:rsidR="00E57ED3" w:rsidRPr="00890FF2" w:rsidRDefault="00E57ED3">
            <w:pPr>
              <w:spacing w:before="60" w:after="60"/>
              <w:rPr>
                <w:iCs/>
                <w:szCs w:val="22"/>
              </w:rPr>
            </w:pPr>
          </w:p>
        </w:tc>
      </w:tr>
      <w:tr w:rsidR="00E57ED3" w14:paraId="6D26FFAB" w14:textId="77777777" w:rsidTr="00890FF2">
        <w:tc>
          <w:tcPr>
            <w:tcW w:w="2540" w:type="pct"/>
            <w:shd w:val="clear" w:color="auto" w:fill="auto"/>
          </w:tcPr>
          <w:p w14:paraId="26E78DC4" w14:textId="77777777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Hydroxid sodný (k úpravě pH)</w:t>
            </w:r>
          </w:p>
        </w:tc>
        <w:tc>
          <w:tcPr>
            <w:tcW w:w="2460" w:type="pct"/>
            <w:shd w:val="clear" w:color="auto" w:fill="auto"/>
          </w:tcPr>
          <w:p w14:paraId="1C3660A9" w14:textId="77777777" w:rsidR="00E57ED3" w:rsidRPr="00890FF2" w:rsidRDefault="00E57ED3">
            <w:pPr>
              <w:spacing w:before="60" w:after="60"/>
              <w:rPr>
                <w:iCs/>
                <w:szCs w:val="22"/>
              </w:rPr>
            </w:pPr>
          </w:p>
        </w:tc>
      </w:tr>
      <w:tr w:rsidR="00E57ED3" w14:paraId="5DC988F1" w14:textId="77777777" w:rsidTr="00890FF2">
        <w:tc>
          <w:tcPr>
            <w:tcW w:w="2540" w:type="pct"/>
            <w:shd w:val="clear" w:color="auto" w:fill="auto"/>
          </w:tcPr>
          <w:p w14:paraId="0C2B3FE1" w14:textId="5FE7AB7C" w:rsidR="00E57ED3" w:rsidRPr="00890FF2" w:rsidRDefault="00227172">
            <w:pPr>
              <w:spacing w:before="60"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 xml:space="preserve">Voda </w:t>
            </w:r>
            <w:r w:rsidR="00586A37">
              <w:rPr>
                <w:iCs/>
                <w:szCs w:val="22"/>
              </w:rPr>
              <w:t>pro</w:t>
            </w:r>
            <w:r w:rsidRPr="00890FF2">
              <w:rPr>
                <w:iCs/>
                <w:szCs w:val="22"/>
              </w:rPr>
              <w:t xml:space="preserve"> injekci</w:t>
            </w:r>
          </w:p>
        </w:tc>
        <w:tc>
          <w:tcPr>
            <w:tcW w:w="2460" w:type="pct"/>
            <w:shd w:val="clear" w:color="auto" w:fill="auto"/>
          </w:tcPr>
          <w:p w14:paraId="723E5ED8" w14:textId="77777777" w:rsidR="00E57ED3" w:rsidRPr="00890FF2" w:rsidRDefault="00E57ED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60247B1" w14:textId="77777777" w:rsidR="00E57ED3" w:rsidRDefault="00E57ED3">
      <w:pPr>
        <w:pStyle w:val="BODY"/>
        <w:rPr>
          <w:szCs w:val="22"/>
        </w:rPr>
      </w:pPr>
    </w:p>
    <w:p w14:paraId="4B8AC727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 bezbarvý až mírně nahnědlý vodný roztok.</w:t>
      </w:r>
    </w:p>
    <w:p w14:paraId="754785D8" w14:textId="23259DB1" w:rsidR="00E57ED3" w:rsidRDefault="00E57ED3">
      <w:pPr>
        <w:rPr>
          <w:szCs w:val="22"/>
        </w:rPr>
      </w:pPr>
    </w:p>
    <w:p w14:paraId="751F55E1" w14:textId="77777777" w:rsidR="00494FF1" w:rsidRDefault="00494FF1">
      <w:pPr>
        <w:rPr>
          <w:szCs w:val="22"/>
        </w:rPr>
      </w:pPr>
    </w:p>
    <w:bookmarkEnd w:id="0"/>
    <w:p w14:paraId="53E6A422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3.</w:t>
      </w:r>
      <w:r>
        <w:rPr>
          <w:rFonts w:ascii="Times New Roman" w:hAnsi="Times New Roman"/>
          <w:szCs w:val="22"/>
          <w:lang w:bidi="cs-CZ"/>
        </w:rPr>
        <w:tab/>
        <w:t xml:space="preserve">KLINICKÉ ÚDAJE </w:t>
      </w:r>
    </w:p>
    <w:p w14:paraId="52337F26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3.1</w:t>
      </w:r>
      <w:r>
        <w:rPr>
          <w:szCs w:val="22"/>
          <w:lang w:bidi="cs-CZ"/>
        </w:rPr>
        <w:tab/>
        <w:t xml:space="preserve">Cílové druhy zvířat </w:t>
      </w:r>
    </w:p>
    <w:p w14:paraId="1CA1A3A2" w14:textId="77777777" w:rsidR="00E57ED3" w:rsidRDefault="00227172">
      <w:pPr>
        <w:pStyle w:val="Nadpis3"/>
        <w:rPr>
          <w:szCs w:val="22"/>
        </w:rPr>
      </w:pPr>
      <w:bookmarkStart w:id="2" w:name="_Hlk58317245"/>
      <w:r>
        <w:rPr>
          <w:b w:val="0"/>
          <w:szCs w:val="22"/>
        </w:rPr>
        <w:t>Koně, skot, kozy, prasata, psi a kočky</w:t>
      </w:r>
    </w:p>
    <w:bookmarkEnd w:id="2"/>
    <w:p w14:paraId="000F34A1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3.2</w:t>
      </w:r>
      <w:r>
        <w:rPr>
          <w:szCs w:val="22"/>
          <w:lang w:bidi="cs-CZ"/>
        </w:rPr>
        <w:tab/>
        <w:t xml:space="preserve">Indikace </w:t>
      </w:r>
      <w:r>
        <w:rPr>
          <w:szCs w:val="22"/>
        </w:rPr>
        <w:t xml:space="preserve">pro použití pro každý </w:t>
      </w:r>
      <w:r>
        <w:rPr>
          <w:szCs w:val="22"/>
          <w:lang w:bidi="cs-CZ"/>
        </w:rPr>
        <w:t xml:space="preserve">cílový druh zvířat </w:t>
      </w:r>
    </w:p>
    <w:p w14:paraId="6262AF7F" w14:textId="77777777" w:rsidR="00E57ED3" w:rsidRDefault="00227172">
      <w:pPr>
        <w:pStyle w:val="BODY"/>
        <w:rPr>
          <w:szCs w:val="22"/>
          <w:u w:val="single"/>
        </w:rPr>
      </w:pPr>
      <w:bookmarkStart w:id="3" w:name="_Hlk43114605"/>
      <w:r>
        <w:rPr>
          <w:szCs w:val="22"/>
          <w:u w:val="single"/>
        </w:rPr>
        <w:t xml:space="preserve">Koně, skot, kozy, prasata, psi a kočky: </w:t>
      </w:r>
    </w:p>
    <w:p w14:paraId="7EF37F04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Léčba zánětů a alergických stavů. </w:t>
      </w:r>
    </w:p>
    <w:p w14:paraId="5E5CA8CC" w14:textId="77777777" w:rsidR="00E57ED3" w:rsidRDefault="00E57ED3">
      <w:pPr>
        <w:pStyle w:val="BODY"/>
        <w:rPr>
          <w:szCs w:val="22"/>
          <w:u w:val="single"/>
        </w:rPr>
      </w:pPr>
    </w:p>
    <w:p w14:paraId="23C48D20" w14:textId="77777777" w:rsidR="00E57ED3" w:rsidRDefault="00227172">
      <w:pPr>
        <w:pStyle w:val="BODY"/>
        <w:rPr>
          <w:szCs w:val="22"/>
          <w:u w:val="single"/>
        </w:rPr>
      </w:pPr>
      <w:r>
        <w:rPr>
          <w:szCs w:val="22"/>
          <w:u w:val="single"/>
        </w:rPr>
        <w:t>Koně:</w:t>
      </w:r>
    </w:p>
    <w:p w14:paraId="4666D77F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Léčba artritidy, bursitidy nebo tenosynovitidy. </w:t>
      </w:r>
    </w:p>
    <w:p w14:paraId="7265F8ED" w14:textId="77777777" w:rsidR="00E57ED3" w:rsidRDefault="00E57ED3">
      <w:pPr>
        <w:pStyle w:val="BODY"/>
        <w:rPr>
          <w:szCs w:val="22"/>
          <w:u w:val="single"/>
        </w:rPr>
      </w:pPr>
    </w:p>
    <w:p w14:paraId="4D0B9B7A" w14:textId="77777777" w:rsidR="00E57ED3" w:rsidRDefault="00227172">
      <w:pPr>
        <w:pStyle w:val="BODY"/>
        <w:rPr>
          <w:szCs w:val="22"/>
          <w:u w:val="single"/>
        </w:rPr>
      </w:pPr>
      <w:r>
        <w:rPr>
          <w:szCs w:val="22"/>
          <w:u w:val="single"/>
        </w:rPr>
        <w:t>Skot:</w:t>
      </w:r>
    </w:p>
    <w:p w14:paraId="51586911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Léčba primární ketózy (acetonemie). </w:t>
      </w:r>
    </w:p>
    <w:p w14:paraId="47C39189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Indukce porodu. </w:t>
      </w:r>
    </w:p>
    <w:p w14:paraId="34B2FEE0" w14:textId="77777777" w:rsidR="00E57ED3" w:rsidRDefault="00E57ED3">
      <w:pPr>
        <w:pStyle w:val="BODY"/>
        <w:rPr>
          <w:szCs w:val="22"/>
          <w:u w:val="single"/>
        </w:rPr>
      </w:pPr>
    </w:p>
    <w:p w14:paraId="51E8A380" w14:textId="77777777" w:rsidR="00E57ED3" w:rsidRDefault="00227172">
      <w:pPr>
        <w:pStyle w:val="BODY"/>
        <w:rPr>
          <w:szCs w:val="22"/>
          <w:u w:val="single"/>
        </w:rPr>
      </w:pPr>
      <w:r>
        <w:rPr>
          <w:szCs w:val="22"/>
          <w:u w:val="single"/>
        </w:rPr>
        <w:t xml:space="preserve">Kozy: </w:t>
      </w:r>
    </w:p>
    <w:p w14:paraId="67109A10" w14:textId="35B39E24" w:rsidR="00E57ED3" w:rsidRDefault="00227172" w:rsidP="00890FF2">
      <w:pPr>
        <w:pStyle w:val="BODY"/>
        <w:rPr>
          <w:szCs w:val="22"/>
          <w:lang w:eastAsia="ja-JP"/>
        </w:rPr>
      </w:pPr>
      <w:r>
        <w:rPr>
          <w:szCs w:val="22"/>
        </w:rPr>
        <w:t>Léčba primární ketózy (acetonemie).</w:t>
      </w:r>
      <w:bookmarkEnd w:id="3"/>
    </w:p>
    <w:p w14:paraId="02F35492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3.3</w:t>
      </w:r>
      <w:r>
        <w:rPr>
          <w:szCs w:val="22"/>
          <w:lang w:bidi="cs-CZ"/>
        </w:rPr>
        <w:tab/>
        <w:t>Kontraindikace</w:t>
      </w:r>
    </w:p>
    <w:p w14:paraId="4C002913" w14:textId="77777777" w:rsidR="00E57ED3" w:rsidRDefault="00227172">
      <w:pPr>
        <w:pStyle w:val="BODY"/>
        <w:ind w:right="10"/>
        <w:jc w:val="both"/>
        <w:rPr>
          <w:szCs w:val="22"/>
        </w:rPr>
      </w:pPr>
      <w:bookmarkStart w:id="4" w:name="_Hlk43114769"/>
      <w:r>
        <w:rPr>
          <w:szCs w:val="22"/>
        </w:rPr>
        <w:t>S výjimkou naléhavých situací nepoužívat u zvířat, která mají diabetes mellitus, renální insuficienci, srdeční insuficienci, hyperadrenokorticismus nebo osteoporózu.</w:t>
      </w:r>
    </w:p>
    <w:p w14:paraId="3D34950C" w14:textId="77777777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>Nepoužívat u virových infekcí během viremického stádia ani u systémových mykotických infekcí.</w:t>
      </w:r>
    </w:p>
    <w:p w14:paraId="2546C15B" w14:textId="77777777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>Nepoužívat u zvířat, která mají gastrointestinální nebo korneální vředy či demodikózu.</w:t>
      </w:r>
    </w:p>
    <w:p w14:paraId="26748B4A" w14:textId="77777777" w:rsidR="00E57ED3" w:rsidRDefault="00227172">
      <w:pPr>
        <w:pStyle w:val="BODY"/>
        <w:ind w:right="10"/>
        <w:jc w:val="both"/>
        <w:rPr>
          <w:szCs w:val="22"/>
        </w:rPr>
      </w:pPr>
      <w:bookmarkStart w:id="5" w:name="_Hlk83201986"/>
      <w:r>
        <w:rPr>
          <w:szCs w:val="22"/>
        </w:rPr>
        <w:lastRenderedPageBreak/>
        <w:t xml:space="preserve">Nepodávat intraartikulárně, jestliže jsou prokázány fraktury, bakteriální infekce kloubů a aseptické nekrózy kosti. </w:t>
      </w:r>
    </w:p>
    <w:bookmarkEnd w:id="5"/>
    <w:p w14:paraId="60105772" w14:textId="77777777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>Nepoužívat v případech známé přecitlivělosti na léčivou látku, na kortikosteroidy a na některou z pomocných látek.</w:t>
      </w:r>
    </w:p>
    <w:bookmarkEnd w:id="4"/>
    <w:p w14:paraId="4C20D58D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3.4</w:t>
      </w:r>
      <w:r>
        <w:rPr>
          <w:szCs w:val="22"/>
          <w:lang w:bidi="cs-CZ"/>
        </w:rPr>
        <w:tab/>
        <w:t xml:space="preserve">Zvláštní upozornění </w:t>
      </w:r>
      <w:bookmarkStart w:id="6" w:name="_Hlk56493667"/>
    </w:p>
    <w:bookmarkEnd w:id="6"/>
    <w:p w14:paraId="22AD7098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Nejsou. </w:t>
      </w:r>
    </w:p>
    <w:p w14:paraId="72C5400C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3.5</w:t>
      </w:r>
      <w:r>
        <w:rPr>
          <w:szCs w:val="22"/>
          <w:lang w:bidi="cs-CZ"/>
        </w:rPr>
        <w:tab/>
        <w:t xml:space="preserve">Zvláštní opatření pro použití </w:t>
      </w:r>
    </w:p>
    <w:p w14:paraId="1436FB7B" w14:textId="77777777" w:rsidR="00E57ED3" w:rsidRDefault="00227172">
      <w:pPr>
        <w:pStyle w:val="Nadpis3"/>
        <w:spacing w:after="120"/>
        <w:rPr>
          <w:b w:val="0"/>
          <w:szCs w:val="22"/>
          <w:u w:val="single"/>
        </w:rPr>
      </w:pPr>
      <w:r>
        <w:rPr>
          <w:b w:val="0"/>
          <w:szCs w:val="22"/>
          <w:u w:val="single"/>
          <w:lang w:bidi="cs-CZ"/>
        </w:rPr>
        <w:t xml:space="preserve">Zvláštní opatření pro bezpečné použití u cílových druhů zvířat </w:t>
      </w:r>
    </w:p>
    <w:p w14:paraId="1C5A5F8C" w14:textId="4A095F6C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bookmarkStart w:id="7" w:name="_Hlk191634941"/>
      <w:bookmarkStart w:id="8" w:name="_Hlk43114928"/>
      <w:bookmarkStart w:id="9" w:name="_Hlk3282068"/>
      <w:r w:rsidRPr="00890FF2">
        <w:rPr>
          <w:szCs w:val="22"/>
        </w:rPr>
        <w:t xml:space="preserve">Je známo, že protizánětlivé kortikosteroidy jako dexamethason mají širokou škálu </w:t>
      </w:r>
      <w:r w:rsidR="00535C56">
        <w:rPr>
          <w:szCs w:val="22"/>
        </w:rPr>
        <w:t>nežádouc</w:t>
      </w:r>
      <w:r w:rsidRPr="00890FF2">
        <w:rPr>
          <w:szCs w:val="22"/>
        </w:rPr>
        <w:t xml:space="preserve">ích účinků. </w:t>
      </w:r>
      <w:r w:rsidR="00535C56">
        <w:rPr>
          <w:szCs w:val="22"/>
        </w:rPr>
        <w:t>Zatímco j</w:t>
      </w:r>
      <w:r w:rsidRPr="00890FF2">
        <w:rPr>
          <w:szCs w:val="22"/>
        </w:rPr>
        <w:t>ednotlivé vysoké dávky jsou snášeny obecně dobře, dlouhodobé užívání a či podávání esterů s</w:t>
      </w:r>
      <w:r w:rsidR="00535C56">
        <w:rPr>
          <w:szCs w:val="22"/>
        </w:rPr>
        <w:t> </w:t>
      </w:r>
      <w:r w:rsidRPr="00890FF2">
        <w:rPr>
          <w:szCs w:val="22"/>
        </w:rPr>
        <w:t>d</w:t>
      </w:r>
      <w:r w:rsidR="00535C56">
        <w:rPr>
          <w:szCs w:val="22"/>
        </w:rPr>
        <w:t>louhou dobou</w:t>
      </w:r>
      <w:r w:rsidRPr="00890FF2">
        <w:rPr>
          <w:szCs w:val="22"/>
        </w:rPr>
        <w:t xml:space="preserve"> účink</w:t>
      </w:r>
      <w:r w:rsidR="00535C56">
        <w:rPr>
          <w:szCs w:val="22"/>
        </w:rPr>
        <w:t>u</w:t>
      </w:r>
      <w:r w:rsidRPr="00890FF2">
        <w:rPr>
          <w:szCs w:val="22"/>
        </w:rPr>
        <w:t xml:space="preserve"> </w:t>
      </w:r>
      <w:r w:rsidR="00535C56">
        <w:rPr>
          <w:szCs w:val="22"/>
        </w:rPr>
        <w:t>může vyvolat</w:t>
      </w:r>
      <w:r w:rsidRPr="00890FF2">
        <w:rPr>
          <w:szCs w:val="22"/>
        </w:rPr>
        <w:t xml:space="preserve"> </w:t>
      </w:r>
      <w:r w:rsidR="00535C56">
        <w:rPr>
          <w:szCs w:val="22"/>
        </w:rPr>
        <w:t>závažné nežádoucí</w:t>
      </w:r>
      <w:r w:rsidRPr="00890FF2">
        <w:rPr>
          <w:szCs w:val="22"/>
        </w:rPr>
        <w:t xml:space="preserve"> účinky. Při středně- až dlouhodobém užívání je proto vhodné podávat minimální dávky nezbytné ke kompenzaci potíží.</w:t>
      </w:r>
    </w:p>
    <w:bookmarkEnd w:id="7"/>
    <w:p w14:paraId="52104ABC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Odpověď na dlouhodobou terapii musí v pravidelných intervalech sledovat veterinární lékař. </w:t>
      </w:r>
    </w:p>
    <w:p w14:paraId="560FF612" w14:textId="77777777" w:rsidR="00E57ED3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Při použití kortikosteroidů u koní byly hlášeny případy laminitidy. Proto by koně léčení těmito přípravky měli být během léčby často sledováni.</w:t>
      </w:r>
    </w:p>
    <w:p w14:paraId="3D600055" w14:textId="656E62F0" w:rsidR="00E57ED3" w:rsidRDefault="00227172">
      <w:pPr>
        <w:pStyle w:val="BODY"/>
        <w:jc w:val="both"/>
        <w:rPr>
          <w:szCs w:val="22"/>
        </w:rPr>
      </w:pPr>
      <w:bookmarkStart w:id="10" w:name="_Hlk3284851"/>
      <w:r>
        <w:rPr>
          <w:szCs w:val="22"/>
        </w:rPr>
        <w:t xml:space="preserve">Vzhledem k farmakologickým vlastnostem léčivé látky je při použití </w:t>
      </w:r>
      <w:r w:rsidR="0002174D">
        <w:rPr>
          <w:szCs w:val="22"/>
        </w:rPr>
        <w:t xml:space="preserve">veterinárního léčivého </w:t>
      </w:r>
      <w:r>
        <w:rPr>
          <w:szCs w:val="22"/>
        </w:rPr>
        <w:t>přípravku u zvířat s oslabeným imunitním systémem nutno postupovat opatrně.</w:t>
      </w:r>
      <w:bookmarkEnd w:id="10"/>
      <w:r>
        <w:rPr>
          <w:szCs w:val="22"/>
        </w:rPr>
        <w:t xml:space="preserve"> </w:t>
      </w:r>
    </w:p>
    <w:p w14:paraId="26F99705" w14:textId="19BEDEDF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S výjimkou případů ketózy </w:t>
      </w:r>
      <w:r w:rsidR="0002174D">
        <w:rPr>
          <w:szCs w:val="22"/>
        </w:rPr>
        <w:t xml:space="preserve">a indukce porodu </w:t>
      </w:r>
      <w:r>
        <w:rPr>
          <w:szCs w:val="22"/>
        </w:rPr>
        <w:t>má podávání kortikosteroidů spíše navodit zlepšení klinických příznaků než vyléčení.</w:t>
      </w:r>
      <w:bookmarkStart w:id="11" w:name="_Hlk81218707"/>
      <w:r>
        <w:rPr>
          <w:szCs w:val="22"/>
        </w:rPr>
        <w:t xml:space="preserve"> Mělo by být také vyšetřeno výchozí onemocnění</w:t>
      </w:r>
      <w:bookmarkEnd w:id="11"/>
      <w:r>
        <w:rPr>
          <w:szCs w:val="22"/>
        </w:rPr>
        <w:t>.</w:t>
      </w:r>
    </w:p>
    <w:p w14:paraId="502361FF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>Po intraartikulárním podání je nutné po dobu jednoho měsíce minimalizovat používání kloubu a po dobu osmi týdnů od použití této cesty podání není vhodné provádět chirurgické zákroky na daném kloubu.</w:t>
      </w:r>
    </w:p>
    <w:p w14:paraId="787362E7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Je třeba dbát na to, aby nedošlo k předávkování </w:t>
      </w:r>
      <w:bookmarkStart w:id="12" w:name="_Hlk80624513"/>
      <w:r>
        <w:rPr>
          <w:szCs w:val="22"/>
        </w:rPr>
        <w:t>u plemen skotu</w:t>
      </w:r>
      <w:bookmarkEnd w:id="12"/>
      <w:r>
        <w:rPr>
          <w:szCs w:val="22"/>
        </w:rPr>
        <w:t xml:space="preserve"> Normanských ostrovů. </w:t>
      </w:r>
    </w:p>
    <w:bookmarkEnd w:id="8"/>
    <w:bookmarkEnd w:id="9"/>
    <w:p w14:paraId="6B3FC064" w14:textId="393104D0" w:rsidR="00E57ED3" w:rsidRDefault="00227172">
      <w:pPr>
        <w:pStyle w:val="Nadpis3"/>
        <w:tabs>
          <w:tab w:val="clear" w:pos="567"/>
        </w:tabs>
        <w:spacing w:after="120"/>
        <w:ind w:left="0" w:firstLine="0"/>
        <w:rPr>
          <w:szCs w:val="22"/>
        </w:rPr>
      </w:pPr>
      <w:r>
        <w:rPr>
          <w:b w:val="0"/>
          <w:szCs w:val="22"/>
          <w:u w:val="single"/>
          <w:lang w:bidi="cs-CZ"/>
        </w:rPr>
        <w:t>Zvláštní opatření pro osobu, která podává veterinární léčivý přípravek zvířatům</w:t>
      </w:r>
      <w:r w:rsidR="00D0379D">
        <w:rPr>
          <w:b w:val="0"/>
          <w:szCs w:val="22"/>
          <w:u w:val="single"/>
          <w:lang w:bidi="cs-CZ"/>
        </w:rPr>
        <w:t>:</w:t>
      </w:r>
    </w:p>
    <w:p w14:paraId="07C4A90E" w14:textId="5B957E1C" w:rsidR="00E57ED3" w:rsidRDefault="00227172" w:rsidP="00890FF2">
      <w:pPr>
        <w:pStyle w:val="BODY"/>
        <w:spacing w:after="0"/>
        <w:jc w:val="both"/>
        <w:rPr>
          <w:szCs w:val="22"/>
        </w:rPr>
      </w:pPr>
      <w:r>
        <w:rPr>
          <w:szCs w:val="22"/>
        </w:rPr>
        <w:t xml:space="preserve">Tento veterinární léčivý přípravek obsahuje dexamethason, který může u některých lidí vyvolat alergické reakce. Zabraňte náhodnému samopodání injekce. V případě náhodného sebepoškození injekčně </w:t>
      </w:r>
      <w:r w:rsidR="00D0379D">
        <w:rPr>
          <w:szCs w:val="22"/>
        </w:rPr>
        <w:t>podaným</w:t>
      </w:r>
      <w:r>
        <w:rPr>
          <w:szCs w:val="22"/>
        </w:rPr>
        <w:t xml:space="preserve"> přípravkem vyhledejte ihned lékařskou pomoc a ukažte příbalovou informaci nebo etiketu praktickému lékaři.</w:t>
      </w:r>
    </w:p>
    <w:p w14:paraId="1E9620C8" w14:textId="77777777" w:rsidR="00E57ED3" w:rsidRDefault="00227172" w:rsidP="00890FF2">
      <w:pPr>
        <w:pStyle w:val="BODY"/>
        <w:spacing w:after="0"/>
        <w:jc w:val="both"/>
        <w:rPr>
          <w:szCs w:val="22"/>
        </w:rPr>
      </w:pPr>
      <w:r>
        <w:rPr>
          <w:szCs w:val="22"/>
        </w:rPr>
        <w:t>Lidé se známou přecitlivělostí na dexamethason by se měli vyhnout kontaktu s veterinárním léčivým přípravkem.</w:t>
      </w:r>
    </w:p>
    <w:p w14:paraId="00744FF5" w14:textId="51821AAE" w:rsidR="00E57ED3" w:rsidRDefault="00227172" w:rsidP="00890FF2">
      <w:pPr>
        <w:pStyle w:val="BODY"/>
        <w:spacing w:after="0"/>
        <w:jc w:val="both"/>
        <w:rPr>
          <w:szCs w:val="22"/>
        </w:rPr>
      </w:pPr>
      <w:r>
        <w:rPr>
          <w:szCs w:val="22"/>
        </w:rPr>
        <w:t xml:space="preserve">Aby se předešlo riziku náhodného </w:t>
      </w:r>
      <w:proofErr w:type="spellStart"/>
      <w:r>
        <w:rPr>
          <w:szCs w:val="22"/>
        </w:rPr>
        <w:t>s</w:t>
      </w:r>
      <w:r w:rsidR="00D0379D">
        <w:rPr>
          <w:szCs w:val="22"/>
        </w:rPr>
        <w:t>amopodání</w:t>
      </w:r>
      <w:proofErr w:type="spellEnd"/>
      <w:r>
        <w:rPr>
          <w:szCs w:val="22"/>
        </w:rPr>
        <w:t xml:space="preserve">, neměly by s tímto přípravkem manipulovat těhotné ženy. </w:t>
      </w:r>
      <w:r>
        <w:rPr>
          <w:szCs w:val="22"/>
        </w:rPr>
        <w:t>Dexamethason může ovlivnit plodnost nebo lidský plod.</w:t>
      </w:r>
    </w:p>
    <w:p w14:paraId="092C1F6E" w14:textId="691A70FC" w:rsidR="00E57ED3" w:rsidRPr="00890FF2" w:rsidRDefault="00D0379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227172">
        <w:rPr>
          <w:szCs w:val="22"/>
        </w:rPr>
        <w:t xml:space="preserve">řípravek dráždí kůži a oči. Zabraňte kontaktu s kůží a očima. </w:t>
      </w:r>
      <w:r w:rsidR="00227172" w:rsidRPr="00890FF2">
        <w:rPr>
          <w:szCs w:val="22"/>
        </w:rPr>
        <w:t>V případě náhodného kontaktu veterinárního léčivého přípravku s kůží nebo očima vypláchněte velkým množstvím č</w:t>
      </w:r>
      <w:r>
        <w:rPr>
          <w:szCs w:val="22"/>
        </w:rPr>
        <w:t xml:space="preserve">isté </w:t>
      </w:r>
      <w:r w:rsidR="00227172" w:rsidRPr="00890FF2">
        <w:rPr>
          <w:szCs w:val="22"/>
        </w:rPr>
        <w:t xml:space="preserve">vody. Pokud objeví potíže, vyhledejte lékařskou pomoc. </w:t>
      </w:r>
    </w:p>
    <w:p w14:paraId="7CBE85FE" w14:textId="77777777" w:rsidR="00E57ED3" w:rsidRPr="00890FF2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4274E1C" w14:textId="77777777" w:rsidR="00E57ED3" w:rsidRPr="00890FF2" w:rsidRDefault="00227172" w:rsidP="00890FF2">
      <w:pPr>
        <w:pStyle w:val="Nadpis3"/>
        <w:tabs>
          <w:tab w:val="clear" w:pos="567"/>
        </w:tabs>
        <w:spacing w:after="120"/>
        <w:ind w:left="0" w:firstLine="0"/>
        <w:rPr>
          <w:szCs w:val="22"/>
          <w:u w:val="single"/>
          <w:lang w:bidi="cs-CZ"/>
        </w:rPr>
      </w:pPr>
      <w:r w:rsidRPr="00890FF2">
        <w:rPr>
          <w:b w:val="0"/>
          <w:szCs w:val="22"/>
          <w:u w:val="single"/>
          <w:lang w:bidi="cs-CZ"/>
        </w:rPr>
        <w:t>Zvláštní opatření pro ochranu životního prostředí:</w:t>
      </w:r>
    </w:p>
    <w:p w14:paraId="62EC4889" w14:textId="77777777" w:rsidR="00E57ED3" w:rsidRPr="00890FF2" w:rsidRDefault="00227172">
      <w:pPr>
        <w:tabs>
          <w:tab w:val="clear" w:pos="567"/>
        </w:tabs>
        <w:spacing w:line="240" w:lineRule="auto"/>
        <w:rPr>
          <w:szCs w:val="22"/>
        </w:rPr>
      </w:pPr>
      <w:r w:rsidRPr="00890FF2">
        <w:rPr>
          <w:szCs w:val="22"/>
        </w:rPr>
        <w:t>Neuplatňuje se.</w:t>
      </w:r>
    </w:p>
    <w:p w14:paraId="1DA78ABC" w14:textId="77777777" w:rsidR="00E57ED3" w:rsidRPr="00890FF2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F821567" w14:textId="77777777" w:rsidR="00E57ED3" w:rsidRPr="00890FF2" w:rsidRDefault="0022717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90FF2">
        <w:rPr>
          <w:b/>
          <w:bCs/>
          <w:szCs w:val="22"/>
        </w:rPr>
        <w:t>3.6 </w:t>
      </w:r>
      <w:r w:rsidRPr="00890FF2">
        <w:rPr>
          <w:b/>
          <w:bCs/>
          <w:szCs w:val="22"/>
        </w:rPr>
        <w:tab/>
        <w:t>Nežádoucí účinky</w:t>
      </w:r>
    </w:p>
    <w:p w14:paraId="7C7BF8B7" w14:textId="77777777" w:rsidR="00E57ED3" w:rsidRPr="00890FF2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3B017EB0" w14:textId="77777777" w:rsidR="00E57ED3" w:rsidRPr="00890FF2" w:rsidRDefault="00227172">
      <w:pPr>
        <w:rPr>
          <w:szCs w:val="22"/>
        </w:rPr>
      </w:pPr>
      <w:bookmarkStart w:id="13" w:name="_Hlk175641754"/>
      <w:bookmarkStart w:id="14" w:name="_Hlk175638258"/>
      <w:r w:rsidRPr="00890FF2">
        <w:rPr>
          <w:szCs w:val="22"/>
        </w:rPr>
        <w:t>Koně, skot, kozy, prasata, psi a kočky: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E57ED3" w14:paraId="2F5D0D41" w14:textId="77777777">
        <w:tc>
          <w:tcPr>
            <w:tcW w:w="1957" w:type="pct"/>
          </w:tcPr>
          <w:p w14:paraId="436609AB" w14:textId="77777777" w:rsidR="00E57ED3" w:rsidRPr="00890FF2" w:rsidRDefault="00227172">
            <w:pPr>
              <w:spacing w:before="60" w:after="60"/>
              <w:rPr>
                <w:szCs w:val="22"/>
              </w:rPr>
            </w:pPr>
            <w:r w:rsidRPr="00890FF2">
              <w:rPr>
                <w:szCs w:val="22"/>
              </w:rPr>
              <w:t>Velmi vzácné</w:t>
            </w:r>
          </w:p>
          <w:p w14:paraId="3C8DB5E5" w14:textId="366D53E8" w:rsidR="00E57ED3" w:rsidRPr="00890FF2" w:rsidRDefault="00227172">
            <w:pPr>
              <w:spacing w:before="60" w:after="60"/>
              <w:rPr>
                <w:szCs w:val="22"/>
              </w:rPr>
            </w:pPr>
            <w:r w:rsidRPr="00890FF2"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2387E4B1" w14:textId="77777777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Reakce z přecitlivělosti.</w:t>
            </w:r>
          </w:p>
        </w:tc>
      </w:tr>
      <w:tr w:rsidR="00E57ED3" w14:paraId="7BE2D66F" w14:textId="77777777">
        <w:tc>
          <w:tcPr>
            <w:tcW w:w="1957" w:type="pct"/>
          </w:tcPr>
          <w:p w14:paraId="1FD23DDF" w14:textId="77777777" w:rsidR="00E57ED3" w:rsidRPr="00890FF2" w:rsidRDefault="00227172">
            <w:pPr>
              <w:spacing w:before="60" w:after="60"/>
              <w:rPr>
                <w:szCs w:val="22"/>
              </w:rPr>
            </w:pPr>
            <w:r w:rsidRPr="00890FF2">
              <w:rPr>
                <w:szCs w:val="22"/>
              </w:rPr>
              <w:t>S neznámou četností (z dostupných údajů nelze určit)</w:t>
            </w:r>
          </w:p>
          <w:p w14:paraId="5F9C63E2" w14:textId="77777777" w:rsidR="00E57ED3" w:rsidRDefault="00E57ED3">
            <w:pPr>
              <w:spacing w:before="60" w:after="60"/>
              <w:rPr>
                <w:szCs w:val="22"/>
                <w:highlight w:val="yellow"/>
              </w:rPr>
            </w:pPr>
          </w:p>
        </w:tc>
        <w:tc>
          <w:tcPr>
            <w:tcW w:w="3043" w:type="pct"/>
          </w:tcPr>
          <w:p w14:paraId="0DB0C712" w14:textId="479733EE" w:rsidR="00E57ED3" w:rsidRPr="00890FF2" w:rsidRDefault="00227172">
            <w:pPr>
              <w:spacing w:after="60"/>
              <w:rPr>
                <w:rFonts w:cs="Arial"/>
                <w:iCs/>
                <w:lang w:val="en-US"/>
              </w:rPr>
            </w:pPr>
            <w:r w:rsidRPr="00890FF2">
              <w:rPr>
                <w:rFonts w:cs="Arial"/>
                <w:iCs/>
              </w:rPr>
              <w:t>Hyperadrenokorticismus (iatrogenní Cushingova choroba)</w:t>
            </w:r>
            <w:r w:rsidR="0002174D">
              <w:rPr>
                <w:rFonts w:cs="Arial"/>
                <w:iCs/>
                <w:vertAlign w:val="superscript"/>
              </w:rPr>
              <w:t>1</w:t>
            </w:r>
            <w:r w:rsidRPr="00890FF2">
              <w:rPr>
                <w:iCs/>
                <w:vanish/>
                <w:szCs w:val="22"/>
                <w:vertAlign w:val="superscript"/>
              </w:rPr>
              <w:t>1</w:t>
            </w:r>
            <w:r w:rsidRPr="00890FF2">
              <w:rPr>
                <w:rFonts w:cs="Arial"/>
                <w:iCs/>
                <w:vertAlign w:val="superscript"/>
              </w:rPr>
              <w:t>;</w:t>
            </w:r>
            <w:r w:rsidRPr="00890FF2">
              <w:rPr>
                <w:rFonts w:cs="Arial"/>
                <w:iCs/>
              </w:rPr>
              <w:t xml:space="preserve"> porucha nadledvin (atrofie)</w:t>
            </w:r>
            <w:r w:rsidR="0002174D">
              <w:rPr>
                <w:rFonts w:cs="Arial"/>
                <w:iCs/>
                <w:vertAlign w:val="superscript"/>
              </w:rPr>
              <w:t>2</w:t>
            </w:r>
            <w:r w:rsidRPr="00890FF2">
              <w:rPr>
                <w:rFonts w:cs="Arial"/>
                <w:iCs/>
                <w:vanish/>
                <w:vertAlign w:val="superscript"/>
              </w:rPr>
              <w:t>2</w:t>
            </w:r>
            <w:r w:rsidRPr="00890FF2">
              <w:rPr>
                <w:rFonts w:cs="Arial"/>
                <w:iCs/>
                <w:vertAlign w:val="superscript"/>
              </w:rPr>
              <w:t>;</w:t>
            </w:r>
          </w:p>
          <w:p w14:paraId="51D1BB94" w14:textId="77777777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Polyurie</w:t>
            </w:r>
            <w:r w:rsidRPr="00890FF2">
              <w:rPr>
                <w:iCs/>
                <w:vanish/>
                <w:szCs w:val="22"/>
                <w:vertAlign w:val="superscript"/>
              </w:rPr>
              <w:t>3</w:t>
            </w:r>
            <w:r w:rsidRPr="00890FF2">
              <w:rPr>
                <w:iCs/>
                <w:szCs w:val="22"/>
              </w:rPr>
              <w:t>;</w:t>
            </w:r>
          </w:p>
          <w:p w14:paraId="761605E3" w14:textId="13243558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Polydipsie</w:t>
            </w:r>
            <w:r w:rsidR="0002174D">
              <w:rPr>
                <w:iCs/>
                <w:szCs w:val="22"/>
                <w:vertAlign w:val="superscript"/>
              </w:rPr>
              <w:t>3</w:t>
            </w:r>
            <w:r w:rsidRPr="00890FF2">
              <w:rPr>
                <w:iCs/>
                <w:vanish/>
                <w:szCs w:val="22"/>
                <w:vertAlign w:val="superscript"/>
              </w:rPr>
              <w:t>3</w:t>
            </w:r>
            <w:r w:rsidRPr="00890FF2">
              <w:rPr>
                <w:iCs/>
                <w:szCs w:val="22"/>
              </w:rPr>
              <w:t>, polyfagie</w:t>
            </w:r>
            <w:r w:rsidR="0002174D">
              <w:rPr>
                <w:iCs/>
                <w:szCs w:val="22"/>
                <w:vertAlign w:val="superscript"/>
              </w:rPr>
              <w:t>3</w:t>
            </w:r>
            <w:r w:rsidRPr="00890FF2">
              <w:rPr>
                <w:iCs/>
                <w:vanish/>
                <w:szCs w:val="22"/>
                <w:vertAlign w:val="superscript"/>
              </w:rPr>
              <w:t>3</w:t>
            </w:r>
            <w:r w:rsidRPr="00890FF2">
              <w:rPr>
                <w:iCs/>
                <w:szCs w:val="22"/>
              </w:rPr>
              <w:t>, opožděné hojení ran;</w:t>
            </w:r>
          </w:p>
          <w:p w14:paraId="45ECCF99" w14:textId="1C21746C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lastRenderedPageBreak/>
              <w:t xml:space="preserve">Porucha elektrolytové rovnováhy (zadržování sodíku a vody, </w:t>
            </w:r>
            <w:proofErr w:type="spellStart"/>
            <w:r w:rsidRPr="00890FF2">
              <w:rPr>
                <w:iCs/>
                <w:szCs w:val="22"/>
              </w:rPr>
              <w:t>hypokalémie</w:t>
            </w:r>
            <w:proofErr w:type="spellEnd"/>
            <w:r w:rsidRPr="00890FF2">
              <w:rPr>
                <w:iCs/>
                <w:szCs w:val="22"/>
              </w:rPr>
              <w:t>)</w:t>
            </w:r>
            <w:r w:rsidR="0002174D">
              <w:rPr>
                <w:iCs/>
                <w:szCs w:val="22"/>
                <w:vertAlign w:val="superscript"/>
              </w:rPr>
              <w:t>4</w:t>
            </w:r>
            <w:r w:rsidRPr="00890FF2">
              <w:rPr>
                <w:iCs/>
                <w:vanish/>
                <w:szCs w:val="22"/>
                <w:vertAlign w:val="superscript"/>
              </w:rPr>
              <w:t>4</w:t>
            </w:r>
            <w:r w:rsidRPr="00890FF2">
              <w:rPr>
                <w:iCs/>
                <w:szCs w:val="22"/>
                <w:vertAlign w:val="superscript"/>
              </w:rPr>
              <w:t>,</w:t>
            </w:r>
            <w:r w:rsidRPr="00890FF2">
              <w:rPr>
                <w:iCs/>
                <w:szCs w:val="22"/>
              </w:rPr>
              <w:t xml:space="preserve"> změny biochemických a hematologických parametrů krve, hyperglykémie</w:t>
            </w:r>
            <w:r w:rsidR="0002174D" w:rsidRPr="00890FF2">
              <w:rPr>
                <w:iCs/>
                <w:szCs w:val="22"/>
                <w:vertAlign w:val="superscript"/>
              </w:rPr>
              <w:t>5</w:t>
            </w:r>
            <w:r w:rsidRPr="00890FF2">
              <w:rPr>
                <w:iCs/>
                <w:vanish/>
                <w:szCs w:val="22"/>
                <w:vertAlign w:val="superscript"/>
              </w:rPr>
              <w:t>5</w:t>
            </w:r>
            <w:r w:rsidRPr="00890FF2">
              <w:rPr>
                <w:iCs/>
                <w:szCs w:val="22"/>
              </w:rPr>
              <w:t>;</w:t>
            </w:r>
          </w:p>
          <w:p w14:paraId="28E4FD6B" w14:textId="77777777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Kožní kalcinóza, ztenčení kůže;</w:t>
            </w:r>
          </w:p>
          <w:p w14:paraId="73DACDBB" w14:textId="4A7C01C4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Porucha imunitního systému (snížená odolnost vůči infekci, exacerbace stávajících infekcí)</w:t>
            </w:r>
            <w:r w:rsidR="0002174D">
              <w:rPr>
                <w:iCs/>
                <w:szCs w:val="22"/>
                <w:vertAlign w:val="superscript"/>
              </w:rPr>
              <w:t>6</w:t>
            </w:r>
            <w:r w:rsidRPr="00890FF2">
              <w:rPr>
                <w:iCs/>
                <w:vanish/>
                <w:szCs w:val="22"/>
                <w:vertAlign w:val="superscript"/>
              </w:rPr>
              <w:t>6</w:t>
            </w:r>
            <w:r w:rsidRPr="00890FF2">
              <w:rPr>
                <w:iCs/>
                <w:szCs w:val="22"/>
                <w:vertAlign w:val="superscript"/>
              </w:rPr>
              <w:t>;</w:t>
            </w:r>
          </w:p>
          <w:p w14:paraId="2C13734C" w14:textId="03CCE2FE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Gastrointestinální ulcerace</w:t>
            </w:r>
            <w:r w:rsidR="0002174D">
              <w:rPr>
                <w:iCs/>
                <w:szCs w:val="22"/>
                <w:vertAlign w:val="superscript"/>
              </w:rPr>
              <w:t>7</w:t>
            </w:r>
            <w:r w:rsidRPr="00890FF2">
              <w:rPr>
                <w:iCs/>
                <w:vanish/>
                <w:szCs w:val="22"/>
                <w:vertAlign w:val="superscript"/>
              </w:rPr>
              <w:t>7</w:t>
            </w:r>
            <w:r w:rsidRPr="00890FF2">
              <w:rPr>
                <w:iCs/>
                <w:szCs w:val="22"/>
              </w:rPr>
              <w:t>, akutní pankreatitida</w:t>
            </w:r>
            <w:r w:rsidR="0002174D">
              <w:rPr>
                <w:iCs/>
                <w:szCs w:val="22"/>
                <w:vertAlign w:val="superscript"/>
              </w:rPr>
              <w:t>8</w:t>
            </w:r>
            <w:r w:rsidRPr="00890FF2">
              <w:rPr>
                <w:iCs/>
                <w:vanish/>
                <w:szCs w:val="22"/>
                <w:vertAlign w:val="superscript"/>
              </w:rPr>
              <w:t>8</w:t>
            </w:r>
            <w:r w:rsidRPr="00890FF2">
              <w:rPr>
                <w:iCs/>
                <w:szCs w:val="22"/>
              </w:rPr>
              <w:t>;</w:t>
            </w:r>
          </w:p>
          <w:p w14:paraId="013B07E6" w14:textId="662CDFC5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Hepatomegalie</w:t>
            </w:r>
            <w:r w:rsidR="0002174D">
              <w:rPr>
                <w:iCs/>
                <w:szCs w:val="22"/>
                <w:vertAlign w:val="superscript"/>
              </w:rPr>
              <w:t>9</w:t>
            </w:r>
            <w:r w:rsidRPr="00890FF2">
              <w:rPr>
                <w:iCs/>
                <w:vanish/>
                <w:szCs w:val="22"/>
                <w:vertAlign w:val="superscript"/>
              </w:rPr>
              <w:t>9</w:t>
            </w:r>
            <w:r w:rsidRPr="00890FF2">
              <w:rPr>
                <w:iCs/>
                <w:szCs w:val="22"/>
              </w:rPr>
              <w:t>;</w:t>
            </w:r>
          </w:p>
          <w:p w14:paraId="50AABB80" w14:textId="63244F69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Agrese</w:t>
            </w:r>
            <w:r w:rsidR="0002174D">
              <w:rPr>
                <w:iCs/>
                <w:szCs w:val="22"/>
                <w:vertAlign w:val="superscript"/>
              </w:rPr>
              <w:t>10</w:t>
            </w:r>
            <w:r w:rsidRPr="00890FF2">
              <w:rPr>
                <w:iCs/>
                <w:vanish/>
                <w:szCs w:val="22"/>
                <w:vertAlign w:val="superscript"/>
              </w:rPr>
              <w:t>10</w:t>
            </w:r>
            <w:r w:rsidRPr="00890FF2">
              <w:rPr>
                <w:iCs/>
                <w:szCs w:val="22"/>
              </w:rPr>
              <w:t>, deprese</w:t>
            </w:r>
            <w:r w:rsidR="0002174D">
              <w:rPr>
                <w:iCs/>
                <w:szCs w:val="22"/>
                <w:vertAlign w:val="superscript"/>
              </w:rPr>
              <w:t>11</w:t>
            </w:r>
            <w:r w:rsidRPr="00890FF2">
              <w:rPr>
                <w:iCs/>
                <w:vanish/>
                <w:szCs w:val="22"/>
                <w:vertAlign w:val="superscript"/>
              </w:rPr>
              <w:t>11</w:t>
            </w:r>
            <w:r w:rsidRPr="00890FF2">
              <w:rPr>
                <w:iCs/>
                <w:szCs w:val="22"/>
              </w:rPr>
              <w:t>;</w:t>
            </w:r>
          </w:p>
          <w:p w14:paraId="40E7F924" w14:textId="2E49D8F3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Snížená životaschopnost telete</w:t>
            </w:r>
            <w:r w:rsidR="0002174D">
              <w:rPr>
                <w:iCs/>
                <w:szCs w:val="22"/>
                <w:vertAlign w:val="superscript"/>
              </w:rPr>
              <w:t>12</w:t>
            </w:r>
            <w:r w:rsidRPr="00890FF2">
              <w:rPr>
                <w:iCs/>
                <w:vanish/>
                <w:szCs w:val="22"/>
                <w:vertAlign w:val="superscript"/>
              </w:rPr>
              <w:t>12</w:t>
            </w:r>
            <w:r w:rsidRPr="00890FF2">
              <w:rPr>
                <w:iCs/>
                <w:szCs w:val="22"/>
              </w:rPr>
              <w:t>, zadržená placenta</w:t>
            </w:r>
            <w:r w:rsidR="0002174D">
              <w:rPr>
                <w:iCs/>
                <w:szCs w:val="22"/>
                <w:vertAlign w:val="superscript"/>
              </w:rPr>
              <w:t>12,13</w:t>
            </w:r>
            <w:r w:rsidRPr="00890FF2">
              <w:rPr>
                <w:iCs/>
                <w:vanish/>
                <w:szCs w:val="22"/>
                <w:vertAlign w:val="superscript"/>
              </w:rPr>
              <w:t>12,13</w:t>
            </w:r>
            <w:r w:rsidRPr="00890FF2">
              <w:rPr>
                <w:iCs/>
                <w:szCs w:val="22"/>
              </w:rPr>
              <w:t>;</w:t>
            </w:r>
          </w:p>
          <w:p w14:paraId="1E4D9EA4" w14:textId="77777777" w:rsidR="00E57ED3" w:rsidRPr="00890FF2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Laminitida;</w:t>
            </w:r>
          </w:p>
          <w:p w14:paraId="22CBB4C6" w14:textId="77777777" w:rsidR="00E57ED3" w:rsidRDefault="00227172">
            <w:pPr>
              <w:spacing w:after="60"/>
              <w:rPr>
                <w:iCs/>
                <w:szCs w:val="22"/>
              </w:rPr>
            </w:pPr>
            <w:r w:rsidRPr="00890FF2">
              <w:rPr>
                <w:iCs/>
                <w:szCs w:val="22"/>
              </w:rPr>
              <w:t>Snížení produkce mléka.</w:t>
            </w:r>
          </w:p>
        </w:tc>
      </w:tr>
    </w:tbl>
    <w:p w14:paraId="48495D9B" w14:textId="6214A76F" w:rsidR="00E57ED3" w:rsidRPr="00890FF2" w:rsidRDefault="0002174D">
      <w:pPr>
        <w:ind w:left="142" w:hanging="142"/>
      </w:pPr>
      <w:bookmarkStart w:id="15" w:name="_Hlk191635271"/>
      <w:r w:rsidRPr="00890FF2">
        <w:rPr>
          <w:vertAlign w:val="superscript"/>
        </w:rPr>
        <w:lastRenderedPageBreak/>
        <w:t>1</w:t>
      </w:r>
      <w:r w:rsidR="00227172">
        <w:rPr>
          <w:vanish/>
          <w:vertAlign w:val="superscript"/>
        </w:rPr>
        <w:t>1</w:t>
      </w:r>
      <w:r w:rsidR="00227172">
        <w:rPr>
          <w:vanish/>
        </w:rPr>
        <w:t xml:space="preserve"> </w:t>
      </w:r>
      <w:r w:rsidR="00227172" w:rsidRPr="00890FF2">
        <w:t>Zahrnuje významnou změnu metabolismu tuků, sacharidů, bílkovin a minerálů, což vede například k redistribuci tělesného tuku, slabosti a úbytku svalů a osteoporóze.</w:t>
      </w:r>
    </w:p>
    <w:p w14:paraId="4198D1C2" w14:textId="4D684044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2</w:t>
      </w:r>
      <w:r w:rsidRPr="00890FF2">
        <w:t xml:space="preserve"> </w:t>
      </w:r>
      <w:r w:rsidR="0002174D">
        <w:rPr>
          <w:vertAlign w:val="superscript"/>
        </w:rPr>
        <w:t>2</w:t>
      </w:r>
      <w:r w:rsidRPr="00890FF2">
        <w:t xml:space="preserve">Po ukončení léčby se mohou objevit příznaky adrenální insuficience přecházející až do </w:t>
      </w:r>
      <w:proofErr w:type="spellStart"/>
      <w:r w:rsidRPr="00890FF2">
        <w:t>adrenokortikální</w:t>
      </w:r>
      <w:proofErr w:type="spellEnd"/>
      <w:r w:rsidRPr="00890FF2">
        <w:t xml:space="preserve"> atrofie, takže zvíře nemusí adekvátně zvládat stresové situace. Je třeba zvážit vhodnou prevenci adrenální insuficience po ukončení léčby, např. lze přípravek podávat v době maximálních hladin endogenního kortizolu (tj. ráno u psů a večer u koček) a dávky snižovat postupně.</w:t>
      </w:r>
    </w:p>
    <w:p w14:paraId="1EB3E023" w14:textId="33763C9B" w:rsidR="00E57ED3" w:rsidRPr="00890FF2" w:rsidRDefault="0002174D">
      <w:pPr>
        <w:ind w:left="142" w:hanging="142"/>
      </w:pPr>
      <w:r>
        <w:rPr>
          <w:vertAlign w:val="superscript"/>
        </w:rPr>
        <w:t>3</w:t>
      </w:r>
      <w:r w:rsidR="00227172" w:rsidRPr="00890FF2">
        <w:rPr>
          <w:vanish/>
          <w:vertAlign w:val="superscript"/>
        </w:rPr>
        <w:t>3</w:t>
      </w:r>
      <w:r w:rsidR="00227172" w:rsidRPr="00890FF2">
        <w:t xml:space="preserve"> zejména v raných fázích léčby.</w:t>
      </w:r>
    </w:p>
    <w:p w14:paraId="75AA5E53" w14:textId="4849C359" w:rsidR="00E57ED3" w:rsidRPr="00890FF2" w:rsidRDefault="0002174D">
      <w:pPr>
        <w:ind w:left="142" w:hanging="142"/>
      </w:pPr>
      <w:r>
        <w:rPr>
          <w:vertAlign w:val="superscript"/>
        </w:rPr>
        <w:t xml:space="preserve">4 </w:t>
      </w:r>
      <w:r w:rsidR="00227172" w:rsidRPr="00890FF2">
        <w:rPr>
          <w:vanish/>
          <w:vertAlign w:val="superscript"/>
        </w:rPr>
        <w:t>4</w:t>
      </w:r>
      <w:r w:rsidR="00227172" w:rsidRPr="00890FF2">
        <w:t>při dlouhodobém používání.</w:t>
      </w:r>
    </w:p>
    <w:p w14:paraId="23F19E86" w14:textId="1B38B563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5</w:t>
      </w:r>
      <w:r w:rsidR="0002174D">
        <w:rPr>
          <w:vertAlign w:val="superscript"/>
        </w:rPr>
        <w:t>5</w:t>
      </w:r>
      <w:r w:rsidR="009B1903">
        <w:rPr>
          <w:vertAlign w:val="superscript"/>
        </w:rPr>
        <w:t xml:space="preserve"> </w:t>
      </w:r>
      <w:r w:rsidRPr="00890FF2">
        <w:t>je přechodného rázu.</w:t>
      </w:r>
    </w:p>
    <w:p w14:paraId="075B44A3" w14:textId="5C6C0A84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6</w:t>
      </w:r>
      <w:r w:rsidR="0002174D">
        <w:rPr>
          <w:vertAlign w:val="superscript"/>
        </w:rPr>
        <w:t xml:space="preserve">6 </w:t>
      </w:r>
      <w:r w:rsidRPr="00890FF2">
        <w:t xml:space="preserve">V případě bakteriální infekce je při užívání kortikoidů obvykle nutné </w:t>
      </w:r>
      <w:r w:rsidR="00A611B4">
        <w:t>antibakteriální krytí</w:t>
      </w:r>
      <w:r w:rsidRPr="00890FF2">
        <w:t>. V pří</w:t>
      </w:r>
      <w:r w:rsidR="00A611B4">
        <w:t>padě</w:t>
      </w:r>
      <w:r w:rsidRPr="00890FF2">
        <w:t xml:space="preserve"> virových infekcí mohou </w:t>
      </w:r>
      <w:r w:rsidR="00A611B4">
        <w:t>ster</w:t>
      </w:r>
      <w:r w:rsidRPr="00890FF2">
        <w:t>oidy rozvoj nemoci zhoršit nebo urychlit.</w:t>
      </w:r>
    </w:p>
    <w:p w14:paraId="5364DF68" w14:textId="1A9FB7B6" w:rsidR="00E57ED3" w:rsidRPr="00890FF2" w:rsidRDefault="00A611B4">
      <w:pPr>
        <w:ind w:left="142" w:hanging="142"/>
      </w:pPr>
      <w:r>
        <w:rPr>
          <w:vertAlign w:val="superscript"/>
        </w:rPr>
        <w:t>7</w:t>
      </w:r>
      <w:r w:rsidR="00227172" w:rsidRPr="00890FF2">
        <w:rPr>
          <w:vanish/>
          <w:vertAlign w:val="superscript"/>
        </w:rPr>
        <w:t>7</w:t>
      </w:r>
      <w:r w:rsidR="00227172" w:rsidRPr="00890FF2">
        <w:t xml:space="preserve"> ke zhoršení může dojít u pacientů, kterým jsou podávána nesteroidní </w:t>
      </w:r>
      <w:r>
        <w:t>protizánětliv</w:t>
      </w:r>
      <w:r w:rsidR="004130A1">
        <w:t>é látky</w:t>
      </w:r>
      <w:r w:rsidR="00227172" w:rsidRPr="00890FF2">
        <w:t xml:space="preserve"> (NSA</w:t>
      </w:r>
      <w:r>
        <w:t>ID</w:t>
      </w:r>
      <w:r w:rsidR="00227172" w:rsidRPr="00890FF2">
        <w:t xml:space="preserve">) a </w:t>
      </w:r>
      <w:r w:rsidR="004130A1">
        <w:t>u zvířat s</w:t>
      </w:r>
      <w:r w:rsidR="00227172" w:rsidRPr="00890FF2">
        <w:t xml:space="preserve"> poranění</w:t>
      </w:r>
      <w:r w:rsidR="004130A1">
        <w:t>m</w:t>
      </w:r>
      <w:r w:rsidR="00227172" w:rsidRPr="00890FF2">
        <w:t xml:space="preserve"> míchy.</w:t>
      </w:r>
    </w:p>
    <w:p w14:paraId="5FDB697A" w14:textId="508C5ACA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8</w:t>
      </w:r>
      <w:r w:rsidRPr="00890FF2">
        <w:t xml:space="preserve"> </w:t>
      </w:r>
      <w:r w:rsidR="00A611B4">
        <w:rPr>
          <w:vertAlign w:val="superscript"/>
        </w:rPr>
        <w:t xml:space="preserve">8 </w:t>
      </w:r>
      <w:r w:rsidRPr="00890FF2">
        <w:t>zvýšené riziko.</w:t>
      </w:r>
    </w:p>
    <w:p w14:paraId="7F6A5F35" w14:textId="65A1CAFC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9</w:t>
      </w:r>
      <w:r w:rsidRPr="00890FF2">
        <w:t xml:space="preserve"> </w:t>
      </w:r>
      <w:r w:rsidR="00A611B4">
        <w:rPr>
          <w:vertAlign w:val="superscript"/>
        </w:rPr>
        <w:t xml:space="preserve">9 </w:t>
      </w:r>
      <w:r w:rsidRPr="00890FF2">
        <w:t>spojené se zvýšenými jaterními enzymy v séru.</w:t>
      </w:r>
    </w:p>
    <w:p w14:paraId="2ED3780E" w14:textId="30A60B24" w:rsidR="00E57ED3" w:rsidRPr="00890FF2" w:rsidRDefault="00227172">
      <w:pPr>
        <w:ind w:left="142" w:hanging="142"/>
      </w:pPr>
      <w:bookmarkStart w:id="16" w:name="_Hlk175640952"/>
      <w:r w:rsidRPr="00890FF2">
        <w:rPr>
          <w:vanish/>
          <w:vertAlign w:val="superscript"/>
        </w:rPr>
        <w:t>10</w:t>
      </w:r>
      <w:r w:rsidRPr="00890FF2">
        <w:t xml:space="preserve"> </w:t>
      </w:r>
      <w:r w:rsidR="004130A1">
        <w:rPr>
          <w:vertAlign w:val="superscript"/>
        </w:rPr>
        <w:t xml:space="preserve">10 </w:t>
      </w:r>
      <w:r w:rsidRPr="00890FF2">
        <w:t>u psů.</w:t>
      </w:r>
    </w:p>
    <w:p w14:paraId="01B1780C" w14:textId="6965C0F2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11</w:t>
      </w:r>
      <w:r w:rsidRPr="00890FF2">
        <w:t xml:space="preserve"> </w:t>
      </w:r>
      <w:r w:rsidR="00A611B4">
        <w:rPr>
          <w:vertAlign w:val="superscript"/>
        </w:rPr>
        <w:t xml:space="preserve">11 </w:t>
      </w:r>
      <w:r w:rsidRPr="00890FF2">
        <w:t>příležitostně u koček a psů.</w:t>
      </w:r>
    </w:p>
    <w:p w14:paraId="1057185D" w14:textId="7C5779FC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12</w:t>
      </w:r>
      <w:r w:rsidRPr="00890FF2">
        <w:t xml:space="preserve"> </w:t>
      </w:r>
      <w:r w:rsidR="00A611B4">
        <w:rPr>
          <w:vertAlign w:val="superscript"/>
        </w:rPr>
        <w:t xml:space="preserve">12 </w:t>
      </w:r>
      <w:r w:rsidRPr="00890FF2">
        <w:t>pokud je přípravek používán k indukci porodu u skotu.</w:t>
      </w:r>
    </w:p>
    <w:p w14:paraId="784E5D82" w14:textId="29AD10E1" w:rsidR="00E57ED3" w:rsidRPr="00890FF2" w:rsidRDefault="00227172">
      <w:pPr>
        <w:ind w:left="142" w:hanging="142"/>
      </w:pPr>
      <w:r w:rsidRPr="00890FF2">
        <w:rPr>
          <w:vanish/>
          <w:vertAlign w:val="superscript"/>
        </w:rPr>
        <w:t>13</w:t>
      </w:r>
      <w:r w:rsidRPr="00890FF2">
        <w:t xml:space="preserve"> </w:t>
      </w:r>
      <w:r w:rsidR="00A611B4">
        <w:rPr>
          <w:vertAlign w:val="superscript"/>
        </w:rPr>
        <w:t xml:space="preserve">13 </w:t>
      </w:r>
      <w:r w:rsidRPr="00890FF2">
        <w:t>s možným následným vznikem metritidy a/nebo zhoršením fertility</w:t>
      </w:r>
      <w:bookmarkEnd w:id="13"/>
      <w:r w:rsidRPr="00890FF2">
        <w:t>.</w:t>
      </w:r>
    </w:p>
    <w:bookmarkEnd w:id="14"/>
    <w:bookmarkEnd w:id="15"/>
    <w:bookmarkEnd w:id="16"/>
    <w:p w14:paraId="71663E22" w14:textId="77777777" w:rsidR="00E57ED3" w:rsidRPr="00890FF2" w:rsidRDefault="00E57ED3">
      <w:pPr>
        <w:rPr>
          <w:szCs w:val="22"/>
        </w:rPr>
      </w:pPr>
    </w:p>
    <w:p w14:paraId="7A6A8C91" w14:textId="2C6D0D25" w:rsidR="00E57ED3" w:rsidRDefault="00227172">
      <w:pPr>
        <w:rPr>
          <w:szCs w:val="22"/>
        </w:rPr>
      </w:pPr>
      <w:r w:rsidRPr="00890FF2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</w:t>
      </w:r>
      <w:hyperlink r:id="rId11" w:history="1"/>
      <w:r w:rsidRPr="00890FF2">
        <w:rPr>
          <w:szCs w:val="22"/>
        </w:rPr>
        <w:t>. Podrobné kontaktní údaje naleznete v příbalové informaci.</w:t>
      </w:r>
    </w:p>
    <w:p w14:paraId="227B14B6" w14:textId="77777777" w:rsidR="00E57ED3" w:rsidRDefault="00E57ED3">
      <w:pPr>
        <w:rPr>
          <w:szCs w:val="22"/>
          <w:lang w:val="gsw-FR"/>
        </w:rPr>
      </w:pPr>
      <w:bookmarkStart w:id="17" w:name="_Hlk66891708"/>
    </w:p>
    <w:bookmarkEnd w:id="17"/>
    <w:p w14:paraId="66D657AA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3.7</w:t>
      </w:r>
      <w:r>
        <w:rPr>
          <w:szCs w:val="22"/>
          <w:lang w:bidi="cs-CZ"/>
        </w:rPr>
        <w:tab/>
        <w:t>Použití v průběhu březosti, laktace nebo snášky</w:t>
      </w:r>
    </w:p>
    <w:p w14:paraId="47EE14E3" w14:textId="77777777" w:rsidR="00E57ED3" w:rsidRDefault="00227172">
      <w:pPr>
        <w:pStyle w:val="BODY"/>
        <w:ind w:right="10"/>
        <w:jc w:val="both"/>
        <w:rPr>
          <w:szCs w:val="22"/>
          <w:u w:val="single"/>
        </w:rPr>
      </w:pPr>
      <w:bookmarkStart w:id="18" w:name="_Hlk43115264"/>
      <w:r>
        <w:rPr>
          <w:szCs w:val="22"/>
          <w:u w:val="single"/>
        </w:rPr>
        <w:t>Březost:</w:t>
      </w:r>
    </w:p>
    <w:p w14:paraId="13A4132C" w14:textId="5072A0E8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 xml:space="preserve">Kromě použití veterinárního léčivého přípravku k indukci porodu u skotu se kortikosteroidy během březosti nedoporučují. Je známo, že podávání v rané fázi březosti způsobilo u laboratorních zvířat abnormality plodu. Podávání v pozdní březosti může způsobit předčasný porod nebo potrat. </w:t>
      </w:r>
    </w:p>
    <w:p w14:paraId="18803622" w14:textId="77777777" w:rsidR="00E57ED3" w:rsidRDefault="00E57ED3">
      <w:pPr>
        <w:pStyle w:val="BODY"/>
        <w:ind w:right="10"/>
        <w:jc w:val="both"/>
        <w:rPr>
          <w:szCs w:val="22"/>
        </w:rPr>
      </w:pPr>
    </w:p>
    <w:p w14:paraId="09A98435" w14:textId="77777777" w:rsidR="00E57ED3" w:rsidRDefault="00227172">
      <w:pPr>
        <w:pStyle w:val="BODY"/>
        <w:ind w:right="10"/>
        <w:jc w:val="both"/>
        <w:rPr>
          <w:szCs w:val="22"/>
          <w:u w:val="single"/>
        </w:rPr>
      </w:pPr>
      <w:r>
        <w:rPr>
          <w:szCs w:val="22"/>
          <w:u w:val="single"/>
        </w:rPr>
        <w:t>Laktace:</w:t>
      </w:r>
    </w:p>
    <w:p w14:paraId="47418E2A" w14:textId="77777777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 xml:space="preserve">Používání kortikosteroidů u laktujících krav a koz může způsobit dočasné snížení dojivosti. </w:t>
      </w:r>
    </w:p>
    <w:p w14:paraId="38F7C1D7" w14:textId="5893BD38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 xml:space="preserve">U mláďat sajících od matky veterinární léčivý přípravek používejte pouze po zvážení terapeutického prospěchu a rizika příslušným veterinárním lékařem. </w:t>
      </w:r>
    </w:p>
    <w:p w14:paraId="13D4341E" w14:textId="36CEFE7D" w:rsidR="00E57ED3" w:rsidRDefault="00227172">
      <w:pPr>
        <w:pStyle w:val="BODY"/>
        <w:ind w:right="10"/>
        <w:jc w:val="both"/>
        <w:rPr>
          <w:szCs w:val="22"/>
        </w:rPr>
      </w:pPr>
      <w:r>
        <w:rPr>
          <w:szCs w:val="22"/>
        </w:rPr>
        <w:t>Viz</w:t>
      </w:r>
      <w:r w:rsidR="00A611B4">
        <w:rPr>
          <w:szCs w:val="22"/>
        </w:rPr>
        <w:t xml:space="preserve"> také</w:t>
      </w:r>
      <w:r>
        <w:rPr>
          <w:szCs w:val="22"/>
        </w:rPr>
        <w:t xml:space="preserve"> bod Nežádoucí účinky. </w:t>
      </w:r>
    </w:p>
    <w:bookmarkEnd w:id="18"/>
    <w:p w14:paraId="4EE022A9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lastRenderedPageBreak/>
        <w:t>3.8</w:t>
      </w:r>
      <w:r>
        <w:rPr>
          <w:szCs w:val="22"/>
          <w:lang w:bidi="cs-CZ"/>
        </w:rPr>
        <w:tab/>
        <w:t>Interakce s dalšími léčivými přípravky a další formy interakce</w:t>
      </w:r>
    </w:p>
    <w:p w14:paraId="079E9D57" w14:textId="77777777" w:rsidR="00E57ED3" w:rsidRDefault="00227172">
      <w:pPr>
        <w:pStyle w:val="BODY"/>
        <w:jc w:val="both"/>
        <w:rPr>
          <w:szCs w:val="22"/>
        </w:rPr>
      </w:pPr>
      <w:bookmarkStart w:id="19" w:name="_Hlk43115352"/>
      <w:bookmarkStart w:id="20" w:name="_Hlk55823715"/>
      <w:bookmarkStart w:id="21" w:name="_Hlk527549309"/>
      <w:r>
        <w:rPr>
          <w:szCs w:val="22"/>
        </w:rPr>
        <w:t xml:space="preserve">Současné užívání s nesteroidními protizánětlivými látkami (NSAID) může zhoršit ulcerace gastrointestinálního traktu. </w:t>
      </w:r>
    </w:p>
    <w:p w14:paraId="6B06D451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Jelikož kortikosteroidy mohou vést ke snížení imunitní odpovědi na vakcinaci, nepoužívejte dexamethason v kombinaci s vakcínami ani po dobu dvou týdnů od vakcinace. </w:t>
      </w:r>
    </w:p>
    <w:p w14:paraId="000C0CBC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Podávání dexamethasonu může navodit hypokalémii a tím zvýšit riziko toxicity srdečních glykosidů. Riziko hypokalémie se může zvýšit při podání dexamethasonu v kombinaci s diuretiky vedoucími k depleci draslíku. </w:t>
      </w:r>
    </w:p>
    <w:p w14:paraId="69512B96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Souběžné použití s anticholinesterázou může zhoršit svalovou slabost u pacientů s myasthenia gravis. </w:t>
      </w:r>
    </w:p>
    <w:p w14:paraId="6A020889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Glukokortikoidy působí jako antagonisté insulinu. </w:t>
      </w:r>
    </w:p>
    <w:p w14:paraId="6B0E5E96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>Souběžné použití s fenobarbitalem, fenytoinem a rifampicinem může snížit účinky dexamethasonu.</w:t>
      </w:r>
    </w:p>
    <w:bookmarkEnd w:id="19"/>
    <w:bookmarkEnd w:id="20"/>
    <w:p w14:paraId="04CC55E6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3.9</w:t>
      </w:r>
      <w:r>
        <w:rPr>
          <w:szCs w:val="22"/>
          <w:lang w:bidi="cs-CZ"/>
        </w:rPr>
        <w:tab/>
      </w:r>
      <w:r>
        <w:rPr>
          <w:szCs w:val="22"/>
        </w:rPr>
        <w:t>Cesty podání a dávkování</w:t>
      </w:r>
      <w:r>
        <w:rPr>
          <w:szCs w:val="22"/>
          <w:lang w:bidi="cs-CZ"/>
        </w:rPr>
        <w:t xml:space="preserve"> </w:t>
      </w:r>
    </w:p>
    <w:p w14:paraId="2E08042A" w14:textId="77777777" w:rsidR="00E57ED3" w:rsidRDefault="00227172">
      <w:pPr>
        <w:spacing w:line="240" w:lineRule="auto"/>
        <w:rPr>
          <w:noProof/>
          <w:szCs w:val="22"/>
          <w:u w:val="single"/>
        </w:rPr>
      </w:pPr>
      <w:bookmarkStart w:id="22" w:name="_Hlk43115429"/>
      <w:bookmarkStart w:id="23" w:name="_Hlk56430111"/>
      <w:bookmarkEnd w:id="21"/>
      <w:r>
        <w:rPr>
          <w:szCs w:val="22"/>
          <w:u w:val="single"/>
        </w:rPr>
        <w:t>Koně</w:t>
      </w:r>
    </w:p>
    <w:p w14:paraId="521E78A2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7606D277" w14:textId="77777777" w:rsidR="00E57ED3" w:rsidRPr="00890FF2" w:rsidRDefault="00227172">
      <w:pPr>
        <w:tabs>
          <w:tab w:val="clear" w:pos="567"/>
        </w:tabs>
        <w:spacing w:line="240" w:lineRule="auto"/>
        <w:rPr>
          <w:szCs w:val="22"/>
        </w:rPr>
      </w:pPr>
      <w:r w:rsidRPr="00890FF2">
        <w:rPr>
          <w:szCs w:val="22"/>
        </w:rPr>
        <w:t xml:space="preserve">Koně: </w:t>
      </w:r>
      <w:r w:rsidRPr="00890FF2">
        <w:rPr>
          <w:szCs w:val="22"/>
        </w:rPr>
        <w:tab/>
      </w:r>
      <w:r w:rsidRPr="00890FF2">
        <w:rPr>
          <w:szCs w:val="22"/>
        </w:rPr>
        <w:tab/>
      </w:r>
      <w:r w:rsidRPr="00890FF2">
        <w:rPr>
          <w:szCs w:val="22"/>
        </w:rPr>
        <w:tab/>
        <w:t>intravenózní, intramuskulární, intraartikulární a periartikulární podání.</w:t>
      </w:r>
    </w:p>
    <w:p w14:paraId="7EC5037B" w14:textId="77777777" w:rsidR="00E57ED3" w:rsidRPr="00890FF2" w:rsidRDefault="00227172">
      <w:pPr>
        <w:tabs>
          <w:tab w:val="clear" w:pos="567"/>
        </w:tabs>
        <w:spacing w:line="240" w:lineRule="auto"/>
        <w:rPr>
          <w:szCs w:val="22"/>
        </w:rPr>
      </w:pPr>
      <w:r w:rsidRPr="00890FF2">
        <w:rPr>
          <w:szCs w:val="22"/>
        </w:rPr>
        <w:t>Psi a kočky:</w:t>
      </w:r>
      <w:r w:rsidRPr="00890FF2">
        <w:rPr>
          <w:szCs w:val="22"/>
        </w:rPr>
        <w:tab/>
      </w:r>
      <w:r w:rsidRPr="00890FF2">
        <w:rPr>
          <w:szCs w:val="22"/>
        </w:rPr>
        <w:tab/>
        <w:t>intravenózní, intramuskulární a subkutánní podání.</w:t>
      </w:r>
    </w:p>
    <w:p w14:paraId="67238762" w14:textId="77777777" w:rsidR="00E57ED3" w:rsidRDefault="0022717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90FF2">
        <w:rPr>
          <w:szCs w:val="22"/>
        </w:rPr>
        <w:t xml:space="preserve">Skot, kozy a prasata: </w:t>
      </w:r>
      <w:r w:rsidRPr="00890FF2">
        <w:rPr>
          <w:szCs w:val="22"/>
        </w:rPr>
        <w:tab/>
        <w:t>intravenózní a intramuskulární podání.</w:t>
      </w:r>
    </w:p>
    <w:p w14:paraId="590DA4A0" w14:textId="77777777" w:rsidR="00E57ED3" w:rsidRDefault="00E57ED3">
      <w:pPr>
        <w:spacing w:line="240" w:lineRule="auto"/>
        <w:rPr>
          <w:noProof/>
          <w:szCs w:val="22"/>
        </w:rPr>
      </w:pPr>
    </w:p>
    <w:p w14:paraId="0636F870" w14:textId="77777777" w:rsidR="00E57ED3" w:rsidRDefault="00227172">
      <w:pPr>
        <w:spacing w:line="240" w:lineRule="auto"/>
        <w:rPr>
          <w:szCs w:val="22"/>
        </w:rPr>
      </w:pPr>
      <w:r>
        <w:rPr>
          <w:szCs w:val="22"/>
          <w:u w:val="single"/>
        </w:rPr>
        <w:t>K léčbě zánětlivých nebo alergických stavů</w:t>
      </w:r>
      <w:r>
        <w:rPr>
          <w:szCs w:val="22"/>
        </w:rPr>
        <w:t xml:space="preserve"> </w:t>
      </w:r>
    </w:p>
    <w:p w14:paraId="05E59ECF" w14:textId="77777777" w:rsidR="00E57ED3" w:rsidRDefault="00227172">
      <w:pPr>
        <w:spacing w:line="240" w:lineRule="auto"/>
        <w:rPr>
          <w:szCs w:val="22"/>
        </w:rPr>
      </w:pPr>
      <w:r>
        <w:rPr>
          <w:szCs w:val="22"/>
        </w:rPr>
        <w:t>Doporučují se následující průměrné dávky. Skutečná použitá dávka by se však měla řídit závažností příznaků a délkou jejich trvání.</w:t>
      </w:r>
    </w:p>
    <w:p w14:paraId="550A0E90" w14:textId="77777777" w:rsidR="00E57ED3" w:rsidRDefault="00E57ED3">
      <w:pPr>
        <w:spacing w:line="240" w:lineRule="auto"/>
        <w:rPr>
          <w:noProof/>
          <w:szCs w:val="22"/>
        </w:rPr>
      </w:pPr>
    </w:p>
    <w:p w14:paraId="7DDDA052" w14:textId="77777777" w:rsidR="00E57ED3" w:rsidRDefault="00227172">
      <w:pPr>
        <w:spacing w:line="240" w:lineRule="auto"/>
        <w:rPr>
          <w:b/>
          <w:noProof/>
          <w:szCs w:val="22"/>
        </w:rPr>
      </w:pPr>
      <w:r>
        <w:rPr>
          <w:b/>
          <w:szCs w:val="22"/>
        </w:rPr>
        <w:t xml:space="preserve">Druh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Dávkování</w:t>
      </w:r>
    </w:p>
    <w:p w14:paraId="3A5C6D37" w14:textId="77777777" w:rsidR="00E57ED3" w:rsidRPr="00890FF2" w:rsidRDefault="00227172">
      <w:pPr>
        <w:spacing w:line="240" w:lineRule="auto"/>
        <w:rPr>
          <w:noProof/>
          <w:szCs w:val="22"/>
        </w:rPr>
      </w:pPr>
      <w:r w:rsidRPr="00890FF2">
        <w:rPr>
          <w:noProof/>
          <w:szCs w:val="22"/>
        </w:rPr>
        <w:t xml:space="preserve">Koně, skot, kozy, prasata </w:t>
      </w:r>
      <w:r w:rsidRPr="00890FF2">
        <w:rPr>
          <w:noProof/>
          <w:szCs w:val="22"/>
        </w:rPr>
        <w:tab/>
        <w:t>0,06 mg dexamethasonu/kg živé hmotnosti.</w:t>
      </w:r>
    </w:p>
    <w:p w14:paraId="06D6A18A" w14:textId="290CD37A" w:rsidR="00E57ED3" w:rsidRPr="00890FF2" w:rsidRDefault="00227172">
      <w:pPr>
        <w:spacing w:line="240" w:lineRule="auto"/>
        <w:rPr>
          <w:noProof/>
          <w:szCs w:val="22"/>
        </w:rPr>
      </w:pP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  <w:t>(1,5 ml veterinárního léčivého přípravku /50 kg živé hmotnosti)</w:t>
      </w:r>
    </w:p>
    <w:p w14:paraId="72FFD457" w14:textId="77777777" w:rsidR="00E57ED3" w:rsidRPr="00890FF2" w:rsidRDefault="00227172">
      <w:pPr>
        <w:spacing w:line="240" w:lineRule="auto"/>
        <w:rPr>
          <w:noProof/>
          <w:szCs w:val="22"/>
        </w:rPr>
      </w:pPr>
      <w:r w:rsidRPr="00890FF2">
        <w:rPr>
          <w:noProof/>
          <w:szCs w:val="22"/>
        </w:rPr>
        <w:t xml:space="preserve">Psi, kočky </w:t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  <w:t>0,1 mg dexamethasonu/kg živé hmotnosti.</w:t>
      </w:r>
    </w:p>
    <w:p w14:paraId="5B820A0F" w14:textId="6C19C962" w:rsidR="00E57ED3" w:rsidRDefault="00227172">
      <w:pPr>
        <w:spacing w:line="240" w:lineRule="auto"/>
        <w:rPr>
          <w:noProof/>
          <w:szCs w:val="22"/>
        </w:rPr>
      </w:pP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</w:r>
      <w:r w:rsidRPr="00890FF2">
        <w:rPr>
          <w:noProof/>
          <w:szCs w:val="22"/>
        </w:rPr>
        <w:tab/>
        <w:t>(0,5 ml veterinárního léčivého přípravku /10 kg živé hmotnosti)</w:t>
      </w:r>
    </w:p>
    <w:p w14:paraId="01D668BE" w14:textId="77777777" w:rsidR="00E57ED3" w:rsidRDefault="00E57ED3">
      <w:pPr>
        <w:spacing w:line="240" w:lineRule="auto"/>
        <w:rPr>
          <w:noProof/>
          <w:szCs w:val="22"/>
        </w:rPr>
      </w:pPr>
    </w:p>
    <w:p w14:paraId="197CF866" w14:textId="77777777" w:rsidR="00E57ED3" w:rsidRDefault="00227172">
      <w:pPr>
        <w:pStyle w:val="BODY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Léčba primární ketózy </w:t>
      </w:r>
      <w:bookmarkStart w:id="24" w:name="_Hlk525826804"/>
      <w:r>
        <w:rPr>
          <w:szCs w:val="22"/>
          <w:u w:val="single"/>
        </w:rPr>
        <w:t>(acetonemie)</w:t>
      </w:r>
    </w:p>
    <w:p w14:paraId="6A521D72" w14:textId="53F51515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Dávka 0,02–0,04 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 xml:space="preserve">/kg živé hmotnosti (skot: 5–10 ml veterinárního léčivého přípravku na 500 kg živé hmotnosti; kozy: 0,65–1,3 ml veterinárního léčivého přípravku na 65 kg živé hmotnosti) </w:t>
      </w:r>
      <w:bookmarkStart w:id="25" w:name="_Hlk80624278"/>
      <w:r>
        <w:rPr>
          <w:szCs w:val="22"/>
        </w:rPr>
        <w:t xml:space="preserve">jednorázové </w:t>
      </w:r>
      <w:bookmarkEnd w:id="25"/>
      <w:r>
        <w:rPr>
          <w:szCs w:val="22"/>
        </w:rPr>
        <w:t xml:space="preserve">intramuskulární </w:t>
      </w:r>
      <w:bookmarkStart w:id="26" w:name="_Hlk80624285"/>
      <w:r>
        <w:rPr>
          <w:szCs w:val="22"/>
        </w:rPr>
        <w:t xml:space="preserve">podání </w:t>
      </w:r>
      <w:bookmarkEnd w:id="26"/>
      <w:r>
        <w:rPr>
          <w:szCs w:val="22"/>
        </w:rPr>
        <w:t xml:space="preserve">v závislosti na velikosti zvířete a délce trvání příznaků. Vyšší dávky (tj. 0,04 mg/kg) jsou třeba u zvířat, u kterých příznaky trvaly delší dobu nebo u kterých došlo k relapsu po léčbě. </w:t>
      </w:r>
    </w:p>
    <w:p w14:paraId="6B409EB0" w14:textId="77777777" w:rsidR="00E57ED3" w:rsidRDefault="00E57ED3">
      <w:pPr>
        <w:pStyle w:val="BODY"/>
        <w:jc w:val="both"/>
        <w:rPr>
          <w:szCs w:val="22"/>
        </w:rPr>
      </w:pPr>
    </w:p>
    <w:bookmarkEnd w:id="24"/>
    <w:p w14:paraId="2914C4F1" w14:textId="49CD4B98" w:rsidR="00E57ED3" w:rsidRDefault="00227172">
      <w:pPr>
        <w:pStyle w:val="BODY"/>
        <w:jc w:val="both"/>
        <w:rPr>
          <w:szCs w:val="22"/>
        </w:rPr>
      </w:pPr>
      <w:r>
        <w:rPr>
          <w:szCs w:val="22"/>
          <w:u w:val="single"/>
        </w:rPr>
        <w:t xml:space="preserve">K indukci porodu </w:t>
      </w:r>
      <w:r>
        <w:rPr>
          <w:szCs w:val="22"/>
        </w:rPr>
        <w:t>– k zabránění nadměrné velikosti plodu a otoku mléčné žlázy u skotu.</w:t>
      </w:r>
      <w:bookmarkStart w:id="27" w:name="_Hlk517164437"/>
      <w:r>
        <w:rPr>
          <w:szCs w:val="22"/>
        </w:rPr>
        <w:t xml:space="preserve"> Jednorázové intramuskulární podání dávky 0,04 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>/kg živé hmotnosti, tj. 10 ml veterinárního léčivého přípravku na 500 kgž.hm po 260. dni březosti.</w:t>
      </w:r>
    </w:p>
    <w:p w14:paraId="1CD426E6" w14:textId="77777777" w:rsidR="00E57ED3" w:rsidRDefault="00227172">
      <w:pPr>
        <w:pStyle w:val="BODY"/>
        <w:jc w:val="both"/>
        <w:rPr>
          <w:szCs w:val="22"/>
        </w:rPr>
      </w:pPr>
      <w:r>
        <w:rPr>
          <w:szCs w:val="22"/>
        </w:rPr>
        <w:t xml:space="preserve">Porod se běžně dostaví za 48–72 hodin. </w:t>
      </w:r>
      <w:bookmarkEnd w:id="27"/>
    </w:p>
    <w:p w14:paraId="11E4F4C3" w14:textId="77777777" w:rsidR="00E57ED3" w:rsidRDefault="00227172">
      <w:pPr>
        <w:spacing w:line="240" w:lineRule="auto"/>
        <w:jc w:val="both"/>
        <w:rPr>
          <w:noProof/>
          <w:szCs w:val="22"/>
        </w:rPr>
      </w:pPr>
      <w:r>
        <w:rPr>
          <w:szCs w:val="22"/>
          <w:u w:val="single"/>
        </w:rPr>
        <w:t xml:space="preserve">K léčbě artritidy, burzitidy nebo tenosynovitidy </w:t>
      </w:r>
      <w:r>
        <w:rPr>
          <w:szCs w:val="22"/>
        </w:rPr>
        <w:t>intraartikulárním nebo periartikulárním injekčním podáním u koní.</w:t>
      </w:r>
    </w:p>
    <w:p w14:paraId="178EA0F4" w14:textId="3955A709" w:rsidR="00E57ED3" w:rsidRDefault="00227172">
      <w:pPr>
        <w:spacing w:line="240" w:lineRule="auto"/>
        <w:jc w:val="both"/>
        <w:rPr>
          <w:i/>
          <w:noProof/>
          <w:szCs w:val="22"/>
        </w:rPr>
      </w:pPr>
      <w:r>
        <w:rPr>
          <w:szCs w:val="22"/>
        </w:rPr>
        <w:t xml:space="preserve">Dávka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1–5 ml veterinárního léčivého přípravku na </w:t>
      </w:r>
      <w:r w:rsidR="00943895">
        <w:rPr>
          <w:szCs w:val="22"/>
        </w:rPr>
        <w:t xml:space="preserve">ošetření </w:t>
      </w:r>
    </w:p>
    <w:p w14:paraId="55C16863" w14:textId="77777777" w:rsidR="00E57ED3" w:rsidRDefault="00E57ED3">
      <w:pPr>
        <w:spacing w:line="240" w:lineRule="auto"/>
        <w:jc w:val="both"/>
        <w:rPr>
          <w:noProof/>
          <w:szCs w:val="22"/>
        </w:rPr>
      </w:pPr>
    </w:p>
    <w:p w14:paraId="47A5E232" w14:textId="6217C3B5" w:rsidR="00E57ED3" w:rsidRDefault="00227172" w:rsidP="00890FF2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Výše uvedená množství nejsou jednoznačně stanovena a jsou uvedena výhradně za účelem orientace. Injekčnímu podání do kloubního prostoru nebo bursy musí předcházet natažení stejného množství synoviální tekutiny. U koní určených k lidské spotřebě by neměla být překročena celková dávka 0,06 mg </w:t>
      </w:r>
      <w:proofErr w:type="spellStart"/>
      <w:r>
        <w:rPr>
          <w:szCs w:val="22"/>
        </w:rPr>
        <w:t>dexamethasonu</w:t>
      </w:r>
      <w:proofErr w:type="spellEnd"/>
      <w:r>
        <w:rPr>
          <w:szCs w:val="22"/>
        </w:rPr>
        <w:t>/kg živé hmotnosti Je nutné přísné dodržení aseptických podmínek.</w:t>
      </w:r>
      <w:bookmarkEnd w:id="22"/>
    </w:p>
    <w:p w14:paraId="41E37BE5" w14:textId="77777777" w:rsidR="00E57ED3" w:rsidRDefault="00E57ED3">
      <w:pPr>
        <w:spacing w:line="240" w:lineRule="auto"/>
        <w:rPr>
          <w:rFonts w:eastAsia="Cambria"/>
          <w:szCs w:val="22"/>
          <w:lang w:eastAsia="ja-JP"/>
        </w:rPr>
      </w:pPr>
    </w:p>
    <w:bookmarkEnd w:id="23"/>
    <w:p w14:paraId="4F14D0F7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3.10</w:t>
      </w:r>
      <w:r>
        <w:rPr>
          <w:szCs w:val="22"/>
          <w:lang w:bidi="cs-CZ"/>
        </w:rPr>
        <w:tab/>
      </w:r>
      <w:r>
        <w:rPr>
          <w:szCs w:val="22"/>
        </w:rPr>
        <w:t xml:space="preserve">Příznaky předávkování (a kde je relevantní, první pomoc a antidota) </w:t>
      </w:r>
    </w:p>
    <w:p w14:paraId="6CA16639" w14:textId="77777777" w:rsidR="00E57ED3" w:rsidRDefault="00227172">
      <w:pPr>
        <w:autoSpaceDE w:val="0"/>
        <w:autoSpaceDN w:val="0"/>
        <w:adjustRightInd w:val="0"/>
        <w:rPr>
          <w:rFonts w:cs="Segoe UI"/>
          <w:szCs w:val="22"/>
        </w:rPr>
      </w:pPr>
      <w:bookmarkStart w:id="28" w:name="_Hlk43115510"/>
      <w:bookmarkStart w:id="29" w:name="_Hlk43113824"/>
      <w:r>
        <w:rPr>
          <w:szCs w:val="22"/>
        </w:rPr>
        <w:t>Vysoké dávky mohou u koní způsobit apatii a netečnost.</w:t>
      </w:r>
    </w:p>
    <w:p w14:paraId="06DB9863" w14:textId="4E43A5C2" w:rsidR="00E57ED3" w:rsidRDefault="00227172">
      <w:pPr>
        <w:pStyle w:val="Nadpis3"/>
        <w:keepNext w:val="0"/>
        <w:tabs>
          <w:tab w:val="clear" w:pos="567"/>
        </w:tabs>
        <w:ind w:left="0" w:firstLine="0"/>
        <w:rPr>
          <w:b w:val="0"/>
          <w:kern w:val="0"/>
          <w:szCs w:val="22"/>
        </w:rPr>
      </w:pPr>
      <w:r>
        <w:rPr>
          <w:b w:val="0"/>
          <w:szCs w:val="22"/>
        </w:rPr>
        <w:t>Viz bod Nežádoucí účinky.</w:t>
      </w:r>
    </w:p>
    <w:bookmarkEnd w:id="28"/>
    <w:p w14:paraId="770DBB94" w14:textId="77777777" w:rsidR="00E57ED3" w:rsidRDefault="00227172">
      <w:pPr>
        <w:pStyle w:val="Nadpis3"/>
        <w:rPr>
          <w:szCs w:val="22"/>
          <w:lang w:bidi="cs-CZ"/>
        </w:rPr>
      </w:pPr>
      <w:r>
        <w:rPr>
          <w:szCs w:val="22"/>
          <w:lang w:bidi="cs-CZ"/>
        </w:rPr>
        <w:lastRenderedPageBreak/>
        <w:t>3.11</w:t>
      </w:r>
      <w:r>
        <w:rPr>
          <w:szCs w:val="22"/>
          <w:lang w:bidi="cs-CZ"/>
        </w:rPr>
        <w:tab/>
      </w:r>
      <w:r>
        <w:rPr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  <w:r>
        <w:rPr>
          <w:szCs w:val="22"/>
          <w:lang w:bidi="cs-CZ"/>
        </w:rPr>
        <w:t xml:space="preserve"> </w:t>
      </w:r>
    </w:p>
    <w:p w14:paraId="64E20EBB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3.12</w:t>
      </w:r>
      <w:r>
        <w:rPr>
          <w:szCs w:val="22"/>
          <w:lang w:bidi="cs-CZ"/>
        </w:rPr>
        <w:tab/>
        <w:t>Ochranné lhůty</w:t>
      </w:r>
      <w:bookmarkStart w:id="30" w:name="_Hlk70676420"/>
      <w:bookmarkEnd w:id="29"/>
    </w:p>
    <w:p w14:paraId="4F5C0069" w14:textId="77777777" w:rsidR="00E57ED3" w:rsidRDefault="00227172">
      <w:pPr>
        <w:pStyle w:val="Default"/>
        <w:rPr>
          <w:b/>
          <w:color w:val="auto"/>
          <w:sz w:val="22"/>
          <w:szCs w:val="22"/>
        </w:rPr>
      </w:pPr>
      <w:bookmarkStart w:id="31" w:name="_Hlk43115667"/>
      <w:r>
        <w:rPr>
          <w:b/>
          <w:color w:val="auto"/>
          <w:sz w:val="22"/>
          <w:szCs w:val="22"/>
        </w:rPr>
        <w:t xml:space="preserve">Skot a kozy: </w:t>
      </w:r>
    </w:p>
    <w:p w14:paraId="1788AC3D" w14:textId="77777777" w:rsidR="00E57ED3" w:rsidRDefault="00227172">
      <w:pPr>
        <w:pStyle w:val="Default"/>
        <w:rPr>
          <w:color w:val="auto"/>
          <w:sz w:val="22"/>
          <w:szCs w:val="22"/>
        </w:rPr>
      </w:pPr>
      <w:bookmarkStart w:id="32" w:name="_Hlk517164735"/>
      <w:r>
        <w:rPr>
          <w:color w:val="auto"/>
          <w:sz w:val="22"/>
          <w:szCs w:val="22"/>
        </w:rPr>
        <w:t xml:space="preserve">Maso: 8 dnů </w:t>
      </w:r>
    </w:p>
    <w:p w14:paraId="71446FCE" w14:textId="77777777" w:rsidR="00E57ED3" w:rsidRDefault="002271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Mléko: 72 hodin </w:t>
      </w:r>
    </w:p>
    <w:bookmarkEnd w:id="32"/>
    <w:p w14:paraId="69823542" w14:textId="77777777" w:rsidR="00E57ED3" w:rsidRDefault="00E57ED3">
      <w:pPr>
        <w:pStyle w:val="Default"/>
        <w:rPr>
          <w:color w:val="auto"/>
          <w:sz w:val="22"/>
          <w:szCs w:val="22"/>
          <w:lang w:val="it-IT" w:eastAsia="en-US"/>
        </w:rPr>
      </w:pPr>
    </w:p>
    <w:p w14:paraId="434215E5" w14:textId="77777777" w:rsidR="00E57ED3" w:rsidRDefault="00227172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Prasata: </w:t>
      </w:r>
    </w:p>
    <w:p w14:paraId="594EC1C4" w14:textId="77777777" w:rsidR="00E57ED3" w:rsidRDefault="002271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Maso: 2 dny po intramuskulárním podání</w:t>
      </w:r>
    </w:p>
    <w:p w14:paraId="3D6C524C" w14:textId="77777777" w:rsidR="00E57ED3" w:rsidRDefault="002271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Maso: 6 dnů po intravenózním podání</w:t>
      </w:r>
    </w:p>
    <w:p w14:paraId="7F9DFC21" w14:textId="77777777" w:rsidR="00E57ED3" w:rsidRDefault="00E57ED3">
      <w:pPr>
        <w:pStyle w:val="Default"/>
        <w:rPr>
          <w:color w:val="auto"/>
          <w:sz w:val="22"/>
          <w:szCs w:val="22"/>
          <w:lang w:eastAsia="en-US"/>
        </w:rPr>
      </w:pPr>
    </w:p>
    <w:p w14:paraId="6ADE8BFA" w14:textId="77777777" w:rsidR="00E57ED3" w:rsidRDefault="00227172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Koně: </w:t>
      </w:r>
    </w:p>
    <w:p w14:paraId="76ACD7C0" w14:textId="77777777" w:rsidR="00E57ED3" w:rsidRDefault="002271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Maso: 8 dnů </w:t>
      </w:r>
    </w:p>
    <w:p w14:paraId="5FDDCA2C" w14:textId="77777777" w:rsidR="00E57ED3" w:rsidRDefault="00227172">
      <w:pPr>
        <w:pStyle w:val="BODY"/>
        <w:rPr>
          <w:szCs w:val="22"/>
        </w:rPr>
      </w:pPr>
      <w:r>
        <w:rPr>
          <w:szCs w:val="22"/>
        </w:rPr>
        <w:t xml:space="preserve">Nepoužívat u koní, jejichž mléko je určeno pro lidskou spotřebu. </w:t>
      </w:r>
    </w:p>
    <w:bookmarkEnd w:id="31"/>
    <w:p w14:paraId="5AA1E9B3" w14:textId="77777777" w:rsidR="00E57ED3" w:rsidRDefault="00E57ED3">
      <w:pPr>
        <w:rPr>
          <w:rFonts w:eastAsia="Cambria"/>
          <w:szCs w:val="22"/>
          <w:lang w:eastAsia="ja-JP"/>
        </w:rPr>
      </w:pPr>
    </w:p>
    <w:p w14:paraId="108F7190" w14:textId="77777777" w:rsidR="00E57ED3" w:rsidRDefault="00E57ED3">
      <w:pPr>
        <w:rPr>
          <w:rFonts w:eastAsia="Cambria"/>
          <w:szCs w:val="22"/>
          <w:lang w:eastAsia="ja-JP"/>
        </w:rPr>
      </w:pPr>
    </w:p>
    <w:bookmarkEnd w:id="30"/>
    <w:p w14:paraId="6A046C9D" w14:textId="77777777" w:rsidR="00E57ED3" w:rsidRDefault="00227172" w:rsidP="00053345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4.</w:t>
      </w:r>
      <w:r>
        <w:rPr>
          <w:rFonts w:ascii="Times New Roman" w:hAnsi="Times New Roman"/>
          <w:szCs w:val="22"/>
          <w:lang w:bidi="cs-CZ"/>
        </w:rPr>
        <w:tab/>
        <w:t xml:space="preserve">FARMAKOLOGICKÉ </w:t>
      </w:r>
      <w:r>
        <w:rPr>
          <w:szCs w:val="22"/>
        </w:rPr>
        <w:t>INFORMACE</w:t>
      </w:r>
      <w:r>
        <w:rPr>
          <w:rFonts w:ascii="Times New Roman" w:hAnsi="Times New Roman"/>
          <w:szCs w:val="22"/>
          <w:lang w:bidi="cs-CZ"/>
        </w:rPr>
        <w:t xml:space="preserve"> </w:t>
      </w:r>
    </w:p>
    <w:p w14:paraId="46C7B1EE" w14:textId="2AAD5AF9" w:rsidR="00E57ED3" w:rsidRPr="00890FF2" w:rsidRDefault="0022717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4.1</w:t>
      </w:r>
      <w:r>
        <w:rPr>
          <w:b/>
          <w:szCs w:val="22"/>
        </w:rPr>
        <w:tab/>
      </w:r>
      <w:proofErr w:type="spellStart"/>
      <w:r>
        <w:rPr>
          <w:b/>
          <w:szCs w:val="22"/>
          <w:lang w:bidi="cs-CZ"/>
        </w:rPr>
        <w:t>ATCvet</w:t>
      </w:r>
      <w:proofErr w:type="spellEnd"/>
      <w:r>
        <w:rPr>
          <w:b/>
          <w:szCs w:val="22"/>
          <w:lang w:bidi="cs-CZ"/>
        </w:rPr>
        <w:t xml:space="preserve"> kód: </w:t>
      </w:r>
      <w:r w:rsidRPr="00890FF2">
        <w:rPr>
          <w:szCs w:val="22"/>
        </w:rPr>
        <w:t>QH02AB02</w:t>
      </w:r>
    </w:p>
    <w:p w14:paraId="7601CAB4" w14:textId="5787DCAB" w:rsidR="00E57ED3" w:rsidRDefault="00E57ED3">
      <w:pPr>
        <w:tabs>
          <w:tab w:val="clear" w:pos="567"/>
          <w:tab w:val="left" w:pos="6240"/>
        </w:tabs>
        <w:spacing w:line="240" w:lineRule="auto"/>
        <w:rPr>
          <w:szCs w:val="22"/>
        </w:rPr>
      </w:pPr>
    </w:p>
    <w:p w14:paraId="3DCA5407" w14:textId="77777777" w:rsidR="00E57ED3" w:rsidRDefault="00227172">
      <w:pPr>
        <w:pStyle w:val="Nadpis3"/>
        <w:rPr>
          <w:szCs w:val="22"/>
        </w:rPr>
      </w:pPr>
      <w:bookmarkStart w:id="33" w:name="_Hlk56422574"/>
      <w:bookmarkStart w:id="34" w:name="_Hlk56422630"/>
      <w:r>
        <w:rPr>
          <w:szCs w:val="22"/>
          <w:lang w:bidi="cs-CZ"/>
        </w:rPr>
        <w:t>4.2</w:t>
      </w:r>
      <w:r>
        <w:rPr>
          <w:szCs w:val="22"/>
          <w:lang w:bidi="cs-CZ"/>
        </w:rPr>
        <w:tab/>
        <w:t>Farmakodynamika</w:t>
      </w:r>
    </w:p>
    <w:bookmarkEnd w:id="33"/>
    <w:bookmarkEnd w:id="34"/>
    <w:p w14:paraId="1606551B" w14:textId="77777777" w:rsidR="00E57ED3" w:rsidRDefault="00227172">
      <w:pPr>
        <w:rPr>
          <w:szCs w:val="22"/>
        </w:rPr>
      </w:pPr>
      <w:r>
        <w:rPr>
          <w:szCs w:val="22"/>
        </w:rPr>
        <w:t xml:space="preserve">Dexamethason je silný syntetický glukokortikoid s minimálním mineralokortikoidním účinkem. Dexamethason má deset až dvacetkrát vyšší protizánětlivý účinek než prednisolon v ekvivalentní molární dávce. </w:t>
      </w:r>
    </w:p>
    <w:p w14:paraId="0BFBA801" w14:textId="77777777" w:rsidR="00E57ED3" w:rsidRDefault="00E57ED3">
      <w:pPr>
        <w:rPr>
          <w:szCs w:val="22"/>
        </w:rPr>
      </w:pPr>
    </w:p>
    <w:p w14:paraId="5068F4DF" w14:textId="77777777" w:rsidR="00E57ED3" w:rsidRPr="00890FF2" w:rsidRDefault="00227172">
      <w:pPr>
        <w:rPr>
          <w:szCs w:val="22"/>
        </w:rPr>
      </w:pPr>
      <w:r>
        <w:rPr>
          <w:szCs w:val="22"/>
        </w:rPr>
        <w:t>Kortikosteroidy mohou potlačovat imunitní odpověď inhibicí dilatace kapilár, migrace a funkce leukocytů a fagocytózy. Glukokortikoidy ovlivňují metabolizmus zvyšováním glukoneogeneze. Podávání dexamethasonu napodobuje účinky kortizolu, a proto produkuje signál, který iniciuje indukci porodu u přežvýkavců, pokud je plod naživu.</w:t>
      </w:r>
    </w:p>
    <w:p w14:paraId="6586E5ED" w14:textId="77777777" w:rsidR="00E57ED3" w:rsidRDefault="00E57ED3">
      <w:pPr>
        <w:tabs>
          <w:tab w:val="clear" w:pos="567"/>
        </w:tabs>
        <w:spacing w:line="240" w:lineRule="auto"/>
        <w:rPr>
          <w:szCs w:val="22"/>
        </w:rPr>
      </w:pPr>
    </w:p>
    <w:p w14:paraId="032FA9EA" w14:textId="77777777" w:rsidR="00E57ED3" w:rsidRDefault="00227172">
      <w:pPr>
        <w:pStyle w:val="Nadpis3"/>
        <w:rPr>
          <w:szCs w:val="22"/>
        </w:rPr>
      </w:pPr>
      <w:bookmarkStart w:id="35" w:name="_Hlk56422694"/>
      <w:r>
        <w:rPr>
          <w:szCs w:val="22"/>
          <w:lang w:bidi="cs-CZ"/>
        </w:rPr>
        <w:t>4.3</w:t>
      </w:r>
      <w:r>
        <w:rPr>
          <w:szCs w:val="22"/>
          <w:lang w:bidi="cs-CZ"/>
        </w:rPr>
        <w:tab/>
        <w:t>Farmakokinetika</w:t>
      </w:r>
    </w:p>
    <w:bookmarkEnd w:id="35"/>
    <w:p w14:paraId="5696304D" w14:textId="613BD8C5" w:rsidR="00E57ED3" w:rsidRDefault="00227172">
      <w:pPr>
        <w:pStyle w:val="Nadpis2"/>
        <w:keepNext w:val="0"/>
        <w:jc w:val="both"/>
        <w:rPr>
          <w:rFonts w:ascii="Times New Roman" w:hAnsi="Times New Roman"/>
          <w:b w:val="0"/>
          <w:caps w:val="0"/>
          <w:szCs w:val="22"/>
        </w:rPr>
      </w:pPr>
      <w:r>
        <w:rPr>
          <w:rFonts w:ascii="Times New Roman" w:hAnsi="Times New Roman"/>
          <w:b w:val="0"/>
          <w:caps w:val="0"/>
          <w:szCs w:val="22"/>
        </w:rPr>
        <w:t>Po intramuskulárním podání veterinárního léčivého přípravku se fosforečnan sodný dexamethasonu rychle vstřebává a hydrolyzuje na dexamethason (báze), což umožňuje rychlou a krátkodobou (přibližně 48 hodin) odpověď. T</w:t>
      </w:r>
      <w:r>
        <w:rPr>
          <w:rFonts w:ascii="Times New Roman" w:hAnsi="Times New Roman"/>
          <w:b w:val="0"/>
          <w:caps w:val="0"/>
          <w:szCs w:val="22"/>
          <w:vertAlign w:val="subscript"/>
        </w:rPr>
        <w:t>max</w:t>
      </w:r>
      <w:r>
        <w:rPr>
          <w:rFonts w:ascii="Times New Roman" w:hAnsi="Times New Roman"/>
          <w:b w:val="0"/>
          <w:caps w:val="0"/>
          <w:szCs w:val="22"/>
        </w:rPr>
        <w:t> u skotu, koz, koní, prasat, psů a koček je dosaženo do 30 minut po intramuskulárním podání. T</w:t>
      </w:r>
      <w:r>
        <w:rPr>
          <w:rFonts w:ascii="Times New Roman" w:hAnsi="Times New Roman"/>
          <w:b w:val="0"/>
          <w:caps w:val="0"/>
          <w:szCs w:val="22"/>
          <w:vertAlign w:val="subscript"/>
        </w:rPr>
        <w:t>½</w:t>
      </w:r>
      <w:r>
        <w:rPr>
          <w:rFonts w:ascii="Times New Roman" w:hAnsi="Times New Roman"/>
          <w:b w:val="0"/>
          <w:caps w:val="0"/>
          <w:szCs w:val="22"/>
        </w:rPr>
        <w:t xml:space="preserve"> (</w:t>
      </w:r>
      <w:r w:rsidR="00943895">
        <w:rPr>
          <w:rFonts w:ascii="Times New Roman" w:hAnsi="Times New Roman"/>
          <w:b w:val="0"/>
          <w:caps w:val="0"/>
          <w:szCs w:val="22"/>
        </w:rPr>
        <w:t xml:space="preserve">biologický </w:t>
      </w:r>
      <w:r>
        <w:rPr>
          <w:rFonts w:ascii="Times New Roman" w:hAnsi="Times New Roman"/>
          <w:b w:val="0"/>
          <w:caps w:val="0"/>
          <w:szCs w:val="22"/>
        </w:rPr>
        <w:t>poločas eliminace) se pohybuje mezi 5 a 20 hodinami v závislosti na druhu. Biologická dostupnost po intramuskulárním podání je přibližně 100 %.</w:t>
      </w:r>
    </w:p>
    <w:p w14:paraId="40E76649" w14:textId="77777777" w:rsidR="00E57ED3" w:rsidRDefault="00E57ED3">
      <w:pPr>
        <w:rPr>
          <w:rFonts w:eastAsia="Cambria"/>
          <w:szCs w:val="22"/>
          <w:lang w:eastAsia="ja-JP"/>
        </w:rPr>
      </w:pPr>
    </w:p>
    <w:p w14:paraId="62BA9BF1" w14:textId="122980A3" w:rsidR="00E57ED3" w:rsidRDefault="00227172" w:rsidP="00890FF2">
      <w:pPr>
        <w:pStyle w:val="Nadpis2"/>
      </w:pPr>
      <w:r>
        <w:rPr>
          <w:rFonts w:ascii="Times New Roman" w:hAnsi="Times New Roman"/>
          <w:szCs w:val="22"/>
          <w:lang w:bidi="cs-CZ"/>
        </w:rPr>
        <w:t>5.</w:t>
      </w:r>
      <w:r>
        <w:rPr>
          <w:rFonts w:ascii="Times New Roman" w:hAnsi="Times New Roman"/>
          <w:szCs w:val="22"/>
          <w:lang w:bidi="cs-CZ"/>
        </w:rPr>
        <w:tab/>
        <w:t>FARMACEUTICKÉ ÚDAJE</w:t>
      </w:r>
    </w:p>
    <w:p w14:paraId="2BFD638A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5.1</w:t>
      </w:r>
      <w:r>
        <w:rPr>
          <w:szCs w:val="22"/>
          <w:lang w:bidi="cs-CZ"/>
        </w:rPr>
        <w:tab/>
        <w:t>Hlavní inkompatibility</w:t>
      </w:r>
    </w:p>
    <w:p w14:paraId="32E069B1" w14:textId="77777777" w:rsidR="00E57ED3" w:rsidRDefault="00227172">
      <w:pPr>
        <w:rPr>
          <w:szCs w:val="22"/>
          <w:lang w:eastAsia="en-GB"/>
        </w:rPr>
      </w:pPr>
      <w:bookmarkStart w:id="36" w:name="_Hlk73017480"/>
      <w:r>
        <w:rPr>
          <w:szCs w:val="22"/>
          <w:lang w:bidi="cs-CZ"/>
        </w:rPr>
        <w:t>Studie kompatibility nejsou k dispozici, a proto tento veterinární léčivý přípravek nesmí být mísen s žádnými dalšími veterinárními léčivými přípravky.</w:t>
      </w:r>
    </w:p>
    <w:p w14:paraId="66438CDB" w14:textId="77777777" w:rsidR="00E57ED3" w:rsidRDefault="00E57ED3">
      <w:pPr>
        <w:rPr>
          <w:szCs w:val="22"/>
          <w:lang w:eastAsia="en-GB"/>
        </w:rPr>
      </w:pPr>
    </w:p>
    <w:p w14:paraId="487F9A6E" w14:textId="77777777" w:rsidR="00E57ED3" w:rsidRDefault="00227172">
      <w:pPr>
        <w:pStyle w:val="Nadpis3"/>
        <w:rPr>
          <w:szCs w:val="22"/>
        </w:rPr>
      </w:pPr>
      <w:bookmarkStart w:id="37" w:name="_Hlk72845507"/>
      <w:bookmarkEnd w:id="36"/>
      <w:r>
        <w:rPr>
          <w:szCs w:val="22"/>
          <w:lang w:bidi="cs-CZ"/>
        </w:rPr>
        <w:t>5.2</w:t>
      </w:r>
      <w:r>
        <w:rPr>
          <w:szCs w:val="22"/>
          <w:lang w:bidi="cs-CZ"/>
        </w:rPr>
        <w:tab/>
        <w:t>Doba použitelnosti</w:t>
      </w:r>
    </w:p>
    <w:p w14:paraId="625444E0" w14:textId="77777777" w:rsidR="00E57ED3" w:rsidRDefault="00227172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veterinárního léčivého přípravku v neporušeném obalu: 3 roky.</w:t>
      </w:r>
    </w:p>
    <w:p w14:paraId="55E33A30" w14:textId="77777777" w:rsidR="00E57ED3" w:rsidRDefault="00227172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po prvním otevření vnitřního obalu: 28 dní.</w:t>
      </w:r>
    </w:p>
    <w:p w14:paraId="093C2419" w14:textId="77777777" w:rsidR="00E57ED3" w:rsidRDefault="00E57ED3">
      <w:pPr>
        <w:rPr>
          <w:szCs w:val="22"/>
        </w:rPr>
      </w:pPr>
    </w:p>
    <w:p w14:paraId="634192B2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lastRenderedPageBreak/>
        <w:t>5.3</w:t>
      </w:r>
      <w:r>
        <w:rPr>
          <w:szCs w:val="22"/>
          <w:lang w:bidi="cs-CZ"/>
        </w:rPr>
        <w:tab/>
        <w:t>Zvláštní opatření pro uchovávání</w:t>
      </w:r>
    </w:p>
    <w:bookmarkEnd w:id="37"/>
    <w:p w14:paraId="65A598AB" w14:textId="77777777" w:rsidR="00E57ED3" w:rsidRDefault="00227172">
      <w:pPr>
        <w:autoSpaceDE w:val="0"/>
        <w:autoSpaceDN w:val="0"/>
        <w:adjustRightInd w:val="0"/>
        <w:spacing w:line="240" w:lineRule="auto"/>
        <w:ind w:left="3686" w:hanging="3686"/>
        <w:rPr>
          <w:color w:val="000000"/>
          <w:szCs w:val="22"/>
        </w:rPr>
      </w:pPr>
      <w:r>
        <w:rPr>
          <w:color w:val="000000"/>
          <w:szCs w:val="22"/>
        </w:rPr>
        <w:t>Uchovávejte injekční lahvičku v krabičce,</w:t>
      </w:r>
      <w:r>
        <w:rPr>
          <w:szCs w:val="22"/>
        </w:rPr>
        <w:t xml:space="preserve"> </w:t>
      </w:r>
      <w:r>
        <w:rPr>
          <w:color w:val="000000"/>
          <w:szCs w:val="22"/>
        </w:rPr>
        <w:t>aby byla chráněna před světlem.</w:t>
      </w:r>
    </w:p>
    <w:p w14:paraId="1CDEC871" w14:textId="77777777" w:rsidR="00E57ED3" w:rsidRDefault="00E57ED3">
      <w:pPr>
        <w:autoSpaceDE w:val="0"/>
        <w:autoSpaceDN w:val="0"/>
        <w:adjustRightInd w:val="0"/>
        <w:spacing w:line="240" w:lineRule="auto"/>
        <w:ind w:left="3686" w:hanging="3686"/>
        <w:rPr>
          <w:szCs w:val="22"/>
          <w:lang w:eastAsia="nl-NL"/>
        </w:rPr>
      </w:pPr>
    </w:p>
    <w:p w14:paraId="29BC553E" w14:textId="77777777" w:rsidR="00E57ED3" w:rsidRDefault="00227172">
      <w:pPr>
        <w:pStyle w:val="Nadpis3"/>
        <w:rPr>
          <w:szCs w:val="22"/>
        </w:rPr>
      </w:pPr>
      <w:r>
        <w:rPr>
          <w:szCs w:val="22"/>
          <w:lang w:bidi="cs-CZ"/>
        </w:rPr>
        <w:t>5.4</w:t>
      </w:r>
      <w:r>
        <w:rPr>
          <w:szCs w:val="22"/>
          <w:lang w:bidi="cs-CZ"/>
        </w:rPr>
        <w:tab/>
        <w:t>Druh a složení vnitřního obalu</w:t>
      </w:r>
    </w:p>
    <w:p w14:paraId="391EFC39" w14:textId="77777777" w:rsidR="00E57ED3" w:rsidRDefault="00227172">
      <w:pPr>
        <w:pStyle w:val="BODY"/>
        <w:rPr>
          <w:szCs w:val="22"/>
        </w:rPr>
      </w:pPr>
      <w:bookmarkStart w:id="38" w:name="_Hlk85708617"/>
      <w:r>
        <w:rPr>
          <w:szCs w:val="22"/>
        </w:rPr>
        <w:t xml:space="preserve">Injekční lahvičky o objemu 50 ml a 100 ml z bezbarvého skla typu I uzavřené bromobutylovou pryžovou zátkou a hliníkovým uzávěrem v papírové krabičce. </w:t>
      </w:r>
    </w:p>
    <w:p w14:paraId="74BEE23B" w14:textId="77777777" w:rsidR="00E57ED3" w:rsidRPr="00890FF2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0FF2">
        <w:rPr>
          <w:szCs w:val="22"/>
        </w:rPr>
        <w:t>Velikosti balení:</w:t>
      </w:r>
    </w:p>
    <w:p w14:paraId="59F9F53B" w14:textId="77777777" w:rsidR="00E57ED3" w:rsidRPr="00890FF2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0FF2">
        <w:rPr>
          <w:szCs w:val="22"/>
        </w:rPr>
        <w:t>Lepenková krabička s 1 injekční lahvičkou o obsahu 50 ml.</w:t>
      </w:r>
    </w:p>
    <w:p w14:paraId="6541C5C1" w14:textId="77777777" w:rsidR="00E57ED3" w:rsidRDefault="002271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0FF2">
        <w:rPr>
          <w:szCs w:val="22"/>
        </w:rPr>
        <w:t>Lepenková krabička s 1 injekční lahvičkou o obsahu 100 ml.</w:t>
      </w:r>
    </w:p>
    <w:p w14:paraId="274C577B" w14:textId="77777777" w:rsidR="00E57ED3" w:rsidRDefault="00E57ED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C4BF68" w14:textId="77777777" w:rsidR="00E57ED3" w:rsidRDefault="00227172">
      <w:pPr>
        <w:rPr>
          <w:szCs w:val="22"/>
        </w:rPr>
      </w:pPr>
      <w:r>
        <w:rPr>
          <w:szCs w:val="22"/>
          <w:lang w:bidi="cs-CZ"/>
        </w:rPr>
        <w:t>Na trhu nemusí být všechny velikosti balení.</w:t>
      </w:r>
    </w:p>
    <w:p w14:paraId="34EFDBB0" w14:textId="77777777" w:rsidR="00E57ED3" w:rsidRDefault="00E57ED3">
      <w:pPr>
        <w:rPr>
          <w:b/>
          <w:szCs w:val="22"/>
        </w:rPr>
      </w:pPr>
    </w:p>
    <w:bookmarkEnd w:id="38"/>
    <w:p w14:paraId="70CBBFC8" w14:textId="77777777" w:rsidR="00E57ED3" w:rsidRDefault="00227172" w:rsidP="00053345">
      <w:pPr>
        <w:pStyle w:val="Style1"/>
        <w:keepNext/>
      </w:pPr>
      <w:r>
        <w:rPr>
          <w:lang w:bidi="cs-CZ"/>
        </w:rPr>
        <w:t>5.5</w:t>
      </w:r>
      <w:r>
        <w:rPr>
          <w:lang w:bidi="cs-CZ"/>
        </w:rPr>
        <w:tab/>
        <w:t xml:space="preserve">Zvláštní opatření pro </w:t>
      </w:r>
      <w:r>
        <w:t>likvidaci nepoužitých veterinárních léčivých přípravků nebo odpadů, které pochází z těchto přípravků</w:t>
      </w:r>
    </w:p>
    <w:p w14:paraId="53895B7C" w14:textId="77777777" w:rsidR="00E57ED3" w:rsidRDefault="00E57ED3" w:rsidP="00053345">
      <w:pPr>
        <w:pStyle w:val="Style1"/>
        <w:keepNext/>
      </w:pPr>
    </w:p>
    <w:p w14:paraId="57877964" w14:textId="77777777" w:rsidR="00E57ED3" w:rsidRDefault="00227172">
      <w:pPr>
        <w:rPr>
          <w:szCs w:val="22"/>
          <w:lang w:val="gsw-FR"/>
        </w:rPr>
      </w:pPr>
      <w:r>
        <w:rPr>
          <w:szCs w:val="22"/>
          <w:lang w:val="gsw-FR"/>
        </w:rPr>
        <w:t>Léčivé přípravky se nesmí likvidovat prostřednictvím odpadní vody či domovního odpadu.</w:t>
      </w:r>
    </w:p>
    <w:p w14:paraId="0348C6E6" w14:textId="77777777" w:rsidR="00E57ED3" w:rsidRDefault="00227172">
      <w:pPr>
        <w:rPr>
          <w:iCs/>
          <w:szCs w:val="22"/>
        </w:rPr>
      </w:pPr>
      <w:r>
        <w:rPr>
          <w:szCs w:val="22"/>
          <w:lang w:val="gsw-FR"/>
        </w:rPr>
        <w:t xml:space="preserve">Všechen nepoužitý veterinární léčivý přípravek nebo odpad, který pochází z tohoto přípravku, likvidujte odevzdáním v souladu s místními požadavky a národními systémy sběru, které jsou platné pro příslušný veterinární léčivý přípravek. </w:t>
      </w:r>
    </w:p>
    <w:p w14:paraId="1A0329AB" w14:textId="56F5D89D" w:rsidR="00E57ED3" w:rsidRDefault="00E57ED3">
      <w:pPr>
        <w:rPr>
          <w:iCs/>
          <w:szCs w:val="22"/>
        </w:rPr>
      </w:pPr>
    </w:p>
    <w:p w14:paraId="3083D042" w14:textId="77777777" w:rsidR="004E44F6" w:rsidRDefault="004E44F6">
      <w:pPr>
        <w:rPr>
          <w:iCs/>
          <w:szCs w:val="22"/>
        </w:rPr>
      </w:pPr>
    </w:p>
    <w:p w14:paraId="06623CE0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6.</w:t>
      </w:r>
      <w:r>
        <w:rPr>
          <w:rFonts w:ascii="Times New Roman" w:hAnsi="Times New Roman"/>
          <w:szCs w:val="22"/>
          <w:lang w:bidi="cs-CZ"/>
        </w:rPr>
        <w:tab/>
        <w:t>DRŽITEL ROZHODNUTÍ O REGISTRACI</w:t>
      </w:r>
    </w:p>
    <w:p w14:paraId="01C606E4" w14:textId="77777777" w:rsidR="00E57ED3" w:rsidRDefault="00227172">
      <w:pPr>
        <w:rPr>
          <w:szCs w:val="22"/>
        </w:rPr>
      </w:pPr>
      <w:r>
        <w:rPr>
          <w:szCs w:val="22"/>
          <w:lang w:bidi="cs-CZ"/>
        </w:rPr>
        <w:t>Alfasan Nederland B.V.</w:t>
      </w:r>
    </w:p>
    <w:p w14:paraId="4DF25B0B" w14:textId="77777777" w:rsidR="00E57ED3" w:rsidRDefault="00E57ED3">
      <w:pPr>
        <w:rPr>
          <w:szCs w:val="22"/>
        </w:rPr>
      </w:pPr>
    </w:p>
    <w:p w14:paraId="659BA071" w14:textId="77777777" w:rsidR="00E57ED3" w:rsidRDefault="00E57ED3">
      <w:pPr>
        <w:rPr>
          <w:szCs w:val="22"/>
        </w:rPr>
      </w:pPr>
    </w:p>
    <w:p w14:paraId="1E67067D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7.</w:t>
      </w:r>
      <w:r>
        <w:rPr>
          <w:rFonts w:ascii="Times New Roman" w:hAnsi="Times New Roman"/>
          <w:szCs w:val="22"/>
          <w:lang w:bidi="cs-CZ"/>
        </w:rPr>
        <w:tab/>
        <w:t>REGISTRAČNÍ ČÍSLO(A)</w:t>
      </w:r>
    </w:p>
    <w:p w14:paraId="7170B16A" w14:textId="0447D109" w:rsidR="00E57ED3" w:rsidRDefault="00890FF2">
      <w:pPr>
        <w:pStyle w:val="BODY"/>
        <w:rPr>
          <w:szCs w:val="22"/>
        </w:rPr>
      </w:pPr>
      <w:r w:rsidRPr="00890FF2">
        <w:rPr>
          <w:szCs w:val="22"/>
        </w:rPr>
        <w:t>96/043/21-C</w:t>
      </w:r>
    </w:p>
    <w:p w14:paraId="522B0150" w14:textId="77777777" w:rsidR="00890FF2" w:rsidRDefault="00890FF2">
      <w:pPr>
        <w:pStyle w:val="BODY"/>
        <w:rPr>
          <w:szCs w:val="22"/>
        </w:rPr>
      </w:pPr>
      <w:bookmarkStart w:id="39" w:name="_GoBack"/>
      <w:bookmarkEnd w:id="39"/>
    </w:p>
    <w:p w14:paraId="0B531EB4" w14:textId="77777777" w:rsidR="00E57ED3" w:rsidRDefault="00227172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8.</w:t>
      </w:r>
      <w:r>
        <w:rPr>
          <w:rFonts w:ascii="Times New Roman" w:hAnsi="Times New Roman"/>
          <w:szCs w:val="22"/>
          <w:lang w:bidi="cs-CZ"/>
        </w:rPr>
        <w:tab/>
        <w:t>DATUM PRVNÍ REGISTRACE/</w:t>
      </w:r>
    </w:p>
    <w:p w14:paraId="0ECDA826" w14:textId="7499A2C0" w:rsidR="00E57ED3" w:rsidRDefault="00890FF2">
      <w:pPr>
        <w:rPr>
          <w:szCs w:val="22"/>
        </w:rPr>
      </w:pPr>
      <w:r w:rsidRPr="00890FF2">
        <w:rPr>
          <w:szCs w:val="22"/>
          <w:lang w:val="gsw-FR"/>
        </w:rPr>
        <w:t>24. 9. 2021</w:t>
      </w:r>
    </w:p>
    <w:p w14:paraId="02B87B99" w14:textId="77777777" w:rsidR="00E57ED3" w:rsidRDefault="00E57ED3">
      <w:pPr>
        <w:rPr>
          <w:szCs w:val="22"/>
        </w:rPr>
      </w:pPr>
    </w:p>
    <w:p w14:paraId="7A6A3C20" w14:textId="77777777" w:rsidR="00E57ED3" w:rsidRDefault="00E57ED3">
      <w:pPr>
        <w:rPr>
          <w:szCs w:val="22"/>
        </w:rPr>
      </w:pPr>
    </w:p>
    <w:p w14:paraId="58918386" w14:textId="77777777" w:rsidR="00E57ED3" w:rsidRDefault="00227172">
      <w:pPr>
        <w:pStyle w:val="Nadpis2"/>
        <w:rPr>
          <w:szCs w:val="22"/>
        </w:rPr>
      </w:pPr>
      <w:r>
        <w:rPr>
          <w:szCs w:val="22"/>
          <w:lang w:bidi="cs-CZ"/>
        </w:rPr>
        <w:t>9.</w:t>
      </w:r>
      <w:r>
        <w:rPr>
          <w:szCs w:val="22"/>
          <w:lang w:bidi="cs-CZ"/>
        </w:rPr>
        <w:tab/>
        <w:t xml:space="preserve">DATUM </w:t>
      </w:r>
      <w:r>
        <w:rPr>
          <w:szCs w:val="22"/>
        </w:rPr>
        <w:t>POSLEDNÍ AKTUALIZACE SOUHRNU ÚDAJŮ O PŘÍPRAVKU</w:t>
      </w:r>
      <w:r>
        <w:rPr>
          <w:szCs w:val="22"/>
          <w:lang w:bidi="cs-CZ"/>
        </w:rPr>
        <w:t xml:space="preserve"> </w:t>
      </w:r>
    </w:p>
    <w:p w14:paraId="616F8BD0" w14:textId="1A4C82EF" w:rsidR="00E57ED3" w:rsidRDefault="00943895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0</w:t>
      </w:r>
      <w:r w:rsidR="00890FF2">
        <w:rPr>
          <w:szCs w:val="22"/>
          <w:lang w:val="gsw-FR"/>
        </w:rPr>
        <w:t>3</w:t>
      </w:r>
      <w:r>
        <w:rPr>
          <w:szCs w:val="22"/>
          <w:lang w:val="gsw-FR"/>
        </w:rPr>
        <w:t>/2025</w:t>
      </w:r>
    </w:p>
    <w:p w14:paraId="0F538621" w14:textId="4BD949EB" w:rsidR="00E57ED3" w:rsidRDefault="00E57ED3">
      <w:pPr>
        <w:pStyle w:val="BODY"/>
        <w:rPr>
          <w:szCs w:val="22"/>
        </w:rPr>
      </w:pPr>
    </w:p>
    <w:p w14:paraId="69F5A352" w14:textId="77777777" w:rsidR="004E44F6" w:rsidRDefault="004E44F6">
      <w:pPr>
        <w:pStyle w:val="BODY"/>
        <w:rPr>
          <w:szCs w:val="22"/>
        </w:rPr>
      </w:pPr>
    </w:p>
    <w:p w14:paraId="3B54103B" w14:textId="65D10429" w:rsidR="00E57ED3" w:rsidRDefault="00227172" w:rsidP="00890FF2">
      <w:pPr>
        <w:pStyle w:val="BODY"/>
        <w:rPr>
          <w:szCs w:val="22"/>
        </w:rPr>
      </w:pPr>
      <w:r>
        <w:rPr>
          <w:b/>
          <w:szCs w:val="22"/>
        </w:rPr>
        <w:t>10.</w:t>
      </w:r>
      <w:r>
        <w:rPr>
          <w:b/>
          <w:szCs w:val="22"/>
        </w:rPr>
        <w:tab/>
        <w:t>KLASIFIKACE VETERINÁRNÍCH LÉČIVÝCH PŘÍPRAVKŮ</w:t>
      </w:r>
    </w:p>
    <w:p w14:paraId="22FF7E47" w14:textId="77777777" w:rsidR="00E57ED3" w:rsidRDefault="00227172" w:rsidP="00890FF2">
      <w:pPr>
        <w:ind w:right="10"/>
        <w:rPr>
          <w:szCs w:val="22"/>
          <w:lang w:val="gsw-FR"/>
        </w:rPr>
      </w:pPr>
      <w:r>
        <w:rPr>
          <w:szCs w:val="22"/>
        </w:rPr>
        <w:t>Veterinární léčivý přípravek je vydáván pouze na předpis.</w:t>
      </w:r>
      <w:r>
        <w:rPr>
          <w:szCs w:val="22"/>
          <w:lang w:val="gsw-FR"/>
        </w:rPr>
        <w:t xml:space="preserve"> </w:t>
      </w:r>
    </w:p>
    <w:p w14:paraId="3E9C3146" w14:textId="77777777" w:rsidR="00E57ED3" w:rsidRDefault="00E57ED3" w:rsidP="00890FF2">
      <w:pPr>
        <w:ind w:right="10"/>
        <w:rPr>
          <w:szCs w:val="22"/>
          <w:lang w:val="gsw-FR"/>
        </w:rPr>
      </w:pPr>
    </w:p>
    <w:p w14:paraId="091B2F36" w14:textId="77777777" w:rsidR="00E57ED3" w:rsidRDefault="00227172" w:rsidP="00890FF2">
      <w:pPr>
        <w:ind w:right="10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přípravků Unie</w:t>
      </w:r>
      <w:r>
        <w:rPr>
          <w:szCs w:val="22"/>
          <w:lang w:val="gsw-FR"/>
        </w:rPr>
        <w:t xml:space="preserve"> (</w:t>
      </w:r>
      <w:hyperlink r:id="rId12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72EEE9DB" w14:textId="77777777" w:rsidR="00E57ED3" w:rsidRDefault="00E57ED3">
      <w:pPr>
        <w:ind w:right="-318"/>
        <w:rPr>
          <w:szCs w:val="22"/>
        </w:rPr>
      </w:pPr>
    </w:p>
    <w:p w14:paraId="1F06BA50" w14:textId="77777777" w:rsidR="00943895" w:rsidRPr="00890FF2" w:rsidRDefault="00943895" w:rsidP="00943895">
      <w:pPr>
        <w:spacing w:line="240" w:lineRule="auto"/>
        <w:jc w:val="both"/>
      </w:pPr>
      <w:bookmarkStart w:id="40" w:name="_Hlk148432335"/>
      <w:r w:rsidRPr="00890FF2">
        <w:t>Podrobné informace o tomto veterinárním léčivém přípravku naleznete také v národní databázi (</w:t>
      </w:r>
      <w:hyperlink r:id="rId13" w:history="1">
        <w:r w:rsidRPr="00890FF2">
          <w:rPr>
            <w:rStyle w:val="Hypertextovodkaz"/>
          </w:rPr>
          <w:t>https://www.uskvbl.cz</w:t>
        </w:r>
      </w:hyperlink>
      <w:r w:rsidRPr="00890FF2">
        <w:t>).</w:t>
      </w:r>
    </w:p>
    <w:bookmarkEnd w:id="40"/>
    <w:p w14:paraId="602659EA" w14:textId="77777777" w:rsidR="00943895" w:rsidRPr="00CF0EB4" w:rsidRDefault="00943895" w:rsidP="00943895">
      <w:pPr>
        <w:spacing w:line="240" w:lineRule="auto"/>
        <w:jc w:val="both"/>
        <w:rPr>
          <w:rFonts w:asciiTheme="minorHAnsi" w:hAnsiTheme="minorHAnsi" w:cstheme="minorHAnsi"/>
        </w:rPr>
      </w:pPr>
    </w:p>
    <w:p w14:paraId="2C9EF99E" w14:textId="77777777" w:rsidR="00E57ED3" w:rsidRDefault="00E57ED3" w:rsidP="00890FF2">
      <w:pPr>
        <w:tabs>
          <w:tab w:val="clear" w:pos="567"/>
        </w:tabs>
        <w:spacing w:line="240" w:lineRule="auto"/>
        <w:rPr>
          <w:szCs w:val="22"/>
        </w:rPr>
      </w:pPr>
    </w:p>
    <w:sectPr w:rsidR="00E57ED3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F8B6" w14:textId="77777777" w:rsidR="00366ED7" w:rsidRDefault="00366ED7">
      <w:r>
        <w:separator/>
      </w:r>
    </w:p>
  </w:endnote>
  <w:endnote w:type="continuationSeparator" w:id="0">
    <w:p w14:paraId="7CDDEC65" w14:textId="77777777" w:rsidR="00366ED7" w:rsidRDefault="003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4BACFFBE" w14:textId="77777777" w:rsidR="00E57ED3" w:rsidRDefault="00227172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12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5BE3" w14:textId="77777777" w:rsidR="00E57ED3" w:rsidRDefault="00227172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4D83E2AA" w14:textId="77777777" w:rsidR="00E57ED3" w:rsidRDefault="00E57E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5AF5" w14:textId="77777777" w:rsidR="00366ED7" w:rsidRDefault="00366ED7">
      <w:r>
        <w:separator/>
      </w:r>
    </w:p>
  </w:footnote>
  <w:footnote w:type="continuationSeparator" w:id="0">
    <w:p w14:paraId="44D95DDF" w14:textId="77777777" w:rsidR="00366ED7" w:rsidRDefault="0036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3FC3" w14:textId="77777777" w:rsidR="00E57ED3" w:rsidRDefault="00227172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57ED3"/>
    <w:rsid w:val="0002174D"/>
    <w:rsid w:val="000513EA"/>
    <w:rsid w:val="00053345"/>
    <w:rsid w:val="00133436"/>
    <w:rsid w:val="00227172"/>
    <w:rsid w:val="00366ED7"/>
    <w:rsid w:val="00384AEA"/>
    <w:rsid w:val="003B1B58"/>
    <w:rsid w:val="004130A1"/>
    <w:rsid w:val="00494FF1"/>
    <w:rsid w:val="004E44F6"/>
    <w:rsid w:val="00535C56"/>
    <w:rsid w:val="00564726"/>
    <w:rsid w:val="005805EA"/>
    <w:rsid w:val="00586A37"/>
    <w:rsid w:val="006C7E43"/>
    <w:rsid w:val="007541EE"/>
    <w:rsid w:val="00791909"/>
    <w:rsid w:val="008051E9"/>
    <w:rsid w:val="00873EF3"/>
    <w:rsid w:val="00890FF2"/>
    <w:rsid w:val="00943895"/>
    <w:rsid w:val="00966C73"/>
    <w:rsid w:val="009B1903"/>
    <w:rsid w:val="00A4297D"/>
    <w:rsid w:val="00A44FAD"/>
    <w:rsid w:val="00A611B4"/>
    <w:rsid w:val="00CC12CF"/>
    <w:rsid w:val="00D0379D"/>
    <w:rsid w:val="00E57ED3"/>
    <w:rsid w:val="00EC568B"/>
    <w:rsid w:val="00F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BF6FB"/>
  <w15:docId w15:val="{5025DD5C-430C-4334-99C1-5B347D8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Bezmezer1">
    <w:name w:val="Bez mezer1"/>
    <w:uiPriority w:val="1"/>
    <w:qFormat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i-adverse-event-phv-mss-reporting-details_en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4.xml><?xml version="1.0" encoding="utf-8"?>
<ds:datastoreItem xmlns:ds="http://schemas.openxmlformats.org/officeDocument/2006/customXml" ds:itemID="{64D64DD1-03F8-4874-94B7-17B93B3D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1987</Words>
  <Characters>11726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18</cp:revision>
  <cp:lastPrinted>2025-03-11T13:21:00Z</cp:lastPrinted>
  <dcterms:created xsi:type="dcterms:W3CDTF">2024-12-05T12:16:00Z</dcterms:created>
  <dcterms:modified xsi:type="dcterms:W3CDTF">2025-03-11T13:21:00Z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