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54212" w14:textId="77777777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F48F71" w14:textId="77777777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FD944" w14:textId="77777777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AEB8E2" w14:textId="77777777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F76BE7" w14:textId="77777777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F3406E" w14:textId="77777777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FB88B0" w14:textId="77777777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B7A1C7" w14:textId="77777777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620F8" w14:textId="77777777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EB7D20" w14:textId="77777777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2BDC7C" w14:textId="77777777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B6732B" w14:textId="77777777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6CDE3D" w14:textId="77777777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9684AE" w14:textId="77777777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6CF2BC" w14:textId="77777777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2A8E2E0" w14:textId="77777777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147748" w14:textId="77777777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D228C7" w14:textId="77777777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733661" w14:textId="77777777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FA0A26" w14:textId="77777777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63FE4A" w14:textId="77777777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1F3659" w14:textId="77777777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74C986" w14:textId="77777777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6407AD" w14:textId="77777777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874434" w14:textId="77777777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5035E3" w14:textId="77777777" w:rsidR="00C114FF" w:rsidRPr="005A2642" w:rsidRDefault="00C114FF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rPr>
          <w:b/>
        </w:rPr>
        <w:t>B. PŘÍBALOVÁ INFORMACE</w:t>
      </w:r>
    </w:p>
    <w:p w14:paraId="5FECC33B" w14:textId="700B63EF" w:rsidR="007B3B8D" w:rsidRDefault="00C114FF" w:rsidP="007B3B8D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br w:type="page"/>
      </w:r>
      <w:r>
        <w:rPr>
          <w:b/>
        </w:rPr>
        <w:lastRenderedPageBreak/>
        <w:t>PŘÍBALOVÁ INFORMACE:</w:t>
      </w:r>
    </w:p>
    <w:p w14:paraId="0005CA0E" w14:textId="77777777" w:rsidR="007B3B8D" w:rsidRDefault="007B3B8D" w:rsidP="007B3B8D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3604F607" w14:textId="205A32BB" w:rsidR="007B3B8D" w:rsidRDefault="00301A9E" w:rsidP="007B3B8D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proofErr w:type="spellStart"/>
      <w:r w:rsidRPr="00301A9E">
        <w:rPr>
          <w:b/>
        </w:rPr>
        <w:t>Lodisure</w:t>
      </w:r>
      <w:proofErr w:type="spellEnd"/>
      <w:r w:rsidR="00CF2807">
        <w:rPr>
          <w:b/>
        </w:rPr>
        <w:t xml:space="preserve"> 1 mg tablety pro kočky </w:t>
      </w:r>
    </w:p>
    <w:p w14:paraId="488D03E3" w14:textId="6D6B07AF" w:rsidR="007B3B8D" w:rsidRDefault="007B3B8D" w:rsidP="007B3B8D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3E12BDE2" w14:textId="77777777" w:rsidR="007B3B8D" w:rsidRPr="007B3B8D" w:rsidRDefault="007B3B8D" w:rsidP="007B3B8D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0258C9DD" w14:textId="77777777" w:rsidR="00C114FF" w:rsidRPr="005A2642" w:rsidRDefault="00C114FF" w:rsidP="00F4119A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1.</w:t>
      </w:r>
      <w:r>
        <w:rPr>
          <w:b/>
        </w:rPr>
        <w:tab/>
        <w:t>JMÉNO A ADRESA DRŽITELE ROZHODNUTÍ O REGISTRACI A DRŽITELE POVOLENÍ K VÝROBĚ ODPOVĚDNÉHO ZA UVOLNĚNÍ ŠARŽE, POKUD SE NESHODUJE</w:t>
      </w:r>
    </w:p>
    <w:p w14:paraId="2344C681" w14:textId="77777777" w:rsidR="00C114FF" w:rsidRPr="005A2642" w:rsidRDefault="00C114FF" w:rsidP="00F4119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0800494" w14:textId="33380107" w:rsidR="00C114FF" w:rsidRPr="005A2642" w:rsidRDefault="00C114FF" w:rsidP="00F4119A">
      <w:pPr>
        <w:keepNext/>
        <w:tabs>
          <w:tab w:val="clear" w:pos="567"/>
        </w:tabs>
        <w:spacing w:line="240" w:lineRule="auto"/>
        <w:rPr>
          <w:iCs/>
          <w:szCs w:val="22"/>
        </w:rPr>
      </w:pPr>
      <w:r>
        <w:rPr>
          <w:u w:val="single"/>
        </w:rPr>
        <w:t>Držitel rozhodnutí o registraci</w:t>
      </w:r>
      <w:r w:rsidR="00C97FA2">
        <w:rPr>
          <w:u w:val="single"/>
        </w:rPr>
        <w:t>:</w:t>
      </w:r>
    </w:p>
    <w:p w14:paraId="1839FA9F" w14:textId="77777777" w:rsidR="002677AF" w:rsidRPr="005A2642" w:rsidRDefault="002677AF" w:rsidP="002677AF">
      <w:pPr>
        <w:spacing w:line="240" w:lineRule="auto"/>
        <w:rPr>
          <w:szCs w:val="22"/>
        </w:rPr>
      </w:pPr>
      <w:proofErr w:type="spellStart"/>
      <w:r>
        <w:t>Dechra</w:t>
      </w:r>
      <w:proofErr w:type="spellEnd"/>
      <w:r>
        <w:t xml:space="preserve"> </w:t>
      </w:r>
      <w:proofErr w:type="spellStart"/>
      <w:r>
        <w:t>Regulatory</w:t>
      </w:r>
      <w:proofErr w:type="spellEnd"/>
      <w:r>
        <w:t xml:space="preserve"> B.V.</w:t>
      </w:r>
    </w:p>
    <w:p w14:paraId="03505CFD" w14:textId="77777777" w:rsidR="002677AF" w:rsidRPr="005A2642" w:rsidRDefault="002677AF" w:rsidP="002677AF">
      <w:pPr>
        <w:spacing w:line="240" w:lineRule="auto"/>
        <w:rPr>
          <w:szCs w:val="22"/>
        </w:rPr>
      </w:pPr>
      <w:proofErr w:type="spellStart"/>
      <w:r>
        <w:t>Handelsweg</w:t>
      </w:r>
      <w:proofErr w:type="spellEnd"/>
      <w:r>
        <w:t> 25</w:t>
      </w:r>
    </w:p>
    <w:p w14:paraId="3D0C045E" w14:textId="77777777" w:rsidR="002677AF" w:rsidRPr="005A2642" w:rsidRDefault="002677AF" w:rsidP="002677AF">
      <w:pPr>
        <w:spacing w:line="240" w:lineRule="auto"/>
        <w:rPr>
          <w:szCs w:val="22"/>
        </w:rPr>
      </w:pPr>
      <w:r>
        <w:t xml:space="preserve">5531 AD </w:t>
      </w:r>
      <w:proofErr w:type="spellStart"/>
      <w:r>
        <w:t>Bladel</w:t>
      </w:r>
      <w:proofErr w:type="spellEnd"/>
    </w:p>
    <w:p w14:paraId="1110554F" w14:textId="77777777" w:rsidR="002677AF" w:rsidRPr="005A2642" w:rsidRDefault="002677AF" w:rsidP="002677AF">
      <w:pPr>
        <w:spacing w:line="240" w:lineRule="auto"/>
        <w:rPr>
          <w:szCs w:val="22"/>
        </w:rPr>
      </w:pPr>
      <w:r>
        <w:t>Nizozemsko</w:t>
      </w:r>
    </w:p>
    <w:p w14:paraId="12BC6490" w14:textId="77777777" w:rsidR="00E45D55" w:rsidRPr="005A2642" w:rsidRDefault="00E45D5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C941B5" w14:textId="4135670E" w:rsidR="00C114FF" w:rsidRPr="005A2642" w:rsidRDefault="00C114FF" w:rsidP="00F4119A">
      <w:pPr>
        <w:keepNext/>
        <w:tabs>
          <w:tab w:val="clear" w:pos="567"/>
        </w:tabs>
        <w:spacing w:line="240" w:lineRule="auto"/>
        <w:rPr>
          <w:bCs/>
          <w:szCs w:val="22"/>
          <w:u w:val="single"/>
        </w:rPr>
      </w:pPr>
      <w:r>
        <w:rPr>
          <w:u w:val="single"/>
        </w:rPr>
        <w:t>Výrobce odpovědný za uvolnění šarže</w:t>
      </w:r>
      <w:r>
        <w:t>:</w:t>
      </w:r>
    </w:p>
    <w:p w14:paraId="3FEA8642" w14:textId="489831DB" w:rsidR="00C114FF" w:rsidRPr="00CE47C7" w:rsidRDefault="002C0960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Lelypharma</w:t>
      </w:r>
      <w:proofErr w:type="spellEnd"/>
      <w:r>
        <w:t xml:space="preserve"> BV</w:t>
      </w:r>
    </w:p>
    <w:p w14:paraId="11BD7E52" w14:textId="2856CE9A" w:rsidR="002C0960" w:rsidRPr="00CE47C7" w:rsidRDefault="002C0960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Zuiveringsweg</w:t>
      </w:r>
      <w:proofErr w:type="spellEnd"/>
      <w:r>
        <w:t> 42</w:t>
      </w:r>
    </w:p>
    <w:p w14:paraId="2540AB6F" w14:textId="6A6F016A" w:rsidR="002C0960" w:rsidRPr="00CE47C7" w:rsidRDefault="002C0960" w:rsidP="00A9226B">
      <w:pPr>
        <w:tabs>
          <w:tab w:val="clear" w:pos="567"/>
        </w:tabs>
        <w:spacing w:line="240" w:lineRule="auto"/>
        <w:rPr>
          <w:szCs w:val="22"/>
        </w:rPr>
      </w:pPr>
      <w:r>
        <w:t xml:space="preserve">8243 PZ </w:t>
      </w:r>
      <w:proofErr w:type="spellStart"/>
      <w:r>
        <w:t>Lelystad</w:t>
      </w:r>
      <w:proofErr w:type="spellEnd"/>
    </w:p>
    <w:p w14:paraId="3F961C92" w14:textId="751EFD92" w:rsidR="002C0960" w:rsidRPr="00CE47C7" w:rsidRDefault="002C0960" w:rsidP="00A9226B">
      <w:pPr>
        <w:tabs>
          <w:tab w:val="clear" w:pos="567"/>
        </w:tabs>
        <w:spacing w:line="240" w:lineRule="auto"/>
        <w:rPr>
          <w:szCs w:val="22"/>
        </w:rPr>
      </w:pPr>
      <w:r>
        <w:t>Nizozemsko</w:t>
      </w:r>
    </w:p>
    <w:p w14:paraId="232D7316" w14:textId="77777777" w:rsidR="00C114FF" w:rsidRPr="00CE47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A4D60E" w14:textId="161D7AF3" w:rsidR="00C114FF" w:rsidRPr="005A2642" w:rsidRDefault="00C114FF" w:rsidP="00F4119A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2.</w:t>
      </w:r>
      <w:r>
        <w:rPr>
          <w:b/>
        </w:rPr>
        <w:tab/>
        <w:t>NÁZEV VETERINÁRNÍHO LÉČIVÉHO PŘÍPRAVKU</w:t>
      </w:r>
    </w:p>
    <w:p w14:paraId="4BB4A05E" w14:textId="056C1810" w:rsidR="00C114FF" w:rsidRPr="005A2642" w:rsidRDefault="00C114FF" w:rsidP="00F4119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17307DC" w14:textId="3BAC06E3" w:rsidR="005D289E" w:rsidRPr="005A2642" w:rsidRDefault="00301A9E" w:rsidP="005D289E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301A9E">
        <w:t>Lodisure</w:t>
      </w:r>
      <w:bookmarkStart w:id="0" w:name="_GoBack"/>
      <w:bookmarkEnd w:id="0"/>
      <w:proofErr w:type="spellEnd"/>
      <w:r w:rsidR="005D289E">
        <w:t xml:space="preserve"> 1 mg tablety pro kočky</w:t>
      </w:r>
    </w:p>
    <w:p w14:paraId="35012D7B" w14:textId="5EA32180" w:rsidR="005D289E" w:rsidRPr="005A2642" w:rsidRDefault="005D289E" w:rsidP="005D289E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Amlodipin</w:t>
      </w:r>
      <w:r w:rsidR="00255AEC">
        <w:t>um</w:t>
      </w:r>
      <w:proofErr w:type="spellEnd"/>
    </w:p>
    <w:p w14:paraId="354E2EA4" w14:textId="77777777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600A18" w14:textId="77777777" w:rsidR="00C114FF" w:rsidRPr="005A2642" w:rsidRDefault="00C114FF" w:rsidP="00F4119A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3.</w:t>
      </w:r>
      <w:r>
        <w:rPr>
          <w:b/>
        </w:rPr>
        <w:tab/>
        <w:t>OBSAH LÉČIVÝCH A OSTATNÍCH LÁTEK</w:t>
      </w:r>
    </w:p>
    <w:p w14:paraId="666FFD41" w14:textId="55BBEB4B" w:rsidR="00C114FF" w:rsidRPr="005A2642" w:rsidRDefault="00C114FF" w:rsidP="00F4119A">
      <w:pPr>
        <w:keepNext/>
        <w:tabs>
          <w:tab w:val="clear" w:pos="567"/>
        </w:tabs>
        <w:spacing w:line="240" w:lineRule="auto"/>
        <w:rPr>
          <w:iCs/>
          <w:szCs w:val="22"/>
        </w:rPr>
      </w:pPr>
    </w:p>
    <w:p w14:paraId="08E4AFA0" w14:textId="3FC9C7D2" w:rsidR="00E45D55" w:rsidRPr="005A2642" w:rsidRDefault="00AE662B" w:rsidP="00E45D55">
      <w:pPr>
        <w:tabs>
          <w:tab w:val="clear" w:pos="567"/>
        </w:tabs>
        <w:spacing w:line="240" w:lineRule="auto"/>
        <w:rPr>
          <w:szCs w:val="22"/>
        </w:rPr>
      </w:pPr>
      <w:r>
        <w:t>Jedna tableta obsahuje:</w:t>
      </w:r>
    </w:p>
    <w:p w14:paraId="48324698" w14:textId="77777777" w:rsidR="00E45D55" w:rsidRPr="005A2642" w:rsidRDefault="00E45D55" w:rsidP="00E45D55">
      <w:pPr>
        <w:tabs>
          <w:tab w:val="clear" w:pos="567"/>
        </w:tabs>
        <w:spacing w:line="240" w:lineRule="auto"/>
        <w:rPr>
          <w:b/>
          <w:szCs w:val="22"/>
        </w:rPr>
      </w:pPr>
    </w:p>
    <w:p w14:paraId="4BCB1B45" w14:textId="77777777" w:rsidR="00E45D55" w:rsidRPr="005A2642" w:rsidRDefault="00E45D55" w:rsidP="00F4119A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 xml:space="preserve">Léčivá látka: </w:t>
      </w:r>
    </w:p>
    <w:p w14:paraId="272B158F" w14:textId="0414BABF" w:rsidR="00CF2807" w:rsidRDefault="00255AEC" w:rsidP="004F37A6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>
        <w:t>A</w:t>
      </w:r>
      <w:r w:rsidR="004F37A6">
        <w:t>mlodipinum</w:t>
      </w:r>
      <w:proofErr w:type="spellEnd"/>
      <w:r w:rsidR="004F37A6">
        <w:t xml:space="preserve"> 1,0 mg (</w:t>
      </w:r>
      <w:r>
        <w:t xml:space="preserve">odpovídá </w:t>
      </w:r>
      <w:r w:rsidR="004F37A6">
        <w:t xml:space="preserve">1,4 mg </w:t>
      </w:r>
      <w:proofErr w:type="spellStart"/>
      <w:r w:rsidR="004F37A6">
        <w:t>amlodipini</w:t>
      </w:r>
      <w:proofErr w:type="spellEnd"/>
      <w:r w:rsidR="004F37A6">
        <w:t xml:space="preserve"> </w:t>
      </w:r>
      <w:proofErr w:type="spellStart"/>
      <w:r w:rsidR="004F37A6">
        <w:t>besilas</w:t>
      </w:r>
      <w:proofErr w:type="spellEnd"/>
      <w:r w:rsidR="004F37A6">
        <w:t xml:space="preserve">) </w:t>
      </w:r>
    </w:p>
    <w:p w14:paraId="46AE685E" w14:textId="77777777" w:rsidR="00CF2807" w:rsidRDefault="00CF2807" w:rsidP="004F37A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2D908FC" w14:textId="77777777" w:rsidR="00CF2807" w:rsidRPr="00432C5B" w:rsidRDefault="00CF2807" w:rsidP="00F4119A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Pomocné látky:</w:t>
      </w:r>
    </w:p>
    <w:p w14:paraId="7B3A78CB" w14:textId="2A4CEA09" w:rsidR="00CF2807" w:rsidRPr="00432C5B" w:rsidRDefault="00255AEC" w:rsidP="00CF2807">
      <w:pPr>
        <w:tabs>
          <w:tab w:val="clear" w:pos="567"/>
        </w:tabs>
        <w:spacing w:line="240" w:lineRule="auto"/>
        <w:rPr>
          <w:szCs w:val="22"/>
        </w:rPr>
      </w:pPr>
      <w:r>
        <w:t>B</w:t>
      </w:r>
      <w:r w:rsidR="00CF2807">
        <w:t xml:space="preserve">rilantní modř </w:t>
      </w:r>
      <w:r w:rsidR="00A22512">
        <w:t>F</w:t>
      </w:r>
      <w:r w:rsidR="00CF2807">
        <w:t>CF (E</w:t>
      </w:r>
      <w:r w:rsidR="00C97FA2">
        <w:t xml:space="preserve"> </w:t>
      </w:r>
      <w:r w:rsidR="00CF2807">
        <w:t>133)</w:t>
      </w:r>
      <w:r w:rsidR="00CF2807">
        <w:tab/>
        <w:t>1,0 mg</w:t>
      </w:r>
    </w:p>
    <w:p w14:paraId="4A90E86D" w14:textId="04888B3C" w:rsidR="004F37A6" w:rsidRPr="005A2642" w:rsidRDefault="004F37A6" w:rsidP="004F37A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C43F7EF" w14:textId="1C08F1DA" w:rsidR="00F97218" w:rsidRPr="005A2642" w:rsidRDefault="00F97218" w:rsidP="00F97218">
      <w:pPr>
        <w:tabs>
          <w:tab w:val="clear" w:pos="567"/>
        </w:tabs>
        <w:spacing w:line="240" w:lineRule="auto"/>
        <w:rPr>
          <w:szCs w:val="22"/>
        </w:rPr>
      </w:pPr>
      <w:r>
        <w:t>Modrá podélná tableta</w:t>
      </w:r>
      <w:r w:rsidR="00C97FA2">
        <w:t xml:space="preserve"> </w:t>
      </w:r>
      <w:r>
        <w:t xml:space="preserve"> s</w:t>
      </w:r>
      <w:r w:rsidR="00C97FA2">
        <w:t xml:space="preserve"> dělicí </w:t>
      </w:r>
      <w:r>
        <w:t>rýhou na obou stranách.</w:t>
      </w:r>
    </w:p>
    <w:p w14:paraId="568B8715" w14:textId="1E32F9E9" w:rsidR="00F97218" w:rsidRPr="005A2642" w:rsidRDefault="00F97218" w:rsidP="00F97218">
      <w:pPr>
        <w:tabs>
          <w:tab w:val="clear" w:pos="567"/>
        </w:tabs>
        <w:spacing w:line="240" w:lineRule="auto"/>
        <w:rPr>
          <w:szCs w:val="22"/>
        </w:rPr>
      </w:pPr>
      <w:r>
        <w:t xml:space="preserve">Tablety lze dělit na dvě stejné </w:t>
      </w:r>
      <w:r w:rsidR="00C97FA2">
        <w:t>poloviny</w:t>
      </w:r>
      <w:r>
        <w:t>.</w:t>
      </w:r>
    </w:p>
    <w:p w14:paraId="71538BD7" w14:textId="77777777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28A028" w14:textId="77777777" w:rsidR="00C114FF" w:rsidRPr="005A2642" w:rsidRDefault="00C114FF" w:rsidP="00F4119A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4.</w:t>
      </w:r>
      <w:r>
        <w:rPr>
          <w:b/>
        </w:rPr>
        <w:tab/>
        <w:t>INDIKACE</w:t>
      </w:r>
    </w:p>
    <w:p w14:paraId="0A94EB7C" w14:textId="2988901C" w:rsidR="00C114FF" w:rsidRPr="005A2642" w:rsidRDefault="00C114FF" w:rsidP="00F4119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9B84066" w14:textId="24AA1E96" w:rsidR="00B66182" w:rsidRPr="005A2642" w:rsidRDefault="00642439" w:rsidP="00B66182">
      <w:pPr>
        <w:tabs>
          <w:tab w:val="clear" w:pos="567"/>
        </w:tabs>
        <w:spacing w:line="240" w:lineRule="auto"/>
        <w:rPr>
          <w:szCs w:val="22"/>
        </w:rPr>
      </w:pPr>
      <w:r>
        <w:t xml:space="preserve">Léčba </w:t>
      </w:r>
      <w:r w:rsidR="00B66182">
        <w:t>systémové hypertenze u koček.</w:t>
      </w:r>
    </w:p>
    <w:p w14:paraId="0E1ABC6E" w14:textId="77777777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2BB8D45" w14:textId="77777777" w:rsidR="00C114FF" w:rsidRPr="005A2642" w:rsidRDefault="00C114FF" w:rsidP="00F4119A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5.</w:t>
      </w:r>
      <w:r>
        <w:rPr>
          <w:b/>
        </w:rPr>
        <w:tab/>
        <w:t>KONTRAINDIKACE</w:t>
      </w:r>
    </w:p>
    <w:p w14:paraId="60276A94" w14:textId="7431CA3D" w:rsidR="00C114FF" w:rsidRPr="005A2642" w:rsidRDefault="00C114FF" w:rsidP="00F4119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32A89C0" w14:textId="2D642A26" w:rsidR="00917501" w:rsidRPr="005A2642" w:rsidRDefault="00917501" w:rsidP="00917501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>
        <w:t>Nepoužívat u zvířat se závažným onemocněním</w:t>
      </w:r>
      <w:r w:rsidR="00642439">
        <w:t xml:space="preserve"> jater</w:t>
      </w:r>
      <w:r>
        <w:t xml:space="preserve">. </w:t>
      </w:r>
    </w:p>
    <w:p w14:paraId="11F335C3" w14:textId="5AB42C22" w:rsidR="00917501" w:rsidRPr="005A2642" w:rsidRDefault="00917501" w:rsidP="00917501">
      <w:pPr>
        <w:widowControl w:val="0"/>
        <w:autoSpaceDE w:val="0"/>
        <w:autoSpaceDN w:val="0"/>
        <w:adjustRightInd w:val="0"/>
        <w:spacing w:line="240" w:lineRule="auto"/>
        <w:rPr>
          <w:szCs w:val="22"/>
        </w:rPr>
      </w:pPr>
      <w:r>
        <w:t>Nepoužívat v případech přecitlivělosti na léčivou látku nebo na některou z pomocných látek.</w:t>
      </w:r>
    </w:p>
    <w:p w14:paraId="633099CA" w14:textId="784BAEDF" w:rsidR="00C114FF" w:rsidRDefault="00A64FD1" w:rsidP="00A9226B">
      <w:pPr>
        <w:tabs>
          <w:tab w:val="clear" w:pos="567"/>
        </w:tabs>
        <w:spacing w:line="240" w:lineRule="auto"/>
      </w:pPr>
      <w:r>
        <w:t>Nepoužívat v případě kardiogenního šoku a závažné stenózy aorty.</w:t>
      </w:r>
    </w:p>
    <w:p w14:paraId="0A80935B" w14:textId="77777777" w:rsidR="007B3B8D" w:rsidRPr="007B3B8D" w:rsidRDefault="007B3B8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88B50B" w14:textId="77777777" w:rsidR="00C114FF" w:rsidRPr="007B3B8D" w:rsidRDefault="00C114FF" w:rsidP="00F4119A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6.</w:t>
      </w:r>
      <w:r>
        <w:rPr>
          <w:b/>
        </w:rPr>
        <w:tab/>
        <w:t>NEŽÁDOUCÍ ÚČINKY</w:t>
      </w:r>
    </w:p>
    <w:p w14:paraId="49965EF5" w14:textId="77777777" w:rsidR="00C114FF" w:rsidRPr="007B3B8D" w:rsidRDefault="00C114FF" w:rsidP="00F4119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9CCCD8F" w14:textId="4E601B8A" w:rsidR="001F7A06" w:rsidRPr="008475C4" w:rsidRDefault="00716284" w:rsidP="001F7A06">
      <w:pPr>
        <w:spacing w:before="80" w:line="240" w:lineRule="auto"/>
      </w:pPr>
      <w:r>
        <w:t xml:space="preserve">V klinických studiích byly často hlášeny tyto nežádoucí </w:t>
      </w:r>
      <w:r w:rsidR="009C77AB">
        <w:t>účinky</w:t>
      </w:r>
      <w:r>
        <w:t>: mírné a </w:t>
      </w:r>
      <w:r w:rsidR="00642439">
        <w:t xml:space="preserve">přechodné </w:t>
      </w:r>
      <w:r>
        <w:t xml:space="preserve">poruchy zažívání (např. zvracení, nechutenství nebo průjem), letargie, úbytek </w:t>
      </w:r>
      <w:r w:rsidR="00642439">
        <w:t xml:space="preserve">živé </w:t>
      </w:r>
      <w:r>
        <w:t xml:space="preserve">hmotnosti a nízká </w:t>
      </w:r>
      <w:r w:rsidR="00642439">
        <w:t xml:space="preserve">hladina </w:t>
      </w:r>
      <w:r>
        <w:t xml:space="preserve">draslíku v séru. Neobvyklým nežádoucím účinkem pozorovaným v klinických studiích byla hypotenze. </w:t>
      </w:r>
    </w:p>
    <w:p w14:paraId="23669743" w14:textId="377BEE22" w:rsidR="00A64FD1" w:rsidRPr="007B3B8D" w:rsidRDefault="00A64FD1" w:rsidP="007B3B8D">
      <w:pPr>
        <w:spacing w:before="80" w:line="240" w:lineRule="auto"/>
      </w:pPr>
      <w:r>
        <w:t>Četnost nežádoucích účinků je charakterizována podle následujících pravidel:</w:t>
      </w:r>
    </w:p>
    <w:p w14:paraId="31C5ADF2" w14:textId="77777777" w:rsidR="00A64FD1" w:rsidRPr="007B3B8D" w:rsidRDefault="00A64FD1" w:rsidP="00A64FD1">
      <w:pPr>
        <w:spacing w:line="240" w:lineRule="auto"/>
      </w:pPr>
      <w:r>
        <w:t xml:space="preserve"> - velmi časté (nežádoucí účinek(</w:t>
      </w:r>
      <w:proofErr w:type="spellStart"/>
      <w:r>
        <w:t>nky</w:t>
      </w:r>
      <w:proofErr w:type="spellEnd"/>
      <w:r>
        <w:t>) se projevil(y) u více než 1 z 10 ošetřených zvířat),</w:t>
      </w:r>
    </w:p>
    <w:p w14:paraId="07AEF722" w14:textId="77777777" w:rsidR="00A64FD1" w:rsidRPr="007B3B8D" w:rsidRDefault="00A64FD1" w:rsidP="00A64FD1">
      <w:pPr>
        <w:spacing w:line="240" w:lineRule="auto"/>
      </w:pPr>
      <w:r>
        <w:lastRenderedPageBreak/>
        <w:t>- časté (u více než 1, ale méně než 10 ze 100 ošetřených zvířat),</w:t>
      </w:r>
    </w:p>
    <w:p w14:paraId="5E4B7B23" w14:textId="77777777" w:rsidR="00A64FD1" w:rsidRPr="007B3B8D" w:rsidRDefault="00A64FD1" w:rsidP="00A64FD1">
      <w:pPr>
        <w:spacing w:line="240" w:lineRule="auto"/>
      </w:pPr>
      <w:r>
        <w:t>- neobvyklé (u více než 1, ale méně než 10 z 1000 ošetřených zvířat),</w:t>
      </w:r>
    </w:p>
    <w:p w14:paraId="10BFD8DE" w14:textId="77777777" w:rsidR="00A64FD1" w:rsidRPr="007B3B8D" w:rsidRDefault="00A64FD1" w:rsidP="00A64FD1">
      <w:pPr>
        <w:spacing w:line="240" w:lineRule="auto"/>
      </w:pPr>
      <w:r>
        <w:t>- vzácné (u více než 1, ale méně než 10 z  10000 ošetřených zvířat),</w:t>
      </w:r>
    </w:p>
    <w:p w14:paraId="2AEF6663" w14:textId="77777777" w:rsidR="00A64FD1" w:rsidRPr="007B3B8D" w:rsidRDefault="00A64FD1" w:rsidP="00A64FD1">
      <w:pPr>
        <w:spacing w:line="240" w:lineRule="auto"/>
      </w:pPr>
      <w:r>
        <w:t>- velmi vzácné (u méně než 1 z 10000 ošetřených zvířat, včetně ojedinělých hlášení).</w:t>
      </w:r>
    </w:p>
    <w:p w14:paraId="63105C01" w14:textId="5A245049" w:rsidR="00CF2807" w:rsidRPr="007B3B8D" w:rsidRDefault="00CF2807" w:rsidP="00A73347">
      <w:pPr>
        <w:spacing w:line="240" w:lineRule="auto"/>
        <w:rPr>
          <w:i/>
          <w:iCs/>
          <w:szCs w:val="22"/>
        </w:rPr>
      </w:pPr>
    </w:p>
    <w:p w14:paraId="310F7CE0" w14:textId="7A10215B" w:rsidR="00EB457B" w:rsidRPr="007B3B8D" w:rsidRDefault="00642439" w:rsidP="00EB1A80">
      <w:pPr>
        <w:tabs>
          <w:tab w:val="clear" w:pos="567"/>
        </w:tabs>
        <w:spacing w:line="240" w:lineRule="auto"/>
        <w:rPr>
          <w:szCs w:val="22"/>
        </w:rPr>
      </w:pPr>
      <w:r w:rsidRPr="008B70A4">
        <w:t xml:space="preserve">Jestliže zaznamenáte jakékoliv nežádoucí účinky, a to i takové, které nejsou uvedeny v této příbalové informaci, nebo si myslíte, že léčivý přípravek není účinný, oznamte to, prosím, vašemu veterinárnímu lékaři. </w:t>
      </w:r>
    </w:p>
    <w:p w14:paraId="1CD82670" w14:textId="41BDB1D7" w:rsidR="00B17857" w:rsidRPr="00F4119A" w:rsidRDefault="00C114FF" w:rsidP="00F4119A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7.</w:t>
      </w:r>
      <w:r>
        <w:rPr>
          <w:b/>
        </w:rPr>
        <w:tab/>
        <w:t>CÍLOVÝ DRUH ZVÍŘAT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417"/>
      </w:tblGrid>
      <w:tr w:rsidR="00B17857" w14:paraId="7FFBA066" w14:textId="77777777" w:rsidTr="00B17857">
        <w:tc>
          <w:tcPr>
            <w:tcW w:w="846" w:type="dxa"/>
          </w:tcPr>
          <w:p w14:paraId="5D10199C" w14:textId="77777777" w:rsidR="00B17857" w:rsidRDefault="00B17857" w:rsidP="00F4119A">
            <w:pPr>
              <w:keepNext/>
              <w:tabs>
                <w:tab w:val="clear" w:pos="567"/>
              </w:tabs>
              <w:spacing w:line="255" w:lineRule="atLeast"/>
              <w:rPr>
                <w:szCs w:val="22"/>
                <w:lang w:val="en-US"/>
              </w:rPr>
            </w:pPr>
          </w:p>
          <w:p w14:paraId="774096B6" w14:textId="4B462541" w:rsidR="00B17857" w:rsidRDefault="00B17857" w:rsidP="00B17857">
            <w:pPr>
              <w:tabs>
                <w:tab w:val="clear" w:pos="567"/>
              </w:tabs>
              <w:spacing w:line="255" w:lineRule="atLeast"/>
              <w:rPr>
                <w:b/>
                <w:szCs w:val="22"/>
                <w:highlight w:val="lightGray"/>
              </w:rPr>
            </w:pPr>
            <w:r>
              <w:t xml:space="preserve">Kočky </w:t>
            </w:r>
          </w:p>
          <w:p w14:paraId="5411D59F" w14:textId="77777777" w:rsidR="00B17857" w:rsidRDefault="00B17857" w:rsidP="00895A2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  <w:tc>
          <w:tcPr>
            <w:tcW w:w="1417" w:type="dxa"/>
          </w:tcPr>
          <w:p w14:paraId="4B3D0BD4" w14:textId="0A0E84F7" w:rsidR="00B17857" w:rsidRDefault="00B17857" w:rsidP="00895A2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5408" behindDoc="0" locked="0" layoutInCell="1" allowOverlap="1" wp14:anchorId="6A0FB6BE" wp14:editId="77E28E02">
                  <wp:simplePos x="0" y="0"/>
                  <wp:positionH relativeFrom="character">
                    <wp:posOffset>-6350</wp:posOffset>
                  </wp:positionH>
                  <wp:positionV relativeFrom="paragraph">
                    <wp:posOffset>169545</wp:posOffset>
                  </wp:positionV>
                  <wp:extent cx="419100" cy="495300"/>
                  <wp:effectExtent l="0" t="0" r="0" b="0"/>
                  <wp:wrapSquare wrapText="bothSides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7F01971" w14:textId="77777777" w:rsidR="00B17857" w:rsidRPr="007B3B8D" w:rsidRDefault="00B17857" w:rsidP="00895A2F">
      <w:pPr>
        <w:tabs>
          <w:tab w:val="clear" w:pos="567"/>
        </w:tabs>
        <w:spacing w:line="240" w:lineRule="auto"/>
        <w:rPr>
          <w:szCs w:val="22"/>
        </w:rPr>
      </w:pPr>
    </w:p>
    <w:p w14:paraId="32CC1E46" w14:textId="6D0AD40C" w:rsidR="00C114FF" w:rsidRPr="00F4119A" w:rsidRDefault="00C114FF" w:rsidP="00F4119A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8.</w:t>
      </w:r>
      <w:r>
        <w:rPr>
          <w:b/>
        </w:rPr>
        <w:tab/>
        <w:t>DÁVKOVÁNÍ PRO KAŽDÝ DRUH, CESTA(Y) A ZPŮSOB PODÁNÍ</w:t>
      </w:r>
    </w:p>
    <w:p w14:paraId="5BB23806" w14:textId="28A6762F" w:rsidR="00C114FF" w:rsidRPr="007B3B8D" w:rsidRDefault="00C114FF" w:rsidP="00F4119A">
      <w:pPr>
        <w:keepNext/>
        <w:tabs>
          <w:tab w:val="clear" w:pos="567"/>
        </w:tabs>
        <w:spacing w:line="240" w:lineRule="auto"/>
        <w:rPr>
          <w:iCs/>
          <w:szCs w:val="22"/>
        </w:rPr>
      </w:pPr>
    </w:p>
    <w:p w14:paraId="244C1D9C" w14:textId="77777777" w:rsidR="00A64FD1" w:rsidRPr="007B3B8D" w:rsidRDefault="00A64FD1" w:rsidP="00A64FD1">
      <w:pPr>
        <w:tabs>
          <w:tab w:val="clear" w:pos="567"/>
        </w:tabs>
        <w:spacing w:line="240" w:lineRule="auto"/>
        <w:rPr>
          <w:szCs w:val="22"/>
        </w:rPr>
      </w:pPr>
      <w:r>
        <w:t>Perorální podání.</w:t>
      </w:r>
    </w:p>
    <w:p w14:paraId="1718BC52" w14:textId="77777777" w:rsidR="00A64FD1" w:rsidRPr="007B3B8D" w:rsidRDefault="00A64FD1" w:rsidP="00A64FD1">
      <w:pPr>
        <w:tabs>
          <w:tab w:val="clear" w:pos="567"/>
        </w:tabs>
        <w:spacing w:line="240" w:lineRule="auto"/>
        <w:rPr>
          <w:szCs w:val="22"/>
        </w:rPr>
      </w:pPr>
    </w:p>
    <w:p w14:paraId="2AFD56AE" w14:textId="57DC8A75" w:rsidR="00A64FD1" w:rsidRPr="007B3B8D" w:rsidRDefault="00A64FD1" w:rsidP="00A64FD1">
      <w:pPr>
        <w:keepNext/>
        <w:keepLines/>
        <w:spacing w:line="240" w:lineRule="auto"/>
        <w:rPr>
          <w:szCs w:val="22"/>
          <w:highlight w:val="yellow"/>
        </w:rPr>
      </w:pPr>
      <w:r>
        <w:t xml:space="preserve">Doporučená obvyklá počáteční dávka je 0,125 až 0,25 mg </w:t>
      </w:r>
      <w:proofErr w:type="spellStart"/>
      <w:r>
        <w:t>amlodipinu</w:t>
      </w:r>
      <w:proofErr w:type="spellEnd"/>
      <w:r>
        <w:t xml:space="preserve"> na kg </w:t>
      </w:r>
      <w:r w:rsidR="00642439">
        <w:t xml:space="preserve">živé </w:t>
      </w:r>
      <w:r>
        <w:t>hmotnosti denně.</w:t>
      </w:r>
      <w:r>
        <w:rPr>
          <w:highlight w:val="yellow"/>
        </w:rPr>
        <w:t xml:space="preserve"> </w:t>
      </w:r>
    </w:p>
    <w:p w14:paraId="53F3103A" w14:textId="77777777" w:rsidR="00A64FD1" w:rsidRPr="007B3B8D" w:rsidRDefault="00A64FD1" w:rsidP="00A64FD1">
      <w:pPr>
        <w:pStyle w:val="z-Zatekformule"/>
        <w:rPr>
          <w:rFonts w:eastAsia="MS Mincho"/>
          <w:noProof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1"/>
        <w:gridCol w:w="2693"/>
        <w:gridCol w:w="2552"/>
      </w:tblGrid>
      <w:tr w:rsidR="007B3B8D" w:rsidRPr="007B3B8D" w14:paraId="5B5F815C" w14:textId="77777777" w:rsidTr="00AD3127"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251B2" w14:textId="77777777" w:rsidR="00A64FD1" w:rsidRPr="007B3B8D" w:rsidRDefault="00A64FD1" w:rsidP="00AD3127">
            <w:pPr>
              <w:spacing w:line="240" w:lineRule="auto"/>
              <w:rPr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6FC4DE39" w14:textId="42B881A5" w:rsidR="00A64FD1" w:rsidRPr="007B3B8D" w:rsidRDefault="00A64FD1" w:rsidP="00AD3127">
            <w:pPr>
              <w:spacing w:line="240" w:lineRule="auto"/>
              <w:ind w:left="10" w:hanging="10"/>
              <w:rPr>
                <w:szCs w:val="22"/>
              </w:rPr>
            </w:pPr>
            <w:r>
              <w:t xml:space="preserve">Rozmezí </w:t>
            </w:r>
            <w:r w:rsidR="00642439">
              <w:t xml:space="preserve">živé </w:t>
            </w:r>
            <w:r>
              <w:t>hmotnosti (kg)</w:t>
            </w:r>
          </w:p>
        </w:tc>
        <w:tc>
          <w:tcPr>
            <w:tcW w:w="2552" w:type="dxa"/>
            <w:shd w:val="clear" w:color="auto" w:fill="auto"/>
          </w:tcPr>
          <w:p w14:paraId="6E8E1243" w14:textId="77777777" w:rsidR="00A64FD1" w:rsidRPr="007B3B8D" w:rsidRDefault="00A64FD1" w:rsidP="00AD3127">
            <w:pPr>
              <w:spacing w:line="240" w:lineRule="auto"/>
              <w:rPr>
                <w:szCs w:val="22"/>
              </w:rPr>
            </w:pPr>
            <w:r>
              <w:t>Počet tablet denně</w:t>
            </w:r>
          </w:p>
        </w:tc>
      </w:tr>
      <w:tr w:rsidR="007B3B8D" w:rsidRPr="007B3B8D" w14:paraId="6F7B32A8" w14:textId="77777777" w:rsidTr="00AD3127">
        <w:tc>
          <w:tcPr>
            <w:tcW w:w="2851" w:type="dxa"/>
            <w:vMerge w:val="restart"/>
            <w:tcBorders>
              <w:top w:val="single" w:sz="4" w:space="0" w:color="auto"/>
            </w:tcBorders>
          </w:tcPr>
          <w:p w14:paraId="79F28B59" w14:textId="77777777" w:rsidR="00A64FD1" w:rsidRPr="007B3B8D" w:rsidRDefault="00A64FD1" w:rsidP="00AD3127">
            <w:pPr>
              <w:spacing w:line="240" w:lineRule="auto"/>
              <w:rPr>
                <w:szCs w:val="22"/>
              </w:rPr>
            </w:pPr>
            <w:r>
              <w:t>Obvyklé dávkování:</w:t>
            </w:r>
          </w:p>
        </w:tc>
        <w:tc>
          <w:tcPr>
            <w:tcW w:w="2693" w:type="dxa"/>
            <w:shd w:val="clear" w:color="auto" w:fill="auto"/>
          </w:tcPr>
          <w:p w14:paraId="68D8C8DF" w14:textId="77777777" w:rsidR="00A64FD1" w:rsidRPr="007B3B8D" w:rsidRDefault="00A64FD1" w:rsidP="00AD3127">
            <w:pPr>
              <w:spacing w:line="240" w:lineRule="auto"/>
              <w:rPr>
                <w:szCs w:val="22"/>
              </w:rPr>
            </w:pPr>
            <w:r>
              <w:t xml:space="preserve">2 až &lt; 4 </w:t>
            </w:r>
          </w:p>
        </w:tc>
        <w:tc>
          <w:tcPr>
            <w:tcW w:w="2552" w:type="dxa"/>
            <w:shd w:val="clear" w:color="auto" w:fill="auto"/>
          </w:tcPr>
          <w:p w14:paraId="5F9EF072" w14:textId="77777777" w:rsidR="00A64FD1" w:rsidRPr="007B3B8D" w:rsidRDefault="00A64FD1" w:rsidP="00AD3127">
            <w:pPr>
              <w:spacing w:line="240" w:lineRule="auto"/>
              <w:rPr>
                <w:szCs w:val="22"/>
              </w:rPr>
            </w:pPr>
            <w:r>
              <w:t>½</w:t>
            </w:r>
          </w:p>
        </w:tc>
      </w:tr>
      <w:tr w:rsidR="00A64FD1" w:rsidRPr="007B3B8D" w14:paraId="710C4839" w14:textId="77777777" w:rsidTr="00AD3127">
        <w:tc>
          <w:tcPr>
            <w:tcW w:w="2851" w:type="dxa"/>
            <w:vMerge/>
          </w:tcPr>
          <w:p w14:paraId="645350CA" w14:textId="77777777" w:rsidR="00A64FD1" w:rsidRPr="007B3B8D" w:rsidRDefault="00A64FD1" w:rsidP="00AD3127">
            <w:pPr>
              <w:spacing w:line="240" w:lineRule="auto"/>
              <w:rPr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B4F35AA" w14:textId="77777777" w:rsidR="00A64FD1" w:rsidRPr="007B3B8D" w:rsidRDefault="00A64FD1" w:rsidP="00AD3127">
            <w:pPr>
              <w:spacing w:line="240" w:lineRule="auto"/>
              <w:rPr>
                <w:szCs w:val="22"/>
              </w:rPr>
            </w:pPr>
            <w:r>
              <w:t>≥ 4 až 8</w:t>
            </w:r>
          </w:p>
        </w:tc>
        <w:tc>
          <w:tcPr>
            <w:tcW w:w="2552" w:type="dxa"/>
            <w:shd w:val="clear" w:color="auto" w:fill="auto"/>
          </w:tcPr>
          <w:p w14:paraId="58CAA441" w14:textId="77777777" w:rsidR="00A64FD1" w:rsidRPr="007B3B8D" w:rsidRDefault="00A64FD1" w:rsidP="00AD3127">
            <w:pPr>
              <w:spacing w:line="240" w:lineRule="auto"/>
              <w:rPr>
                <w:szCs w:val="22"/>
              </w:rPr>
            </w:pPr>
            <w:r>
              <w:t>1</w:t>
            </w:r>
          </w:p>
        </w:tc>
      </w:tr>
    </w:tbl>
    <w:p w14:paraId="7F3BA126" w14:textId="77777777" w:rsidR="00A64FD1" w:rsidRPr="007B3B8D" w:rsidRDefault="00A64FD1" w:rsidP="00A64FD1">
      <w:pPr>
        <w:keepNext/>
        <w:keepLines/>
        <w:spacing w:line="240" w:lineRule="auto"/>
        <w:ind w:left="10" w:hanging="10"/>
        <w:rPr>
          <w:szCs w:val="22"/>
        </w:rPr>
      </w:pPr>
    </w:p>
    <w:p w14:paraId="1ED424F0" w14:textId="77777777" w:rsidR="00D70484" w:rsidRPr="007B3B8D" w:rsidRDefault="00D70484" w:rsidP="00D70484">
      <w:pPr>
        <w:spacing w:line="240" w:lineRule="auto"/>
        <w:rPr>
          <w:szCs w:val="22"/>
        </w:rPr>
      </w:pPr>
      <w:bookmarkStart w:id="1" w:name="_Hlk16583407"/>
      <w:r>
        <w:t>V případě koček o hmotnosti od 2 do 2,5 kg viz bod 12.</w:t>
      </w:r>
    </w:p>
    <w:p w14:paraId="2599E908" w14:textId="5E997942" w:rsidR="001F7A06" w:rsidRDefault="00F4119A" w:rsidP="00A64FD1">
      <w:pPr>
        <w:spacing w:line="240" w:lineRule="auto"/>
        <w:rPr>
          <w:szCs w:val="22"/>
        </w:rPr>
      </w:pPr>
      <w:r>
        <w:t>Po dvou týdnech léčby je třeba znovu posoudit klinickou odpověď. V případě nedostatečné klinické odpovědi (snížení systolického TK o méně než 15 % a hodnot</w:t>
      </w:r>
      <w:r w:rsidR="009C77AB">
        <w:t>y</w:t>
      </w:r>
      <w:r>
        <w:t xml:space="preserve"> systolického TK stále &gt; 150 </w:t>
      </w:r>
      <w:proofErr w:type="spellStart"/>
      <w:r>
        <w:t>mmHg</w:t>
      </w:r>
      <w:proofErr w:type="spellEnd"/>
      <w:r>
        <w:t xml:space="preserve">) lze dávku </w:t>
      </w:r>
      <w:r w:rsidR="00642439">
        <w:t xml:space="preserve">zvýšit </w:t>
      </w:r>
      <w:r>
        <w:t xml:space="preserve">o 0,5 mg (půl tablety) denně až na maximální dávku 0,5 mg na kg </w:t>
      </w:r>
      <w:r w:rsidR="00642439">
        <w:t xml:space="preserve">živé </w:t>
      </w:r>
      <w:r>
        <w:t xml:space="preserve">hmotnosti denně.  Viz také bod 12. </w:t>
      </w:r>
    </w:p>
    <w:p w14:paraId="271235C0" w14:textId="1B18E871" w:rsidR="00A64FD1" w:rsidRPr="007B3B8D" w:rsidRDefault="00A64FD1" w:rsidP="00A64FD1">
      <w:pPr>
        <w:spacing w:line="240" w:lineRule="auto"/>
        <w:rPr>
          <w:szCs w:val="22"/>
        </w:rPr>
      </w:pPr>
      <w:r>
        <w:t xml:space="preserve">Odpověď na upravenou dávku je třeba znovu posoudit po dalších dvou týdnech léčby. </w:t>
      </w:r>
    </w:p>
    <w:p w14:paraId="00A4C5C5" w14:textId="40CDB1D7" w:rsidR="00A64FD1" w:rsidRDefault="00A64FD1" w:rsidP="00A64FD1">
      <w:pPr>
        <w:spacing w:line="240" w:lineRule="auto"/>
        <w:rPr>
          <w:szCs w:val="22"/>
        </w:rPr>
      </w:pPr>
      <w:r>
        <w:t xml:space="preserve">V případě klinicky </w:t>
      </w:r>
      <w:r w:rsidR="00642439">
        <w:t xml:space="preserve">významných </w:t>
      </w:r>
      <w:r>
        <w:t xml:space="preserve">nežádoucích </w:t>
      </w:r>
      <w:r w:rsidR="00A0797C">
        <w:t xml:space="preserve">účinků </w:t>
      </w:r>
      <w:r>
        <w:t>je třeba zvážit snížení dávky nebo ukončení léčby.</w:t>
      </w:r>
    </w:p>
    <w:p w14:paraId="57DB175A" w14:textId="09B37338" w:rsidR="000968FC" w:rsidRPr="007B3B8D" w:rsidRDefault="000968FC" w:rsidP="00A64FD1">
      <w:pPr>
        <w:tabs>
          <w:tab w:val="clear" w:pos="567"/>
        </w:tabs>
        <w:spacing w:line="240" w:lineRule="auto"/>
        <w:rPr>
          <w:szCs w:val="22"/>
        </w:rPr>
      </w:pPr>
    </w:p>
    <w:bookmarkEnd w:id="1"/>
    <w:p w14:paraId="4D521E6C" w14:textId="7DB8AFF7" w:rsidR="00916CC3" w:rsidRPr="00F4119A" w:rsidRDefault="00C114FF" w:rsidP="00916CC3">
      <w:pPr>
        <w:pStyle w:val="Zkladntextodsazen"/>
        <w:keepNext/>
        <w:keepLines/>
        <w:ind w:left="0" w:firstLine="0"/>
        <w:rPr>
          <w:szCs w:val="22"/>
        </w:rPr>
      </w:pPr>
      <w:r>
        <w:t>9.</w:t>
      </w:r>
      <w:r>
        <w:tab/>
        <w:t>POKYNY PRO SPRÁVNÉ PODÁNÍ</w:t>
      </w:r>
    </w:p>
    <w:p w14:paraId="358767C1" w14:textId="2C90F45D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6A9D5" w14:textId="77777777" w:rsidR="00642439" w:rsidRPr="00432C5B" w:rsidRDefault="00642439" w:rsidP="0064243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Tablety lze podávat přímo zvířeti nebo s malým množstvím potravy.</w:t>
      </w:r>
    </w:p>
    <w:p w14:paraId="1B2F892D" w14:textId="77777777" w:rsidR="00C80401" w:rsidRPr="007B3B8D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AE3674" w14:textId="77777777" w:rsidR="00C114FF" w:rsidRPr="00F4119A" w:rsidRDefault="00C114FF" w:rsidP="00F4119A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10.</w:t>
      </w:r>
      <w:r>
        <w:rPr>
          <w:b/>
        </w:rPr>
        <w:tab/>
        <w:t>OCHRANNÁ(É) LHŮTA(Y)</w:t>
      </w:r>
    </w:p>
    <w:p w14:paraId="141EAABF" w14:textId="77777777" w:rsidR="0081290E" w:rsidRDefault="0081290E" w:rsidP="0081290E">
      <w:pPr>
        <w:tabs>
          <w:tab w:val="clear" w:pos="567"/>
          <w:tab w:val="left" w:pos="708"/>
        </w:tabs>
        <w:spacing w:line="240" w:lineRule="auto"/>
      </w:pPr>
    </w:p>
    <w:p w14:paraId="27481A1E" w14:textId="77777777" w:rsidR="0081290E" w:rsidRDefault="0081290E" w:rsidP="0081290E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t>Není určeno pro potravinová zvířata.</w:t>
      </w:r>
    </w:p>
    <w:p w14:paraId="7B6BAEF8" w14:textId="77777777" w:rsidR="00C114FF" w:rsidRPr="007B3B8D" w:rsidRDefault="00C114FF" w:rsidP="00F4119A">
      <w:pPr>
        <w:keepNext/>
        <w:tabs>
          <w:tab w:val="clear" w:pos="567"/>
        </w:tabs>
        <w:spacing w:line="240" w:lineRule="auto"/>
        <w:rPr>
          <w:iCs/>
          <w:szCs w:val="22"/>
        </w:rPr>
      </w:pPr>
    </w:p>
    <w:p w14:paraId="6D244E16" w14:textId="79B5DF64" w:rsidR="00C114FF" w:rsidRPr="007B3B8D" w:rsidRDefault="00C114FF" w:rsidP="00A9226B">
      <w:pPr>
        <w:tabs>
          <w:tab w:val="clear" w:pos="567"/>
        </w:tabs>
        <w:spacing w:line="240" w:lineRule="auto"/>
        <w:rPr>
          <w:i/>
          <w:iCs/>
          <w:szCs w:val="22"/>
        </w:rPr>
      </w:pPr>
    </w:p>
    <w:p w14:paraId="24D494B6" w14:textId="77777777" w:rsidR="00C114FF" w:rsidRPr="00F4119A" w:rsidRDefault="00C114FF" w:rsidP="00F4119A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11.</w:t>
      </w:r>
      <w:r>
        <w:rPr>
          <w:b/>
        </w:rPr>
        <w:tab/>
        <w:t>ZVLÁŠTNÍ OPATŘENÍ PRO UCHOVÁVÁNÍ</w:t>
      </w:r>
    </w:p>
    <w:p w14:paraId="0A59C131" w14:textId="77777777" w:rsidR="00C114FF" w:rsidRPr="007B3B8D" w:rsidRDefault="00C114FF" w:rsidP="00F4119A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1424C46" w14:textId="5B05739C" w:rsidR="00CF2807" w:rsidRPr="007B3B8D" w:rsidRDefault="00CF2807" w:rsidP="002434CC">
      <w:pPr>
        <w:tabs>
          <w:tab w:val="clear" w:pos="567"/>
        </w:tabs>
        <w:spacing w:line="240" w:lineRule="auto"/>
        <w:rPr>
          <w:szCs w:val="22"/>
        </w:rPr>
      </w:pPr>
      <w:r>
        <w:t xml:space="preserve">Uchovávat mimo </w:t>
      </w:r>
      <w:r w:rsidR="00A0797C">
        <w:t xml:space="preserve">dohled a </w:t>
      </w:r>
      <w:r>
        <w:t xml:space="preserve">dosah dětí. </w:t>
      </w:r>
    </w:p>
    <w:p w14:paraId="643647F7" w14:textId="5147EF0C" w:rsidR="002434CC" w:rsidRPr="007B3B8D" w:rsidRDefault="002434CC" w:rsidP="002434CC">
      <w:pPr>
        <w:tabs>
          <w:tab w:val="clear" w:pos="567"/>
        </w:tabs>
        <w:spacing w:line="240" w:lineRule="auto"/>
        <w:rPr>
          <w:szCs w:val="22"/>
        </w:rPr>
      </w:pPr>
      <w:r>
        <w:t xml:space="preserve">Tento veterinární léčivý přípravek nevyžaduje žádné zvláštní </w:t>
      </w:r>
      <w:r w:rsidR="00C97FA2">
        <w:t xml:space="preserve">teplotní </w:t>
      </w:r>
      <w:r>
        <w:t>podmínky</w:t>
      </w:r>
      <w:r w:rsidR="00C97FA2">
        <w:t xml:space="preserve"> </w:t>
      </w:r>
      <w:r>
        <w:t>uchovávání.</w:t>
      </w:r>
    </w:p>
    <w:p w14:paraId="3F58AF3B" w14:textId="77777777" w:rsidR="00C97FA2" w:rsidRPr="00432C5B" w:rsidRDefault="00C97FA2" w:rsidP="00C97FA2">
      <w:pPr>
        <w:tabs>
          <w:tab w:val="clear" w:pos="567"/>
        </w:tabs>
        <w:spacing w:line="240" w:lineRule="auto"/>
        <w:rPr>
          <w:szCs w:val="22"/>
        </w:rPr>
      </w:pPr>
      <w:r w:rsidRPr="00667410">
        <w:t>Zbylé nepoužité poloviny tablet vraťte zpět do blistru</w:t>
      </w:r>
      <w:r>
        <w:t>.</w:t>
      </w:r>
    </w:p>
    <w:p w14:paraId="48473E0E" w14:textId="77777777" w:rsidR="00C97FA2" w:rsidRPr="00432C5B" w:rsidRDefault="00C97FA2" w:rsidP="00C97FA2">
      <w:pPr>
        <w:tabs>
          <w:tab w:val="clear" w:pos="567"/>
        </w:tabs>
        <w:spacing w:line="240" w:lineRule="auto"/>
        <w:rPr>
          <w:szCs w:val="22"/>
        </w:rPr>
      </w:pPr>
      <w:r>
        <w:t>Uchovávejte blistry v krabičce, aby byly chráněny před světlem.</w:t>
      </w:r>
    </w:p>
    <w:p w14:paraId="245C5A9C" w14:textId="4D70D675" w:rsidR="00CF2807" w:rsidRPr="005A2642" w:rsidRDefault="00CF2807" w:rsidP="002434CC">
      <w:pPr>
        <w:tabs>
          <w:tab w:val="clear" w:pos="567"/>
        </w:tabs>
        <w:spacing w:line="240" w:lineRule="auto"/>
        <w:rPr>
          <w:szCs w:val="22"/>
        </w:rPr>
      </w:pPr>
      <w:r>
        <w:t>Nepoužívejte tento veterinární léčivý přípravek po uplynutí doby použitelnosti uvedené na krabičce po EXP. Doba použitelnosti končí posledním dnem v uvedeném měsíci.</w:t>
      </w:r>
    </w:p>
    <w:p w14:paraId="14AAE9B3" w14:textId="01DABDDE" w:rsidR="00C114FF" w:rsidRPr="005A2642" w:rsidRDefault="00CF2807" w:rsidP="00A9226B">
      <w:pPr>
        <w:tabs>
          <w:tab w:val="clear" w:pos="567"/>
        </w:tabs>
        <w:spacing w:line="240" w:lineRule="auto"/>
        <w:rPr>
          <w:szCs w:val="22"/>
        </w:rPr>
      </w:pPr>
      <w:r>
        <w:t xml:space="preserve">Doba použitelnosti </w:t>
      </w:r>
      <w:r w:rsidR="00C97FA2">
        <w:t>zbylé poloviny tablety</w:t>
      </w:r>
      <w:r>
        <w:t xml:space="preserve">: </w:t>
      </w:r>
      <w:r w:rsidR="00C97FA2">
        <w:t>24 hodin.</w:t>
      </w:r>
    </w:p>
    <w:p w14:paraId="419DBE64" w14:textId="77777777" w:rsidR="005A2642" w:rsidRDefault="005A2642" w:rsidP="0043320A">
      <w:pPr>
        <w:tabs>
          <w:tab w:val="clear" w:pos="567"/>
        </w:tabs>
        <w:spacing w:line="240" w:lineRule="auto"/>
        <w:rPr>
          <w:b/>
          <w:szCs w:val="22"/>
          <w:highlight w:val="lightGray"/>
        </w:rPr>
      </w:pPr>
    </w:p>
    <w:p w14:paraId="30ADBA3E" w14:textId="679B0863" w:rsidR="005A2642" w:rsidRDefault="00C114FF" w:rsidP="00F4119A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lastRenderedPageBreak/>
        <w:t>12.</w:t>
      </w:r>
      <w:r>
        <w:rPr>
          <w:b/>
        </w:rPr>
        <w:tab/>
        <w:t>ZVLÁŠTNÍ UPOZORNĚNÍ </w:t>
      </w:r>
    </w:p>
    <w:p w14:paraId="7948A135" w14:textId="77777777" w:rsidR="005A2642" w:rsidRDefault="005A2642" w:rsidP="00F4119A">
      <w:pPr>
        <w:keepNext/>
        <w:tabs>
          <w:tab w:val="clear" w:pos="567"/>
        </w:tabs>
        <w:spacing w:line="240" w:lineRule="auto"/>
        <w:rPr>
          <w:b/>
          <w:szCs w:val="22"/>
        </w:rPr>
      </w:pPr>
    </w:p>
    <w:p w14:paraId="2901494A" w14:textId="13CEA2CF" w:rsidR="0043320A" w:rsidRPr="005A2642" w:rsidRDefault="0043320A" w:rsidP="00F4119A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Zvláštní upozornění pro každý cílový druh</w:t>
      </w:r>
    </w:p>
    <w:p w14:paraId="57D028FF" w14:textId="77777777" w:rsidR="00642439" w:rsidRDefault="00642439" w:rsidP="00642439">
      <w:pPr>
        <w:spacing w:line="240" w:lineRule="auto"/>
        <w:jc w:val="both"/>
        <w:rPr>
          <w:szCs w:val="22"/>
        </w:rPr>
      </w:pPr>
      <w:r>
        <w:t>Při měření krevního tlaku na klinice dochází u koček, které mají jinak krevní tlak v normě, k tzv. situační hypertenzi (</w:t>
      </w:r>
      <w:r w:rsidRPr="00DC14BF">
        <w:rPr>
          <w:szCs w:val="22"/>
        </w:rPr>
        <w:t>nazývaná také syndrom bílého pláště</w:t>
      </w:r>
      <w:r>
        <w:t xml:space="preserve">).  Pokud je měření pro zvíře velmi stresující, může naměřená hodnota systolického krevního tlaku vést k nesprávné diagnóze hypertenze. Před zahájením léčby se proto doporučuje potvrdit stabilní hypertenzi několikrát </w:t>
      </w:r>
      <w:r w:rsidRPr="00DC14BF">
        <w:rPr>
          <w:szCs w:val="22"/>
        </w:rPr>
        <w:t>opakovaným měřením systolického krevního tlaku v různých dnech</w:t>
      </w:r>
      <w:r>
        <w:rPr>
          <w:szCs w:val="22"/>
        </w:rPr>
        <w:t>.</w:t>
      </w:r>
      <w:r>
        <w:t xml:space="preserve"> V případě sekundární hypertenze je důležité zjistit primární příčinu nebo komorbidity vyvolávající hypertenzi, jako je hypertyreóza, chronické onemocnění ledvin nebo diabetes, a tato onemocnění léčit. Dlouhodobé podávání přípravku by mělo být založeno na průběžném hodnocení poměru terapeutického prospěchu a rizika provedeným p předepisujícím veterinárním lékařem, které zahrnuje pravidelné měření systolického krevního tlaku během léčby (např. jednou za 2 až 3 měsíce). Dávky lze v případě potřeby upravovat.</w:t>
      </w:r>
    </w:p>
    <w:p w14:paraId="19514F30" w14:textId="77777777" w:rsidR="0043320A" w:rsidRPr="005A2642" w:rsidRDefault="0043320A" w:rsidP="0043320A">
      <w:pPr>
        <w:tabs>
          <w:tab w:val="clear" w:pos="567"/>
        </w:tabs>
        <w:spacing w:line="240" w:lineRule="auto"/>
        <w:rPr>
          <w:szCs w:val="22"/>
        </w:rPr>
      </w:pPr>
    </w:p>
    <w:p w14:paraId="5F57A3FA" w14:textId="223C9711" w:rsidR="0043320A" w:rsidRPr="005A2642" w:rsidRDefault="0043320A" w:rsidP="00F4119A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Zvláštní opatření pro použití u zvířat</w:t>
      </w:r>
      <w:r>
        <w:t>:</w:t>
      </w:r>
    </w:p>
    <w:p w14:paraId="2FD29CCB" w14:textId="77777777" w:rsidR="00AC72CC" w:rsidRPr="00DC14BF" w:rsidRDefault="00AC72CC" w:rsidP="00AC72CC">
      <w:pPr>
        <w:tabs>
          <w:tab w:val="clear" w:pos="567"/>
          <w:tab w:val="left" w:pos="708"/>
        </w:tabs>
        <w:jc w:val="both"/>
        <w:rPr>
          <w:szCs w:val="22"/>
        </w:rPr>
      </w:pPr>
      <w:bookmarkStart w:id="2" w:name="_Hlk16583517"/>
      <w:r>
        <w:t xml:space="preserve">Zvláštní opatrnost je třeba u pacientů s onemocněním jater, protože </w:t>
      </w:r>
      <w:proofErr w:type="spellStart"/>
      <w:r>
        <w:t>amlodipin</w:t>
      </w:r>
      <w:proofErr w:type="spellEnd"/>
      <w:r>
        <w:t xml:space="preserve"> je z velké části metabolizován v játrech. Může tudíž docházet k prodloužení biologického poločasu vylučování </w:t>
      </w:r>
      <w:proofErr w:type="spellStart"/>
      <w:r>
        <w:t>amlodipinu</w:t>
      </w:r>
      <w:proofErr w:type="spellEnd"/>
      <w:r>
        <w:t xml:space="preserve"> a  být nutné podávat nižší dávku. </w:t>
      </w:r>
      <w:r w:rsidRPr="00DC14BF">
        <w:t>Vzhledem k tomu, že nebyly u zvířat s</w:t>
      </w:r>
      <w:r>
        <w:t> </w:t>
      </w:r>
      <w:r w:rsidRPr="00DC14BF">
        <w:t>onemocněním</w:t>
      </w:r>
      <w:r>
        <w:t xml:space="preserve"> jater</w:t>
      </w:r>
      <w:r w:rsidRPr="00DC14BF">
        <w:t xml:space="preserve"> provedeny žádné studie, použití přípravku u těchto zvířat by mělo být založeno na zvážení poměru terapeutického prospěchu a rizika ošetřujícím veterinárním lékařem.</w:t>
      </w:r>
    </w:p>
    <w:p w14:paraId="3DD5E765" w14:textId="77777777" w:rsidR="00AC72CC" w:rsidRDefault="00AC72CC" w:rsidP="00AC72CC">
      <w:pPr>
        <w:spacing w:before="80" w:line="240" w:lineRule="auto"/>
        <w:jc w:val="both"/>
        <w:rPr>
          <w:szCs w:val="22"/>
        </w:rPr>
      </w:pPr>
      <w:r>
        <w:t xml:space="preserve">Starší kočky se závažnou hypertenzí a chronickým onemocněním ledvin </w:t>
      </w:r>
      <w:r>
        <w:rPr>
          <w:sz w:val="24"/>
        </w:rPr>
        <w:t xml:space="preserve">(CKD) </w:t>
      </w:r>
      <w:r>
        <w:t xml:space="preserve">mohou v důsledku základního onemocnění trpět </w:t>
      </w:r>
      <w:proofErr w:type="spellStart"/>
      <w:r>
        <w:t>hypokalémií</w:t>
      </w:r>
      <w:proofErr w:type="spellEnd"/>
      <w:r>
        <w:t xml:space="preserve">. Podávání </w:t>
      </w:r>
      <w:proofErr w:type="spellStart"/>
      <w:r>
        <w:t>amlodipinu</w:t>
      </w:r>
      <w:proofErr w:type="spellEnd"/>
      <w:r>
        <w:t xml:space="preserve"> může někdy vést k poklesu hladin draslíku a chloridu v séru a může tak vést k zhoršení již přítomné hypokalémie. Doporučujeme proto před léčbou a během léčby sledovat uvedené hodnoty. </w:t>
      </w:r>
    </w:p>
    <w:p w14:paraId="521AEAC0" w14:textId="77777777" w:rsidR="00AC72CC" w:rsidRPr="008475C4" w:rsidRDefault="00AC72CC" w:rsidP="00AC72CC">
      <w:pPr>
        <w:spacing w:before="80" w:line="240" w:lineRule="auto"/>
        <w:jc w:val="both"/>
        <w:rPr>
          <w:szCs w:val="22"/>
        </w:rPr>
      </w:pPr>
      <w:bookmarkStart w:id="3" w:name="_Hlk37244515"/>
      <w:r>
        <w:t>Do klinických studií nebyla zařazena žádná zvířata s těžkým nestabilním chronickým onemocněním ledvin. Použití přípravku u těchto zvířat by mělo být založeno na zváženém</w:t>
      </w:r>
      <w:r w:rsidRPr="00DC14BF">
        <w:t xml:space="preserve"> poměru terapeutického prospěchu a rizika</w:t>
      </w:r>
      <w:r>
        <w:t xml:space="preserve"> ošetřujícím veterinárním lékařem.</w:t>
      </w:r>
    </w:p>
    <w:p w14:paraId="6DACB884" w14:textId="77777777" w:rsidR="00AC72CC" w:rsidRDefault="00AC72CC" w:rsidP="00AC72CC">
      <w:pPr>
        <w:spacing w:before="80" w:line="240" w:lineRule="auto"/>
        <w:jc w:val="both"/>
      </w:pPr>
      <w:proofErr w:type="spellStart"/>
      <w:r>
        <w:t>Amlodipin</w:t>
      </w:r>
      <w:proofErr w:type="spellEnd"/>
      <w:r>
        <w:t xml:space="preserve"> může mít mírné nežádoucí </w:t>
      </w:r>
      <w:proofErr w:type="spellStart"/>
      <w:r>
        <w:t>inotropní</w:t>
      </w:r>
      <w:proofErr w:type="spellEnd"/>
      <w:r>
        <w:t xml:space="preserve"> účinky, a proto by jeho podávání zvířatům se srdečními onemocněními mělo vycházet na základě zvážení</w:t>
      </w:r>
      <w:r w:rsidRPr="00B8405A">
        <w:t xml:space="preserve"> poměru terapeutického prospěchu a rizika</w:t>
      </w:r>
      <w:r w:rsidRPr="001D404E">
        <w:t xml:space="preserve"> ošetřu</w:t>
      </w:r>
      <w:r>
        <w:t xml:space="preserve">jícím veterinárním lékařem. Bezpečnost u koček se známým srdečním onemocněním nebyla stanovena. </w:t>
      </w:r>
    </w:p>
    <w:p w14:paraId="162F87F5" w14:textId="77777777" w:rsidR="00AC72CC" w:rsidRDefault="00AC72CC" w:rsidP="00AC72CC">
      <w:pPr>
        <w:spacing w:before="80" w:line="240" w:lineRule="auto"/>
        <w:jc w:val="both"/>
      </w:pPr>
      <w:r>
        <w:t>Do klinických studií nebyla zařazena zvířata s živou hmotností nižší než 2,5 kg. U zvířat s živou hmotností 2 až 2,5 kg by proto léčba měla probíhat obezřetně a na základě zvážení</w:t>
      </w:r>
      <w:r w:rsidRPr="00B8405A">
        <w:t xml:space="preserve"> poměru terapeutického prospěchu a rizika</w:t>
      </w:r>
      <w:r>
        <w:t xml:space="preserve"> odpovědným veterinárním lékařem.</w:t>
      </w:r>
    </w:p>
    <w:p w14:paraId="387F79FA" w14:textId="77777777" w:rsidR="00AC72CC" w:rsidRPr="00FB7269" w:rsidRDefault="00AC72CC" w:rsidP="00AC72CC">
      <w:pPr>
        <w:spacing w:before="80" w:line="240" w:lineRule="auto"/>
        <w:jc w:val="both"/>
        <w:rPr>
          <w:szCs w:val="22"/>
        </w:rPr>
      </w:pPr>
      <w:r>
        <w:t>Dávky nad 0,47 mg na kg živé hmotnosti nebyly v klinických studiích přípravku ověřovány, a proto by měly být podávány obezřetně a na základě zvážení</w:t>
      </w:r>
      <w:r w:rsidRPr="00B8405A">
        <w:t xml:space="preserve"> poměru terapeutického prospěchu a rizika</w:t>
      </w:r>
      <w:r w:rsidRPr="001D404E">
        <w:t xml:space="preserve"> </w:t>
      </w:r>
      <w:r>
        <w:t>ošetřujícím veterinárním lékařem.</w:t>
      </w:r>
    </w:p>
    <w:p w14:paraId="0D773999" w14:textId="77777777" w:rsidR="00AC72CC" w:rsidRPr="00FB7269" w:rsidRDefault="00AC72CC" w:rsidP="00AC72CC">
      <w:pPr>
        <w:spacing w:before="80" w:line="240" w:lineRule="auto"/>
        <w:jc w:val="both"/>
        <w:rPr>
          <w:szCs w:val="22"/>
        </w:rPr>
      </w:pPr>
      <w:r>
        <w:t>ošetřujícím veterinárním lékařem.</w:t>
      </w:r>
    </w:p>
    <w:p w14:paraId="31E96AE4" w14:textId="77777777" w:rsidR="00AC72CC" w:rsidRPr="008475C4" w:rsidRDefault="00AC72CC" w:rsidP="00AC72CC">
      <w:pPr>
        <w:spacing w:before="80" w:line="240" w:lineRule="auto"/>
        <w:jc w:val="both"/>
        <w:rPr>
          <w:iCs/>
        </w:rPr>
      </w:pPr>
      <w:r>
        <w:t>Tablety jsou ochuceny. Aby se zabránilo náhodnému požití, uchovávejte tablety mimo dosah zvířat.</w:t>
      </w:r>
      <w:bookmarkEnd w:id="2"/>
      <w:bookmarkEnd w:id="3"/>
    </w:p>
    <w:p w14:paraId="21432210" w14:textId="77777777" w:rsidR="001F7A06" w:rsidRPr="005A2642" w:rsidRDefault="001F7A06" w:rsidP="0043320A">
      <w:pPr>
        <w:tabs>
          <w:tab w:val="clear" w:pos="567"/>
        </w:tabs>
        <w:spacing w:line="240" w:lineRule="auto"/>
        <w:rPr>
          <w:szCs w:val="22"/>
        </w:rPr>
      </w:pPr>
    </w:p>
    <w:p w14:paraId="20A12E00" w14:textId="3791F16E" w:rsidR="0043320A" w:rsidRPr="005A2642" w:rsidRDefault="0043320A" w:rsidP="00F4119A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 xml:space="preserve">Zvláštní opatření určené osobám, které podávají veterinární léčivý přípravek zvířatům: </w:t>
      </w:r>
    </w:p>
    <w:p w14:paraId="4A0C27E3" w14:textId="4AA0F4C0" w:rsidR="008B3B67" w:rsidRPr="005A2642" w:rsidRDefault="008B3B67" w:rsidP="008B3B67">
      <w:pPr>
        <w:pStyle w:val="Odstavecseseznamem"/>
        <w:tabs>
          <w:tab w:val="left" w:pos="835"/>
          <w:tab w:val="left" w:pos="836"/>
        </w:tabs>
        <w:ind w:left="0"/>
        <w:rPr>
          <w:szCs w:val="22"/>
        </w:rPr>
      </w:pPr>
      <w:r>
        <w:t xml:space="preserve">Tento přípravek může vyvolat reakce </w:t>
      </w:r>
      <w:r w:rsidR="00BD6CD2">
        <w:t xml:space="preserve">z </w:t>
      </w:r>
      <w:r>
        <w:t xml:space="preserve">přecitlivělosti. Lidé se známou přecitlivělostí na </w:t>
      </w:r>
      <w:proofErr w:type="spellStart"/>
      <w:r>
        <w:t>amlodipin</w:t>
      </w:r>
      <w:proofErr w:type="spellEnd"/>
      <w:r>
        <w:t xml:space="preserve"> by se měli vyhnout kontaktu s veterinárním léčivým přípravkem. Po použití si umyjte ruce.</w:t>
      </w:r>
    </w:p>
    <w:p w14:paraId="4F631824" w14:textId="3F104333" w:rsidR="008B3B67" w:rsidRPr="005A2642" w:rsidRDefault="008B3B67" w:rsidP="008B3B67">
      <w:pPr>
        <w:pStyle w:val="Odstavecseseznamem"/>
        <w:tabs>
          <w:tab w:val="left" w:pos="835"/>
          <w:tab w:val="left" w:pos="836"/>
        </w:tabs>
        <w:ind w:left="0"/>
        <w:rPr>
          <w:szCs w:val="22"/>
        </w:rPr>
      </w:pPr>
      <w:r>
        <w:t>U dětí může v případě náhodného po</w:t>
      </w:r>
      <w:r w:rsidR="00BD6CD2">
        <w:t>žití</w:t>
      </w:r>
      <w:r>
        <w:t xml:space="preserve"> dojít k poklesu krevního tlaku. Nepoužité části tablet </w:t>
      </w:r>
      <w:r w:rsidR="00BD0978">
        <w:t xml:space="preserve">vraťte </w:t>
      </w:r>
      <w:r>
        <w:t>zpět do blistru a do krabičky a uchováv</w:t>
      </w:r>
      <w:r w:rsidR="00BD0978">
        <w:t xml:space="preserve">ejte </w:t>
      </w:r>
      <w:r>
        <w:t>mimo dosah dětí. V případě náhodného po</w:t>
      </w:r>
      <w:r w:rsidR="00BD0978">
        <w:t>žití</w:t>
      </w:r>
      <w:r>
        <w:t xml:space="preserve"> dítětem vyhledejte ihned lékařskou pomoc a ukažte příbalovou informaci nebo etiketu praktickému lékaři.</w:t>
      </w:r>
    </w:p>
    <w:p w14:paraId="626E73D0" w14:textId="67586EEB" w:rsidR="0043320A" w:rsidRPr="005A2642" w:rsidRDefault="0043320A" w:rsidP="00757684">
      <w:pPr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</w:p>
    <w:p w14:paraId="425DED25" w14:textId="69EC3EA5" w:rsidR="0043320A" w:rsidRPr="00A972CC" w:rsidRDefault="0043320A" w:rsidP="00F4119A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Březost a laktace:</w:t>
      </w:r>
    </w:p>
    <w:p w14:paraId="21D8DF21" w14:textId="77777777" w:rsidR="00AC72CC" w:rsidRPr="00432C5B" w:rsidRDefault="00AC72CC" w:rsidP="00AC72CC">
      <w:pPr>
        <w:tabs>
          <w:tab w:val="clear" w:pos="567"/>
        </w:tabs>
        <w:spacing w:line="240" w:lineRule="auto"/>
        <w:rPr>
          <w:szCs w:val="22"/>
        </w:rPr>
      </w:pPr>
      <w:r w:rsidRPr="00DC14BF">
        <w:t>Laboratorní studie u</w:t>
      </w:r>
      <w:r w:rsidRPr="00D40DDD">
        <w:t xml:space="preserve"> potkanů a králíků </w:t>
      </w:r>
      <w:r w:rsidRPr="00DC14BF">
        <w:t>nepodaly důkaz o teratogenním účinku anebo reprodukční toxicitě</w:t>
      </w:r>
      <w:r>
        <w:rPr>
          <w:rFonts w:ascii="Arial" w:hAnsi="Arial" w:cs="Arial"/>
        </w:rPr>
        <w:t>.</w:t>
      </w:r>
      <w:r w:rsidRPr="004C77E9" w:rsidDel="004C77E9">
        <w:rPr>
          <w:rFonts w:ascii="Arial" w:hAnsi="Arial" w:cs="Arial"/>
        </w:rPr>
        <w:t xml:space="preserve"> </w:t>
      </w:r>
      <w:r>
        <w:t xml:space="preserve"> </w:t>
      </w:r>
      <w:proofErr w:type="spellStart"/>
      <w:r>
        <w:t>Amlodipin</w:t>
      </w:r>
      <w:proofErr w:type="spellEnd"/>
      <w:r>
        <w:t xml:space="preserve"> se vylučuje do mléka.</w:t>
      </w:r>
    </w:p>
    <w:p w14:paraId="17F4A65E" w14:textId="77777777" w:rsidR="00AC72CC" w:rsidRDefault="00AC72CC" w:rsidP="00AC72CC">
      <w:pPr>
        <w:tabs>
          <w:tab w:val="clear" w:pos="567"/>
          <w:tab w:val="left" w:pos="708"/>
        </w:tabs>
        <w:jc w:val="both"/>
      </w:pPr>
      <w:r w:rsidRPr="00DC14BF">
        <w:t xml:space="preserve">Bezpečnost </w:t>
      </w:r>
      <w:proofErr w:type="spellStart"/>
      <w:r w:rsidRPr="00DC14BF">
        <w:t>amlodipinu</w:t>
      </w:r>
      <w:proofErr w:type="spellEnd"/>
      <w:r w:rsidRPr="00DC14BF">
        <w:t xml:space="preserve"> nebyla stanovena během březosti a laktace u koček. </w:t>
      </w:r>
    </w:p>
    <w:p w14:paraId="1F9F3287" w14:textId="77777777" w:rsidR="00AC72CC" w:rsidRPr="00DC14BF" w:rsidRDefault="00AC72CC" w:rsidP="00AC72CC">
      <w:pPr>
        <w:tabs>
          <w:tab w:val="clear" w:pos="567"/>
          <w:tab w:val="left" w:pos="708"/>
        </w:tabs>
        <w:jc w:val="both"/>
      </w:pPr>
      <w:r w:rsidRPr="00DC14BF">
        <w:t>Použít pouze po zvážení poměru terapeutického prospěchu a rizika příslušným veterinárním lékařem.</w:t>
      </w:r>
    </w:p>
    <w:p w14:paraId="285F8494" w14:textId="77777777" w:rsidR="0043320A" w:rsidRPr="005A2642" w:rsidRDefault="0043320A" w:rsidP="0043320A">
      <w:pPr>
        <w:tabs>
          <w:tab w:val="clear" w:pos="567"/>
        </w:tabs>
        <w:spacing w:line="240" w:lineRule="auto"/>
        <w:rPr>
          <w:szCs w:val="22"/>
        </w:rPr>
      </w:pPr>
    </w:p>
    <w:p w14:paraId="2B554FCF" w14:textId="4919FF77" w:rsidR="0043320A" w:rsidRPr="005A2642" w:rsidRDefault="0043320A" w:rsidP="00F4119A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lastRenderedPageBreak/>
        <w:t>Interakce s dalšími léčivými přípravky a další formy interakce:</w:t>
      </w:r>
    </w:p>
    <w:p w14:paraId="45E48804" w14:textId="77777777" w:rsidR="00AC72CC" w:rsidRPr="00432C5B" w:rsidRDefault="00AC72CC" w:rsidP="00AC72CC">
      <w:pPr>
        <w:spacing w:line="240" w:lineRule="auto"/>
        <w:jc w:val="both"/>
        <w:rPr>
          <w:szCs w:val="22"/>
        </w:rPr>
      </w:pPr>
      <w:r>
        <w:t>Souběžné použití diuretik, beta-blokátorů, jiných</w:t>
      </w:r>
      <w:r w:rsidRPr="00DC14BF">
        <w:t xml:space="preserve"> </w:t>
      </w:r>
      <w:r>
        <w:t>blokátorů kalciového kanálu, inhibitorů renin-</w:t>
      </w:r>
      <w:proofErr w:type="spellStart"/>
      <w:r>
        <w:t>angiotenzin</w:t>
      </w:r>
      <w:proofErr w:type="spellEnd"/>
      <w:r>
        <w:t xml:space="preserve">-aldosteronového systému, jiných vazodilatátorů, agonistů alfa-2 nebo dalších přípravků, </w:t>
      </w:r>
      <w:r w:rsidRPr="00DC14BF">
        <w:t xml:space="preserve">které mohou </w:t>
      </w:r>
      <w:r>
        <w:t>snižovat</w:t>
      </w:r>
      <w:r w:rsidRPr="00EC7D51">
        <w:t xml:space="preserve"> krevní</w:t>
      </w:r>
      <w:r w:rsidRPr="00DC14BF">
        <w:t xml:space="preserve"> tlak</w:t>
      </w:r>
      <w:r>
        <w:t>,</w:t>
      </w:r>
      <w:r w:rsidRPr="00DC14BF">
        <w:t xml:space="preserve"> může způsobit hypotenzi</w:t>
      </w:r>
      <w:r>
        <w:rPr>
          <w:rFonts w:ascii="Arial" w:hAnsi="Arial"/>
        </w:rPr>
        <w:t xml:space="preserve">. </w:t>
      </w:r>
      <w:r>
        <w:t>Souběžné použití cyklosporinu nebo silných inhibitorů CYP3A4 (např. </w:t>
      </w:r>
      <w:proofErr w:type="spellStart"/>
      <w:r>
        <w:t>ketokonazolu</w:t>
      </w:r>
      <w:proofErr w:type="spellEnd"/>
      <w:r>
        <w:t xml:space="preserve"> nebo </w:t>
      </w:r>
      <w:proofErr w:type="spellStart"/>
      <w:r>
        <w:t>itrakonazolu</w:t>
      </w:r>
      <w:proofErr w:type="spellEnd"/>
      <w:r>
        <w:t xml:space="preserve">) může zvyšovat koncentraci </w:t>
      </w:r>
      <w:proofErr w:type="spellStart"/>
      <w:r>
        <w:t>amlodipinu</w:t>
      </w:r>
      <w:proofErr w:type="spellEnd"/>
      <w:r>
        <w:t xml:space="preserve">. </w:t>
      </w:r>
    </w:p>
    <w:p w14:paraId="1DB01ABD" w14:textId="77777777" w:rsidR="00931C2D" w:rsidRPr="005A2642" w:rsidRDefault="00931C2D" w:rsidP="0043320A">
      <w:pPr>
        <w:tabs>
          <w:tab w:val="clear" w:pos="567"/>
        </w:tabs>
        <w:spacing w:line="240" w:lineRule="auto"/>
        <w:rPr>
          <w:szCs w:val="22"/>
        </w:rPr>
      </w:pPr>
    </w:p>
    <w:p w14:paraId="02E38036" w14:textId="30DDB914" w:rsidR="0043320A" w:rsidRPr="005A2642" w:rsidRDefault="0043320A" w:rsidP="00F4119A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Předávkování (symptomy, první pomoc, antidota)</w:t>
      </w:r>
      <w:r>
        <w:t>:</w:t>
      </w:r>
    </w:p>
    <w:p w14:paraId="2E833D88" w14:textId="4B043B16" w:rsidR="00AC72CC" w:rsidRPr="004352E7" w:rsidRDefault="00AC72CC" w:rsidP="00AC72CC">
      <w:pPr>
        <w:spacing w:line="240" w:lineRule="auto"/>
        <w:jc w:val="both"/>
        <w:rPr>
          <w:szCs w:val="22"/>
        </w:rPr>
      </w:pPr>
      <w:bookmarkStart w:id="4" w:name="_Hlk16583763"/>
      <w:bookmarkStart w:id="5" w:name="_Hlk16583447"/>
      <w:r>
        <w:t>Při podání dávky 1 mg denně (odpovídá 0,32 mg/kg) bylo zaznamenáno nechutenství a úbytek živé hmotnosti.</w:t>
      </w:r>
    </w:p>
    <w:p w14:paraId="7BDC54E2" w14:textId="77777777" w:rsidR="00AC72CC" w:rsidRPr="004352E7" w:rsidRDefault="00AC72CC" w:rsidP="00AC72C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U některých koček, jimž byla podána dávka 3 mg </w:t>
      </w:r>
      <w:proofErr w:type="spellStart"/>
      <w:r>
        <w:t>amlodipinu</w:t>
      </w:r>
      <w:proofErr w:type="spellEnd"/>
      <w:r>
        <w:t xml:space="preserve"> denně (0,63 - 1,11 mg/kg/den), se začala projevovat letargie.</w:t>
      </w:r>
    </w:p>
    <w:p w14:paraId="4EB15112" w14:textId="77777777" w:rsidR="00AC72CC" w:rsidRPr="004352E7" w:rsidRDefault="00AC72CC" w:rsidP="00AC72C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U všech zvířat, jimž byla podána dávka 3 až 5 mg </w:t>
      </w:r>
      <w:proofErr w:type="spellStart"/>
      <w:r>
        <w:t>amlodipinu</w:t>
      </w:r>
      <w:proofErr w:type="spellEnd"/>
      <w:r>
        <w:t xml:space="preserve"> denně (0,49 - 1,56 mg/ kg), byla zaznamenána celková změna v rovnováze elektrolytů (snížení hladiny draslíku a chloridu).</w:t>
      </w:r>
    </w:p>
    <w:p w14:paraId="037FF9D5" w14:textId="77777777" w:rsidR="00AC72CC" w:rsidRPr="004352E7" w:rsidRDefault="00AC72CC" w:rsidP="00AC72C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U zvířat, kterým byla podána nejvyšší dávka, tj. 1,02 až 1,47 mg/kg, byla zaznamenána konjunktivitida a vodnatý výtok z očí; není však  zřejmé, zda souviselo s léčbou</w:t>
      </w:r>
      <w:bookmarkEnd w:id="4"/>
      <w:r>
        <w:t>.</w:t>
      </w:r>
    </w:p>
    <w:p w14:paraId="5FA00F22" w14:textId="77777777" w:rsidR="00AC72CC" w:rsidRPr="004352E7" w:rsidRDefault="00AC72CC" w:rsidP="00AC72CC">
      <w:pPr>
        <w:tabs>
          <w:tab w:val="clear" w:pos="567"/>
        </w:tabs>
        <w:spacing w:line="240" w:lineRule="auto"/>
        <w:jc w:val="both"/>
        <w:rPr>
          <w:iCs/>
        </w:rPr>
      </w:pPr>
      <w:bookmarkStart w:id="6" w:name="_Hlk37244567"/>
      <w:bookmarkEnd w:id="5"/>
      <w:r>
        <w:t>V </w:t>
      </w:r>
      <w:bookmarkStart w:id="7" w:name="_Hlk47517722"/>
      <w:r>
        <w:t xml:space="preserve">literatuře byly po podání 2,5 mg </w:t>
      </w:r>
      <w:proofErr w:type="spellStart"/>
      <w:r>
        <w:t>amlodipinu</w:t>
      </w:r>
      <w:proofErr w:type="spellEnd"/>
      <w:r>
        <w:t xml:space="preserve"> denně po dobu delší než 300 dnů popsány případy reverzibilní hyperplazie.</w:t>
      </w:r>
      <w:bookmarkEnd w:id="7"/>
    </w:p>
    <w:bookmarkEnd w:id="6"/>
    <w:p w14:paraId="66AE29B5" w14:textId="4282FA64" w:rsidR="00CF2807" w:rsidRDefault="00CF2807" w:rsidP="005A2642">
      <w:pPr>
        <w:tabs>
          <w:tab w:val="clear" w:pos="567"/>
        </w:tabs>
        <w:spacing w:line="240" w:lineRule="auto"/>
        <w:rPr>
          <w:szCs w:val="22"/>
        </w:rPr>
      </w:pPr>
    </w:p>
    <w:p w14:paraId="1D14F259" w14:textId="47908B00" w:rsidR="00CF2807" w:rsidRPr="00432C5B" w:rsidRDefault="00CF2807" w:rsidP="00A972CC">
      <w:pPr>
        <w:keepNext/>
        <w:keepLines/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Inkompatibility:</w:t>
      </w:r>
    </w:p>
    <w:p w14:paraId="47A20903" w14:textId="088A3CD7" w:rsidR="00CF2807" w:rsidRPr="00432C5B" w:rsidRDefault="00CF2807" w:rsidP="00CF2807">
      <w:pPr>
        <w:tabs>
          <w:tab w:val="clear" w:pos="567"/>
        </w:tabs>
        <w:spacing w:line="240" w:lineRule="auto"/>
        <w:rPr>
          <w:szCs w:val="22"/>
        </w:rPr>
      </w:pPr>
      <w:r>
        <w:t>Neuplatňuje se.</w:t>
      </w:r>
    </w:p>
    <w:p w14:paraId="35CCAEE9" w14:textId="77777777" w:rsidR="00CF2807" w:rsidRPr="005A2642" w:rsidRDefault="00CF2807" w:rsidP="005A2642">
      <w:pPr>
        <w:tabs>
          <w:tab w:val="clear" w:pos="567"/>
        </w:tabs>
        <w:spacing w:line="240" w:lineRule="auto"/>
        <w:rPr>
          <w:szCs w:val="22"/>
        </w:rPr>
      </w:pPr>
    </w:p>
    <w:p w14:paraId="469CF923" w14:textId="77777777" w:rsidR="00C114FF" w:rsidRPr="005A2642" w:rsidRDefault="00C114FF" w:rsidP="00A4313D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13.</w:t>
      </w:r>
      <w:r>
        <w:rPr>
          <w:b/>
        </w:rPr>
        <w:tab/>
        <w:t>ZVLÁŠTNÍ OPATŘENÍ PRO ZNEŠKODŇOVÁNÍ NEPOUŽITÝCH PŘÍPRAVKŮ NEBO ODPADU, POKUD JE JICH TŘEBA</w:t>
      </w:r>
    </w:p>
    <w:p w14:paraId="0F0E8132" w14:textId="77777777" w:rsidR="00C114FF" w:rsidRPr="005A2642" w:rsidRDefault="00C114FF" w:rsidP="00F4119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39DF8BC" w14:textId="1D2D4688" w:rsidR="001A3506" w:rsidRPr="005A2642" w:rsidRDefault="004F6A07" w:rsidP="001A3506">
      <w:pPr>
        <w:tabs>
          <w:tab w:val="clear" w:pos="567"/>
        </w:tabs>
        <w:spacing w:line="240" w:lineRule="auto"/>
        <w:rPr>
          <w:szCs w:val="22"/>
        </w:rPr>
      </w:pPr>
      <w:r>
        <w:t xml:space="preserve">O možnostech likvidace nepotřebných léčivých přípravků se poraďte s vaším veterinárním lékařem. </w:t>
      </w:r>
      <w:r w:rsidR="001A3506">
        <w:t xml:space="preserve">Tato opatření </w:t>
      </w:r>
      <w:r>
        <w:t>na</w:t>
      </w:r>
      <w:r w:rsidR="001A3506">
        <w:t>pomáhají chránit životní prostředí.</w:t>
      </w:r>
    </w:p>
    <w:p w14:paraId="493F31BE" w14:textId="77777777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6429E8" w14:textId="77777777" w:rsidR="00C114FF" w:rsidRPr="005A2642" w:rsidRDefault="00C114FF" w:rsidP="00F4119A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14.</w:t>
      </w:r>
      <w:r>
        <w:rPr>
          <w:b/>
        </w:rPr>
        <w:tab/>
        <w:t>DATUM POSLEDNÍ REVIZE PŘÍBALOVÉ INFORMACE</w:t>
      </w:r>
    </w:p>
    <w:p w14:paraId="292A63F4" w14:textId="5B9DE8E7" w:rsidR="00757684" w:rsidRDefault="00757684" w:rsidP="00F4119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3FCD94F" w14:textId="62B5CF44" w:rsidR="005A2642" w:rsidRDefault="00C97FA2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Říjen 2020</w:t>
      </w:r>
    </w:p>
    <w:p w14:paraId="206262EA" w14:textId="77777777" w:rsidR="005A2642" w:rsidRPr="005A2642" w:rsidRDefault="005A264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30C611" w14:textId="2A47317D" w:rsidR="00C114FF" w:rsidRPr="005A2642" w:rsidRDefault="00C114FF" w:rsidP="00F4119A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15.</w:t>
      </w:r>
      <w:r>
        <w:rPr>
          <w:b/>
        </w:rPr>
        <w:tab/>
        <w:t>DALŠÍ INFORMACE</w:t>
      </w:r>
    </w:p>
    <w:p w14:paraId="7E2B4985" w14:textId="77777777" w:rsidR="00C114FF" w:rsidRPr="005A2642" w:rsidRDefault="00C114FF" w:rsidP="00F4119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D320BA2" w14:textId="049370C7" w:rsidR="004F28C1" w:rsidRDefault="004F28C1" w:rsidP="004F28C1">
      <w:r>
        <w:t>Pouze pro zvířata.</w:t>
      </w:r>
    </w:p>
    <w:p w14:paraId="43F525E9" w14:textId="77777777" w:rsidR="004F28C1" w:rsidRDefault="004F28C1" w:rsidP="004F28C1">
      <w:r>
        <w:t>Veterinární léčivý přípravek je vydáván pouze na předpis.</w:t>
      </w:r>
    </w:p>
    <w:p w14:paraId="2EBC303D" w14:textId="77777777" w:rsidR="004F28C1" w:rsidRDefault="004F28C1" w:rsidP="00A9226B">
      <w:pPr>
        <w:tabs>
          <w:tab w:val="clear" w:pos="567"/>
        </w:tabs>
        <w:spacing w:line="240" w:lineRule="auto"/>
      </w:pPr>
    </w:p>
    <w:p w14:paraId="6CFC211D" w14:textId="1370B7B6" w:rsidR="0026765C" w:rsidRPr="005A2642" w:rsidRDefault="001F32E0" w:rsidP="00A9226B">
      <w:pPr>
        <w:tabs>
          <w:tab w:val="clear" w:pos="567"/>
        </w:tabs>
        <w:spacing w:line="240" w:lineRule="auto"/>
        <w:rPr>
          <w:szCs w:val="22"/>
        </w:rPr>
      </w:pPr>
      <w:r>
        <w:t>Papírová krabička</w:t>
      </w:r>
      <w:r w:rsidR="0026765C">
        <w:t xml:space="preserve"> s 28, 56, 84 nebo 168 tabletami.</w:t>
      </w:r>
    </w:p>
    <w:p w14:paraId="575A8F78" w14:textId="37D9FE08" w:rsidR="00C114FF" w:rsidRPr="005A2642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r>
        <w:t xml:space="preserve">Na trhu nemusí být všechny velikosti balení. </w:t>
      </w:r>
    </w:p>
    <w:p w14:paraId="7FFAA602" w14:textId="77777777" w:rsidR="00561CCE" w:rsidRPr="005A2642" w:rsidRDefault="00561CCE" w:rsidP="00561CCE">
      <w:pPr>
        <w:tabs>
          <w:tab w:val="clear" w:pos="567"/>
        </w:tabs>
        <w:spacing w:line="240" w:lineRule="auto"/>
        <w:rPr>
          <w:szCs w:val="22"/>
        </w:rPr>
      </w:pPr>
    </w:p>
    <w:p w14:paraId="44DE2FE0" w14:textId="473CBBBA" w:rsidR="00561CCE" w:rsidRPr="005A2642" w:rsidRDefault="00561CCE" w:rsidP="00561CCE">
      <w:pPr>
        <w:tabs>
          <w:tab w:val="clear" w:pos="567"/>
        </w:tabs>
        <w:spacing w:line="240" w:lineRule="auto"/>
        <w:rPr>
          <w:szCs w:val="22"/>
        </w:rPr>
      </w:pPr>
      <w:r>
        <w:t>Pokud chcete získat informace o tomto veterinárním léčivém přípravku, kontaktujte prosím příslušného místního zástupce držitele rozhodnutí o registraci.</w:t>
      </w:r>
    </w:p>
    <w:p w14:paraId="40F34615" w14:textId="0076AEDA" w:rsidR="00561CCE" w:rsidRDefault="00561CC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1E92DF" w14:textId="441E87B0" w:rsidR="00DE1F76" w:rsidRPr="00474C50" w:rsidRDefault="00DE1F76" w:rsidP="00DE1F76">
      <w:pPr>
        <w:tabs>
          <w:tab w:val="clear" w:pos="567"/>
        </w:tabs>
        <w:spacing w:line="240" w:lineRule="auto"/>
        <w:rPr>
          <w:szCs w:val="22"/>
        </w:rPr>
      </w:pPr>
    </w:p>
    <w:sectPr w:rsidR="00DE1F76" w:rsidRPr="00474C50" w:rsidSect="007F2F03">
      <w:headerReference w:type="default" r:id="rId9"/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65BD06" w14:textId="77777777" w:rsidR="008E6FA4" w:rsidRDefault="008E6FA4">
      <w:r>
        <w:separator/>
      </w:r>
    </w:p>
  </w:endnote>
  <w:endnote w:type="continuationSeparator" w:id="0">
    <w:p w14:paraId="3C9DC602" w14:textId="77777777" w:rsidR="008E6FA4" w:rsidRDefault="008E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1D839" w14:textId="765B077D" w:rsidR="00C77FA4" w:rsidRPr="00B94A1B" w:rsidRDefault="00C77FA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301A9E">
      <w:rPr>
        <w:rFonts w:ascii="Times New Roman" w:hAnsi="Times New Roman"/>
        <w:noProof/>
      </w:rPr>
      <w:t>4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7F993" w14:textId="77777777" w:rsidR="00C77FA4" w:rsidRDefault="00C77FA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 w:rsidR="00495CAE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02E74" w14:textId="77777777" w:rsidR="008E6FA4" w:rsidRDefault="008E6FA4">
      <w:r>
        <w:separator/>
      </w:r>
    </w:p>
  </w:footnote>
  <w:footnote w:type="continuationSeparator" w:id="0">
    <w:p w14:paraId="4EB40633" w14:textId="77777777" w:rsidR="008E6FA4" w:rsidRDefault="008E6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B83D7" w14:textId="5C72E9D4" w:rsidR="00B94A1C" w:rsidRDefault="00B94A1C" w:rsidP="00B94A1C">
    <w:pPr>
      <w:pStyle w:val="Zhlav"/>
    </w:pPr>
  </w:p>
  <w:p w14:paraId="2FFD46DA" w14:textId="77777777" w:rsidR="00B94A1C" w:rsidRDefault="00B94A1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9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2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>
    <w:nsid w:val="5A3F65D8"/>
    <w:multiLevelType w:val="multilevel"/>
    <w:tmpl w:val="A02E932A"/>
    <w:numStyleLink w:val="BulletsAgency"/>
  </w:abstractNum>
  <w:abstractNum w:abstractNumId="25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6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8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9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1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2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1"/>
  </w:num>
  <w:num w:numId="4">
    <w:abstractNumId w:val="30"/>
  </w:num>
  <w:num w:numId="5">
    <w:abstractNumId w:val="13"/>
  </w:num>
  <w:num w:numId="6">
    <w:abstractNumId w:val="23"/>
  </w:num>
  <w:num w:numId="7">
    <w:abstractNumId w:val="18"/>
  </w:num>
  <w:num w:numId="8">
    <w:abstractNumId w:val="9"/>
  </w:num>
  <w:num w:numId="9">
    <w:abstractNumId w:val="28"/>
  </w:num>
  <w:num w:numId="10">
    <w:abstractNumId w:val="29"/>
  </w:num>
  <w:num w:numId="11">
    <w:abstractNumId w:val="15"/>
  </w:num>
  <w:num w:numId="12">
    <w:abstractNumId w:val="14"/>
  </w:num>
  <w:num w:numId="13">
    <w:abstractNumId w:val="3"/>
  </w:num>
  <w:num w:numId="14">
    <w:abstractNumId w:val="27"/>
  </w:num>
  <w:num w:numId="15">
    <w:abstractNumId w:val="17"/>
  </w:num>
  <w:num w:numId="16">
    <w:abstractNumId w:val="32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5"/>
  </w:num>
  <w:num w:numId="23">
    <w:abstractNumId w:val="33"/>
  </w:num>
  <w:num w:numId="24">
    <w:abstractNumId w:val="20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1"/>
  </w:num>
  <w:num w:numId="30">
    <w:abstractNumId w:val="34"/>
  </w:num>
  <w:num w:numId="31">
    <w:abstractNumId w:val="35"/>
  </w:num>
  <w:num w:numId="32">
    <w:abstractNumId w:val="19"/>
  </w:num>
  <w:num w:numId="33">
    <w:abstractNumId w:val="26"/>
  </w:num>
  <w:num w:numId="34">
    <w:abstractNumId w:val="22"/>
  </w:num>
  <w:num w:numId="35">
    <w:abstractNumId w:val="2"/>
  </w:num>
  <w:num w:numId="36">
    <w:abstractNumId w:val="5"/>
  </w:num>
  <w:num w:numId="37">
    <w:abstractNumId w:val="2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rávková Věra">
    <w15:presenceInfo w15:providerId="AD" w15:userId="S-1-5-21-1482476501-1326574676-839522115-2109"/>
  </w15:person>
  <w15:person w15:author="Pomezná Eva">
    <w15:presenceInfo w15:providerId="AD" w15:userId="S-1-5-21-1482476501-1326574676-839522115-1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32FB3"/>
    <w:rsid w:val="00033DBE"/>
    <w:rsid w:val="00036C50"/>
    <w:rsid w:val="00045C72"/>
    <w:rsid w:val="0005067B"/>
    <w:rsid w:val="00051D61"/>
    <w:rsid w:val="00052D2B"/>
    <w:rsid w:val="00054F55"/>
    <w:rsid w:val="00062945"/>
    <w:rsid w:val="00065ECC"/>
    <w:rsid w:val="00080453"/>
    <w:rsid w:val="0008169A"/>
    <w:rsid w:val="000860CE"/>
    <w:rsid w:val="00092A37"/>
    <w:rsid w:val="000938A6"/>
    <w:rsid w:val="000968FC"/>
    <w:rsid w:val="00097C1E"/>
    <w:rsid w:val="000A1DF5"/>
    <w:rsid w:val="000B3844"/>
    <w:rsid w:val="000B7873"/>
    <w:rsid w:val="000C02A1"/>
    <w:rsid w:val="000C1D4F"/>
    <w:rsid w:val="000C687A"/>
    <w:rsid w:val="000D67D0"/>
    <w:rsid w:val="000E195C"/>
    <w:rsid w:val="000E3602"/>
    <w:rsid w:val="000F38DA"/>
    <w:rsid w:val="000F5822"/>
    <w:rsid w:val="000F7631"/>
    <w:rsid w:val="000F796B"/>
    <w:rsid w:val="0010031E"/>
    <w:rsid w:val="001012EB"/>
    <w:rsid w:val="001078D1"/>
    <w:rsid w:val="00107AFD"/>
    <w:rsid w:val="00111A94"/>
    <w:rsid w:val="00115782"/>
    <w:rsid w:val="00116AA1"/>
    <w:rsid w:val="00124F36"/>
    <w:rsid w:val="00125230"/>
    <w:rsid w:val="00125666"/>
    <w:rsid w:val="00125C80"/>
    <w:rsid w:val="00133C29"/>
    <w:rsid w:val="0013799F"/>
    <w:rsid w:val="00140DF6"/>
    <w:rsid w:val="00145C3F"/>
    <w:rsid w:val="00145D34"/>
    <w:rsid w:val="00146284"/>
    <w:rsid w:val="0014690F"/>
    <w:rsid w:val="0015098E"/>
    <w:rsid w:val="001530D4"/>
    <w:rsid w:val="001674D3"/>
    <w:rsid w:val="00170E80"/>
    <w:rsid w:val="00173264"/>
    <w:rsid w:val="00175264"/>
    <w:rsid w:val="001803D2"/>
    <w:rsid w:val="0018228B"/>
    <w:rsid w:val="00185B50"/>
    <w:rsid w:val="0018625C"/>
    <w:rsid w:val="00187DE7"/>
    <w:rsid w:val="00187E62"/>
    <w:rsid w:val="00192045"/>
    <w:rsid w:val="00193B14"/>
    <w:rsid w:val="00193E72"/>
    <w:rsid w:val="00195267"/>
    <w:rsid w:val="0019600B"/>
    <w:rsid w:val="0019686E"/>
    <w:rsid w:val="001A0E2C"/>
    <w:rsid w:val="001A28C9"/>
    <w:rsid w:val="001A34BC"/>
    <w:rsid w:val="001A3506"/>
    <w:rsid w:val="001B1C77"/>
    <w:rsid w:val="001B4E75"/>
    <w:rsid w:val="001B6F4A"/>
    <w:rsid w:val="001C5288"/>
    <w:rsid w:val="001C5B03"/>
    <w:rsid w:val="001D6D96"/>
    <w:rsid w:val="001E5621"/>
    <w:rsid w:val="001F32E0"/>
    <w:rsid w:val="001F3EF9"/>
    <w:rsid w:val="001F4738"/>
    <w:rsid w:val="001F627D"/>
    <w:rsid w:val="001F6622"/>
    <w:rsid w:val="001F723C"/>
    <w:rsid w:val="001F7A06"/>
    <w:rsid w:val="00200D33"/>
    <w:rsid w:val="0020126C"/>
    <w:rsid w:val="002100FC"/>
    <w:rsid w:val="00212BBA"/>
    <w:rsid w:val="00213890"/>
    <w:rsid w:val="002142F1"/>
    <w:rsid w:val="00214E52"/>
    <w:rsid w:val="002207C0"/>
    <w:rsid w:val="00224B93"/>
    <w:rsid w:val="00225FA4"/>
    <w:rsid w:val="00231C1E"/>
    <w:rsid w:val="0023676E"/>
    <w:rsid w:val="002414B6"/>
    <w:rsid w:val="002422EB"/>
    <w:rsid w:val="00242397"/>
    <w:rsid w:val="002434CC"/>
    <w:rsid w:val="00247BD5"/>
    <w:rsid w:val="00250DD1"/>
    <w:rsid w:val="00251183"/>
    <w:rsid w:val="00251689"/>
    <w:rsid w:val="0025267C"/>
    <w:rsid w:val="00253B6B"/>
    <w:rsid w:val="00255AEC"/>
    <w:rsid w:val="00265656"/>
    <w:rsid w:val="00265E77"/>
    <w:rsid w:val="00266155"/>
    <w:rsid w:val="0026765C"/>
    <w:rsid w:val="002677AF"/>
    <w:rsid w:val="0027270B"/>
    <w:rsid w:val="00274172"/>
    <w:rsid w:val="002838C8"/>
    <w:rsid w:val="002905E2"/>
    <w:rsid w:val="00290805"/>
    <w:rsid w:val="00290C2A"/>
    <w:rsid w:val="002931DD"/>
    <w:rsid w:val="0029510C"/>
    <w:rsid w:val="002A0E7C"/>
    <w:rsid w:val="002A21ED"/>
    <w:rsid w:val="002A3F88"/>
    <w:rsid w:val="002B0F11"/>
    <w:rsid w:val="002B26C5"/>
    <w:rsid w:val="002C0960"/>
    <w:rsid w:val="002C55FF"/>
    <w:rsid w:val="002C592B"/>
    <w:rsid w:val="002E3A90"/>
    <w:rsid w:val="002E46CC"/>
    <w:rsid w:val="002E4F48"/>
    <w:rsid w:val="002E62CB"/>
    <w:rsid w:val="002E6DF1"/>
    <w:rsid w:val="002E6ED9"/>
    <w:rsid w:val="002F0957"/>
    <w:rsid w:val="002F41AD"/>
    <w:rsid w:val="002F43F6"/>
    <w:rsid w:val="002F71D5"/>
    <w:rsid w:val="00301A9E"/>
    <w:rsid w:val="003020BB"/>
    <w:rsid w:val="00304393"/>
    <w:rsid w:val="003052BA"/>
    <w:rsid w:val="00305AB2"/>
    <w:rsid w:val="00307FD0"/>
    <w:rsid w:val="0031032B"/>
    <w:rsid w:val="00311888"/>
    <w:rsid w:val="00314B2A"/>
    <w:rsid w:val="00316E87"/>
    <w:rsid w:val="0032453E"/>
    <w:rsid w:val="00325053"/>
    <w:rsid w:val="003256AC"/>
    <w:rsid w:val="0033129D"/>
    <w:rsid w:val="003320ED"/>
    <w:rsid w:val="0033480E"/>
    <w:rsid w:val="00337123"/>
    <w:rsid w:val="00341866"/>
    <w:rsid w:val="003535E0"/>
    <w:rsid w:val="00366F56"/>
    <w:rsid w:val="003737C8"/>
    <w:rsid w:val="0037589D"/>
    <w:rsid w:val="00376BB1"/>
    <w:rsid w:val="00377258"/>
    <w:rsid w:val="00377E23"/>
    <w:rsid w:val="0038277C"/>
    <w:rsid w:val="003909E0"/>
    <w:rsid w:val="00393E09"/>
    <w:rsid w:val="00395B15"/>
    <w:rsid w:val="00396026"/>
    <w:rsid w:val="00396503"/>
    <w:rsid w:val="003A0245"/>
    <w:rsid w:val="003A3E2F"/>
    <w:rsid w:val="003A6CCB"/>
    <w:rsid w:val="003B0255"/>
    <w:rsid w:val="003B10C4"/>
    <w:rsid w:val="003B48EB"/>
    <w:rsid w:val="003B6D85"/>
    <w:rsid w:val="003C1D0A"/>
    <w:rsid w:val="003C33FF"/>
    <w:rsid w:val="003C64A5"/>
    <w:rsid w:val="003D03CC"/>
    <w:rsid w:val="003D378C"/>
    <w:rsid w:val="003D4BB7"/>
    <w:rsid w:val="003E0116"/>
    <w:rsid w:val="003E264F"/>
    <w:rsid w:val="003E26C3"/>
    <w:rsid w:val="003F0D6C"/>
    <w:rsid w:val="003F0F26"/>
    <w:rsid w:val="003F12D9"/>
    <w:rsid w:val="003F1B4C"/>
    <w:rsid w:val="004008F6"/>
    <w:rsid w:val="004114A7"/>
    <w:rsid w:val="00412502"/>
    <w:rsid w:val="00412BBE"/>
    <w:rsid w:val="00414B20"/>
    <w:rsid w:val="00415656"/>
    <w:rsid w:val="00417DE3"/>
    <w:rsid w:val="00420850"/>
    <w:rsid w:val="00423968"/>
    <w:rsid w:val="00427054"/>
    <w:rsid w:val="004304B1"/>
    <w:rsid w:val="0043320A"/>
    <w:rsid w:val="004332E3"/>
    <w:rsid w:val="00446960"/>
    <w:rsid w:val="004518A6"/>
    <w:rsid w:val="00453E1D"/>
    <w:rsid w:val="00454589"/>
    <w:rsid w:val="00456ED0"/>
    <w:rsid w:val="00457550"/>
    <w:rsid w:val="00472E64"/>
    <w:rsid w:val="00474C50"/>
    <w:rsid w:val="004771F9"/>
    <w:rsid w:val="004802AE"/>
    <w:rsid w:val="00486006"/>
    <w:rsid w:val="00486BAD"/>
    <w:rsid w:val="00486BBE"/>
    <w:rsid w:val="00487123"/>
    <w:rsid w:val="00495CAE"/>
    <w:rsid w:val="004A1BD5"/>
    <w:rsid w:val="004A61E1"/>
    <w:rsid w:val="004B2344"/>
    <w:rsid w:val="004B5DDC"/>
    <w:rsid w:val="004B798E"/>
    <w:rsid w:val="004C2ABD"/>
    <w:rsid w:val="004C75AA"/>
    <w:rsid w:val="004D3E58"/>
    <w:rsid w:val="004D6746"/>
    <w:rsid w:val="004D767B"/>
    <w:rsid w:val="004E0F32"/>
    <w:rsid w:val="004E23A1"/>
    <w:rsid w:val="004E7092"/>
    <w:rsid w:val="004E7ECE"/>
    <w:rsid w:val="004F28C1"/>
    <w:rsid w:val="004F37A6"/>
    <w:rsid w:val="004F6A07"/>
    <w:rsid w:val="004F6F64"/>
    <w:rsid w:val="005004EC"/>
    <w:rsid w:val="00506AA6"/>
    <w:rsid w:val="00517756"/>
    <w:rsid w:val="005202C6"/>
    <w:rsid w:val="00523C53"/>
    <w:rsid w:val="00527B8F"/>
    <w:rsid w:val="005317D2"/>
    <w:rsid w:val="00542012"/>
    <w:rsid w:val="00543DF5"/>
    <w:rsid w:val="00546084"/>
    <w:rsid w:val="0055260D"/>
    <w:rsid w:val="00555422"/>
    <w:rsid w:val="00555810"/>
    <w:rsid w:val="00561CCE"/>
    <w:rsid w:val="00562DCA"/>
    <w:rsid w:val="0056568F"/>
    <w:rsid w:val="00582578"/>
    <w:rsid w:val="005839C3"/>
    <w:rsid w:val="005A2642"/>
    <w:rsid w:val="005B04A8"/>
    <w:rsid w:val="005B28AD"/>
    <w:rsid w:val="005B328D"/>
    <w:rsid w:val="005B3503"/>
    <w:rsid w:val="005B3EE7"/>
    <w:rsid w:val="005B4DCD"/>
    <w:rsid w:val="005B4FAD"/>
    <w:rsid w:val="005D289E"/>
    <w:rsid w:val="005D380C"/>
    <w:rsid w:val="005D52D1"/>
    <w:rsid w:val="005D6E04"/>
    <w:rsid w:val="005D7A12"/>
    <w:rsid w:val="005E53EE"/>
    <w:rsid w:val="005F0542"/>
    <w:rsid w:val="005F0F72"/>
    <w:rsid w:val="005F1C1F"/>
    <w:rsid w:val="005F346D"/>
    <w:rsid w:val="005F38FB"/>
    <w:rsid w:val="0060005C"/>
    <w:rsid w:val="00602D3B"/>
    <w:rsid w:val="0060326F"/>
    <w:rsid w:val="0060444D"/>
    <w:rsid w:val="00606AB3"/>
    <w:rsid w:val="00606EA1"/>
    <w:rsid w:val="006128F0"/>
    <w:rsid w:val="0061726B"/>
    <w:rsid w:val="0062387A"/>
    <w:rsid w:val="0063377D"/>
    <w:rsid w:val="006344BE"/>
    <w:rsid w:val="00634A66"/>
    <w:rsid w:val="00640336"/>
    <w:rsid w:val="00640FC9"/>
    <w:rsid w:val="00642439"/>
    <w:rsid w:val="006432F2"/>
    <w:rsid w:val="00643572"/>
    <w:rsid w:val="00651BBA"/>
    <w:rsid w:val="0065320F"/>
    <w:rsid w:val="00653D64"/>
    <w:rsid w:val="00654E13"/>
    <w:rsid w:val="00667489"/>
    <w:rsid w:val="00670D44"/>
    <w:rsid w:val="00675407"/>
    <w:rsid w:val="00676AFC"/>
    <w:rsid w:val="006807CD"/>
    <w:rsid w:val="006825A1"/>
    <w:rsid w:val="00682D43"/>
    <w:rsid w:val="00685BAF"/>
    <w:rsid w:val="006A0D03"/>
    <w:rsid w:val="006A41E9"/>
    <w:rsid w:val="006B12CB"/>
    <w:rsid w:val="006B5916"/>
    <w:rsid w:val="006C2F1F"/>
    <w:rsid w:val="006C4775"/>
    <w:rsid w:val="006C4F4A"/>
    <w:rsid w:val="006C5E80"/>
    <w:rsid w:val="006C7CEE"/>
    <w:rsid w:val="006D075E"/>
    <w:rsid w:val="006D40EB"/>
    <w:rsid w:val="006D7C6E"/>
    <w:rsid w:val="006E2F95"/>
    <w:rsid w:val="00705EAF"/>
    <w:rsid w:val="007101CC"/>
    <w:rsid w:val="00716284"/>
    <w:rsid w:val="00724E3B"/>
    <w:rsid w:val="00725EB5"/>
    <w:rsid w:val="00725EEA"/>
    <w:rsid w:val="00730CE9"/>
    <w:rsid w:val="0073373D"/>
    <w:rsid w:val="00735D10"/>
    <w:rsid w:val="007360D8"/>
    <w:rsid w:val="007439DB"/>
    <w:rsid w:val="00750C85"/>
    <w:rsid w:val="007568D8"/>
    <w:rsid w:val="00757684"/>
    <w:rsid w:val="00765316"/>
    <w:rsid w:val="007708C8"/>
    <w:rsid w:val="0077719D"/>
    <w:rsid w:val="00780DF0"/>
    <w:rsid w:val="00782F0F"/>
    <w:rsid w:val="0078713F"/>
    <w:rsid w:val="00787482"/>
    <w:rsid w:val="00793889"/>
    <w:rsid w:val="00797214"/>
    <w:rsid w:val="007A286D"/>
    <w:rsid w:val="007A2C2E"/>
    <w:rsid w:val="007A38DF"/>
    <w:rsid w:val="007B20CF"/>
    <w:rsid w:val="007B2499"/>
    <w:rsid w:val="007B3B8D"/>
    <w:rsid w:val="007B72E1"/>
    <w:rsid w:val="007B783A"/>
    <w:rsid w:val="007C1B95"/>
    <w:rsid w:val="007D5980"/>
    <w:rsid w:val="007D73FB"/>
    <w:rsid w:val="007E2F2D"/>
    <w:rsid w:val="007F1433"/>
    <w:rsid w:val="007F1491"/>
    <w:rsid w:val="007F2F03"/>
    <w:rsid w:val="00800FE0"/>
    <w:rsid w:val="00801B91"/>
    <w:rsid w:val="008066AD"/>
    <w:rsid w:val="0081290E"/>
    <w:rsid w:val="008143C1"/>
    <w:rsid w:val="00814AF1"/>
    <w:rsid w:val="0081517F"/>
    <w:rsid w:val="00815370"/>
    <w:rsid w:val="0082153D"/>
    <w:rsid w:val="008255AA"/>
    <w:rsid w:val="008306CB"/>
    <w:rsid w:val="00830FF3"/>
    <w:rsid w:val="008334BF"/>
    <w:rsid w:val="00836B8C"/>
    <w:rsid w:val="00836D3E"/>
    <w:rsid w:val="00840062"/>
    <w:rsid w:val="008410C5"/>
    <w:rsid w:val="00846C08"/>
    <w:rsid w:val="008530E7"/>
    <w:rsid w:val="00856BDB"/>
    <w:rsid w:val="00857675"/>
    <w:rsid w:val="00875EC3"/>
    <w:rsid w:val="008763E7"/>
    <w:rsid w:val="008808C5"/>
    <w:rsid w:val="00881A7C"/>
    <w:rsid w:val="00883C78"/>
    <w:rsid w:val="00885159"/>
    <w:rsid w:val="00885214"/>
    <w:rsid w:val="00887615"/>
    <w:rsid w:val="00890052"/>
    <w:rsid w:val="00894E3A"/>
    <w:rsid w:val="00895A2F"/>
    <w:rsid w:val="00896EBD"/>
    <w:rsid w:val="008A2464"/>
    <w:rsid w:val="008A5665"/>
    <w:rsid w:val="008B24A8"/>
    <w:rsid w:val="008B25E4"/>
    <w:rsid w:val="008B3B67"/>
    <w:rsid w:val="008B3D78"/>
    <w:rsid w:val="008B70A4"/>
    <w:rsid w:val="008C261B"/>
    <w:rsid w:val="008C4FCA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6FA4"/>
    <w:rsid w:val="008E74ED"/>
    <w:rsid w:val="008F4DEF"/>
    <w:rsid w:val="00903D0D"/>
    <w:rsid w:val="009048E1"/>
    <w:rsid w:val="0090598C"/>
    <w:rsid w:val="009071BB"/>
    <w:rsid w:val="00910443"/>
    <w:rsid w:val="00913885"/>
    <w:rsid w:val="00916CC3"/>
    <w:rsid w:val="00917501"/>
    <w:rsid w:val="009201B8"/>
    <w:rsid w:val="0092388A"/>
    <w:rsid w:val="00931C2D"/>
    <w:rsid w:val="00931D41"/>
    <w:rsid w:val="00933D18"/>
    <w:rsid w:val="00942221"/>
    <w:rsid w:val="00950FBB"/>
    <w:rsid w:val="0095122F"/>
    <w:rsid w:val="00953349"/>
    <w:rsid w:val="00954E0C"/>
    <w:rsid w:val="00961156"/>
    <w:rsid w:val="009621C3"/>
    <w:rsid w:val="00964F03"/>
    <w:rsid w:val="00966F1F"/>
    <w:rsid w:val="00967737"/>
    <w:rsid w:val="00975676"/>
    <w:rsid w:val="00976467"/>
    <w:rsid w:val="00976D32"/>
    <w:rsid w:val="009844F7"/>
    <w:rsid w:val="009938F7"/>
    <w:rsid w:val="009A05AA"/>
    <w:rsid w:val="009A2D5A"/>
    <w:rsid w:val="009B2C7E"/>
    <w:rsid w:val="009B6DBD"/>
    <w:rsid w:val="009C108A"/>
    <w:rsid w:val="009C2521"/>
    <w:rsid w:val="009C2E47"/>
    <w:rsid w:val="009C3FF9"/>
    <w:rsid w:val="009C6BFB"/>
    <w:rsid w:val="009C77AB"/>
    <w:rsid w:val="009D09EB"/>
    <w:rsid w:val="009D0C05"/>
    <w:rsid w:val="009E2C00"/>
    <w:rsid w:val="009E49AD"/>
    <w:rsid w:val="009E70F4"/>
    <w:rsid w:val="009F1AD2"/>
    <w:rsid w:val="00A0479E"/>
    <w:rsid w:val="00A07979"/>
    <w:rsid w:val="00A0797C"/>
    <w:rsid w:val="00A11755"/>
    <w:rsid w:val="00A207FB"/>
    <w:rsid w:val="00A21E1B"/>
    <w:rsid w:val="00A22512"/>
    <w:rsid w:val="00A24016"/>
    <w:rsid w:val="00A265BF"/>
    <w:rsid w:val="00A269DB"/>
    <w:rsid w:val="00A26F44"/>
    <w:rsid w:val="00A34FAB"/>
    <w:rsid w:val="00A4313D"/>
    <w:rsid w:val="00A50120"/>
    <w:rsid w:val="00A540EB"/>
    <w:rsid w:val="00A60351"/>
    <w:rsid w:val="00A61C6D"/>
    <w:rsid w:val="00A63015"/>
    <w:rsid w:val="00A64FD1"/>
    <w:rsid w:val="00A66254"/>
    <w:rsid w:val="00A678B4"/>
    <w:rsid w:val="00A704A3"/>
    <w:rsid w:val="00A73347"/>
    <w:rsid w:val="00A75E23"/>
    <w:rsid w:val="00A764B1"/>
    <w:rsid w:val="00A82AA0"/>
    <w:rsid w:val="00A82F8A"/>
    <w:rsid w:val="00A83A6B"/>
    <w:rsid w:val="00A84BF0"/>
    <w:rsid w:val="00A87D19"/>
    <w:rsid w:val="00A9226B"/>
    <w:rsid w:val="00A9575C"/>
    <w:rsid w:val="00A95B56"/>
    <w:rsid w:val="00A969AF"/>
    <w:rsid w:val="00A972CC"/>
    <w:rsid w:val="00AA41EC"/>
    <w:rsid w:val="00AB1A2E"/>
    <w:rsid w:val="00AB328A"/>
    <w:rsid w:val="00AB4918"/>
    <w:rsid w:val="00AB4BC8"/>
    <w:rsid w:val="00AB6BA7"/>
    <w:rsid w:val="00AB7BE8"/>
    <w:rsid w:val="00AC50E5"/>
    <w:rsid w:val="00AC72CC"/>
    <w:rsid w:val="00AD0710"/>
    <w:rsid w:val="00AD4DB9"/>
    <w:rsid w:val="00AD63C0"/>
    <w:rsid w:val="00AE35B2"/>
    <w:rsid w:val="00AE662B"/>
    <w:rsid w:val="00AE6AA0"/>
    <w:rsid w:val="00AF578B"/>
    <w:rsid w:val="00AF6417"/>
    <w:rsid w:val="00B01B1B"/>
    <w:rsid w:val="00B119A2"/>
    <w:rsid w:val="00B177F2"/>
    <w:rsid w:val="00B17857"/>
    <w:rsid w:val="00B201F1"/>
    <w:rsid w:val="00B304E7"/>
    <w:rsid w:val="00B318B6"/>
    <w:rsid w:val="00B346A8"/>
    <w:rsid w:val="00B41F47"/>
    <w:rsid w:val="00B42D80"/>
    <w:rsid w:val="00B60AC9"/>
    <w:rsid w:val="00B66182"/>
    <w:rsid w:val="00B67323"/>
    <w:rsid w:val="00B715F2"/>
    <w:rsid w:val="00B74071"/>
    <w:rsid w:val="00B7428E"/>
    <w:rsid w:val="00B74B67"/>
    <w:rsid w:val="00B779AA"/>
    <w:rsid w:val="00B81C95"/>
    <w:rsid w:val="00B82330"/>
    <w:rsid w:val="00B82ED4"/>
    <w:rsid w:val="00B83F18"/>
    <w:rsid w:val="00B8424F"/>
    <w:rsid w:val="00B86896"/>
    <w:rsid w:val="00B875A6"/>
    <w:rsid w:val="00B93E4C"/>
    <w:rsid w:val="00B94A1B"/>
    <w:rsid w:val="00B94A1C"/>
    <w:rsid w:val="00BA5C89"/>
    <w:rsid w:val="00BB4CE2"/>
    <w:rsid w:val="00BB5EF0"/>
    <w:rsid w:val="00BB6724"/>
    <w:rsid w:val="00BC0EFB"/>
    <w:rsid w:val="00BC2E39"/>
    <w:rsid w:val="00BD0978"/>
    <w:rsid w:val="00BD2364"/>
    <w:rsid w:val="00BD28E3"/>
    <w:rsid w:val="00BD2D4B"/>
    <w:rsid w:val="00BD6CD2"/>
    <w:rsid w:val="00BE3261"/>
    <w:rsid w:val="00BF58FC"/>
    <w:rsid w:val="00C01F77"/>
    <w:rsid w:val="00C01FFC"/>
    <w:rsid w:val="00C06AE4"/>
    <w:rsid w:val="00C114FF"/>
    <w:rsid w:val="00C131D9"/>
    <w:rsid w:val="00C171A1"/>
    <w:rsid w:val="00C171A4"/>
    <w:rsid w:val="00C17F12"/>
    <w:rsid w:val="00C21C1A"/>
    <w:rsid w:val="00C237E9"/>
    <w:rsid w:val="00C27888"/>
    <w:rsid w:val="00C32989"/>
    <w:rsid w:val="00C36883"/>
    <w:rsid w:val="00C40928"/>
    <w:rsid w:val="00C42697"/>
    <w:rsid w:val="00C43F01"/>
    <w:rsid w:val="00C47552"/>
    <w:rsid w:val="00C53ECD"/>
    <w:rsid w:val="00C57A81"/>
    <w:rsid w:val="00C60193"/>
    <w:rsid w:val="00C634D4"/>
    <w:rsid w:val="00C63AA5"/>
    <w:rsid w:val="00C65071"/>
    <w:rsid w:val="00C6727C"/>
    <w:rsid w:val="00C6744C"/>
    <w:rsid w:val="00C73134"/>
    <w:rsid w:val="00C732F7"/>
    <w:rsid w:val="00C73F6D"/>
    <w:rsid w:val="00C74F6E"/>
    <w:rsid w:val="00C77FA4"/>
    <w:rsid w:val="00C77FFA"/>
    <w:rsid w:val="00C80401"/>
    <w:rsid w:val="00C81C97"/>
    <w:rsid w:val="00C840C2"/>
    <w:rsid w:val="00C84101"/>
    <w:rsid w:val="00C8535F"/>
    <w:rsid w:val="00C90EDA"/>
    <w:rsid w:val="00C959E7"/>
    <w:rsid w:val="00C97FA2"/>
    <w:rsid w:val="00CC1E65"/>
    <w:rsid w:val="00CC567A"/>
    <w:rsid w:val="00CC69F5"/>
    <w:rsid w:val="00CD4059"/>
    <w:rsid w:val="00CD4E5A"/>
    <w:rsid w:val="00CE03CE"/>
    <w:rsid w:val="00CE24CB"/>
    <w:rsid w:val="00CE47C7"/>
    <w:rsid w:val="00CF0DFF"/>
    <w:rsid w:val="00CF2807"/>
    <w:rsid w:val="00D028A9"/>
    <w:rsid w:val="00D0359D"/>
    <w:rsid w:val="00D04DED"/>
    <w:rsid w:val="00D1089A"/>
    <w:rsid w:val="00D116BD"/>
    <w:rsid w:val="00D2001A"/>
    <w:rsid w:val="00D20684"/>
    <w:rsid w:val="00D26B62"/>
    <w:rsid w:val="00D3691A"/>
    <w:rsid w:val="00D377E2"/>
    <w:rsid w:val="00D42DCB"/>
    <w:rsid w:val="00D43D42"/>
    <w:rsid w:val="00D45482"/>
    <w:rsid w:val="00D46DF2"/>
    <w:rsid w:val="00D47674"/>
    <w:rsid w:val="00D51644"/>
    <w:rsid w:val="00D5338C"/>
    <w:rsid w:val="00D606B2"/>
    <w:rsid w:val="00D625A7"/>
    <w:rsid w:val="00D64074"/>
    <w:rsid w:val="00D65777"/>
    <w:rsid w:val="00D70484"/>
    <w:rsid w:val="00D728A0"/>
    <w:rsid w:val="00D83661"/>
    <w:rsid w:val="00D910AC"/>
    <w:rsid w:val="00D91F2B"/>
    <w:rsid w:val="00D93129"/>
    <w:rsid w:val="00D97E7D"/>
    <w:rsid w:val="00DA5D74"/>
    <w:rsid w:val="00DB3439"/>
    <w:rsid w:val="00DB3618"/>
    <w:rsid w:val="00DC2946"/>
    <w:rsid w:val="00DC2DCE"/>
    <w:rsid w:val="00DC2EC7"/>
    <w:rsid w:val="00DC550F"/>
    <w:rsid w:val="00DC64FD"/>
    <w:rsid w:val="00DD53C3"/>
    <w:rsid w:val="00DE127F"/>
    <w:rsid w:val="00DE1F76"/>
    <w:rsid w:val="00DE424A"/>
    <w:rsid w:val="00DE4419"/>
    <w:rsid w:val="00DF0ACA"/>
    <w:rsid w:val="00DF2245"/>
    <w:rsid w:val="00DF77CF"/>
    <w:rsid w:val="00E0263D"/>
    <w:rsid w:val="00E026E8"/>
    <w:rsid w:val="00E060F7"/>
    <w:rsid w:val="00E14C47"/>
    <w:rsid w:val="00E22698"/>
    <w:rsid w:val="00E25B7C"/>
    <w:rsid w:val="00E27E33"/>
    <w:rsid w:val="00E3076B"/>
    <w:rsid w:val="00E3725B"/>
    <w:rsid w:val="00E42A42"/>
    <w:rsid w:val="00E434D1"/>
    <w:rsid w:val="00E45D55"/>
    <w:rsid w:val="00E5633D"/>
    <w:rsid w:val="00E56CBB"/>
    <w:rsid w:val="00E61950"/>
    <w:rsid w:val="00E61E51"/>
    <w:rsid w:val="00E6552A"/>
    <w:rsid w:val="00E6707D"/>
    <w:rsid w:val="00E67612"/>
    <w:rsid w:val="00E70E7C"/>
    <w:rsid w:val="00E71313"/>
    <w:rsid w:val="00E72606"/>
    <w:rsid w:val="00E73C3E"/>
    <w:rsid w:val="00E82496"/>
    <w:rsid w:val="00E834CD"/>
    <w:rsid w:val="00E84E9D"/>
    <w:rsid w:val="00E86CEE"/>
    <w:rsid w:val="00E935AF"/>
    <w:rsid w:val="00EB0E20"/>
    <w:rsid w:val="00EB13E9"/>
    <w:rsid w:val="00EB1A80"/>
    <w:rsid w:val="00EB457B"/>
    <w:rsid w:val="00EB64EF"/>
    <w:rsid w:val="00EC4F3A"/>
    <w:rsid w:val="00EC5E74"/>
    <w:rsid w:val="00EC7DCA"/>
    <w:rsid w:val="00ED594D"/>
    <w:rsid w:val="00EE36E1"/>
    <w:rsid w:val="00EE7B3F"/>
    <w:rsid w:val="00EF25E6"/>
    <w:rsid w:val="00F0054D"/>
    <w:rsid w:val="00F02467"/>
    <w:rsid w:val="00F04D0E"/>
    <w:rsid w:val="00F12214"/>
    <w:rsid w:val="00F12565"/>
    <w:rsid w:val="00F14ACA"/>
    <w:rsid w:val="00F17A0C"/>
    <w:rsid w:val="00F22437"/>
    <w:rsid w:val="00F23927"/>
    <w:rsid w:val="00F26A05"/>
    <w:rsid w:val="00F307CE"/>
    <w:rsid w:val="00F37108"/>
    <w:rsid w:val="00F4119A"/>
    <w:rsid w:val="00F414E8"/>
    <w:rsid w:val="00F42F0F"/>
    <w:rsid w:val="00F4651E"/>
    <w:rsid w:val="00F47BAA"/>
    <w:rsid w:val="00F52EAB"/>
    <w:rsid w:val="00F61A31"/>
    <w:rsid w:val="00F67A2D"/>
    <w:rsid w:val="00F70A1B"/>
    <w:rsid w:val="00F72FDF"/>
    <w:rsid w:val="00F75960"/>
    <w:rsid w:val="00F82526"/>
    <w:rsid w:val="00F84672"/>
    <w:rsid w:val="00F84802"/>
    <w:rsid w:val="00F95A8C"/>
    <w:rsid w:val="00F97218"/>
    <w:rsid w:val="00FA06FD"/>
    <w:rsid w:val="00FA2528"/>
    <w:rsid w:val="00FA515B"/>
    <w:rsid w:val="00FA6B90"/>
    <w:rsid w:val="00FA74CB"/>
    <w:rsid w:val="00FB207A"/>
    <w:rsid w:val="00FB2886"/>
    <w:rsid w:val="00FB466E"/>
    <w:rsid w:val="00FC6943"/>
    <w:rsid w:val="00FC752C"/>
    <w:rsid w:val="00FD0492"/>
    <w:rsid w:val="00FD13EC"/>
    <w:rsid w:val="00FD4DA8"/>
    <w:rsid w:val="00FD4EEF"/>
    <w:rsid w:val="00FD5461"/>
    <w:rsid w:val="00FD6BDB"/>
    <w:rsid w:val="00FD6F00"/>
    <w:rsid w:val="00FD7B98"/>
    <w:rsid w:val="00FF18D2"/>
    <w:rsid w:val="00FF22F5"/>
    <w:rsid w:val="00FF4664"/>
    <w:rsid w:val="00FF5778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924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uiPriority w:val="99"/>
    <w:semiHidden/>
    <w:locked/>
    <w:rsid w:val="003909E0"/>
    <w:rPr>
      <w:lang w:val="cs-CZ" w:eastAsia="en-US" w:bidi="ar-SA"/>
    </w:rPr>
  </w:style>
  <w:style w:type="paragraph" w:styleId="Odstavecseseznamem">
    <w:name w:val="List Paragraph"/>
    <w:basedOn w:val="Normln"/>
    <w:uiPriority w:val="1"/>
    <w:qFormat/>
    <w:rsid w:val="00AE662B"/>
    <w:pPr>
      <w:ind w:left="720"/>
      <w:contextualSpacing/>
    </w:pPr>
  </w:style>
  <w:style w:type="paragraph" w:styleId="z-Zatekformule">
    <w:name w:val="HTML Top of Form"/>
    <w:basedOn w:val="Normln"/>
    <w:link w:val="z-ZatekformuleChar"/>
    <w:rsid w:val="008B3B67"/>
    <w:pPr>
      <w:tabs>
        <w:tab w:val="clear" w:pos="567"/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uto"/>
    </w:pPr>
    <w:rPr>
      <w:sz w:val="24"/>
    </w:rPr>
  </w:style>
  <w:style w:type="character" w:customStyle="1" w:styleId="z-ZatekformuleChar">
    <w:name w:val="z-Začátek formuláře Char"/>
    <w:basedOn w:val="Standardnpsmoodstavce"/>
    <w:link w:val="z-Zatekformule"/>
    <w:rsid w:val="008B3B67"/>
    <w:rPr>
      <w:sz w:val="24"/>
      <w:lang w:val="cs-CZ" w:eastAsia="en-US"/>
    </w:rPr>
  </w:style>
  <w:style w:type="character" w:customStyle="1" w:styleId="ZhlavChar">
    <w:name w:val="Záhlaví Char"/>
    <w:basedOn w:val="Standardnpsmoodstavce"/>
    <w:link w:val="Zhlav"/>
    <w:rsid w:val="00B94A1C"/>
    <w:rPr>
      <w:rFonts w:ascii="Helvetica" w:hAnsi="Helvetic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uiPriority w:val="99"/>
    <w:semiHidden/>
    <w:locked/>
    <w:rsid w:val="003909E0"/>
    <w:rPr>
      <w:lang w:val="cs-CZ" w:eastAsia="en-US" w:bidi="ar-SA"/>
    </w:rPr>
  </w:style>
  <w:style w:type="paragraph" w:styleId="Odstavecseseznamem">
    <w:name w:val="List Paragraph"/>
    <w:basedOn w:val="Normln"/>
    <w:uiPriority w:val="1"/>
    <w:qFormat/>
    <w:rsid w:val="00AE662B"/>
    <w:pPr>
      <w:ind w:left="720"/>
      <w:contextualSpacing/>
    </w:pPr>
  </w:style>
  <w:style w:type="paragraph" w:styleId="z-Zatekformule">
    <w:name w:val="HTML Top of Form"/>
    <w:basedOn w:val="Normln"/>
    <w:link w:val="z-ZatekformuleChar"/>
    <w:rsid w:val="008B3B67"/>
    <w:pPr>
      <w:tabs>
        <w:tab w:val="clear" w:pos="567"/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uto"/>
    </w:pPr>
    <w:rPr>
      <w:sz w:val="24"/>
    </w:rPr>
  </w:style>
  <w:style w:type="character" w:customStyle="1" w:styleId="z-ZatekformuleChar">
    <w:name w:val="z-Začátek formuláře Char"/>
    <w:basedOn w:val="Standardnpsmoodstavce"/>
    <w:link w:val="z-Zatekformule"/>
    <w:rsid w:val="008B3B67"/>
    <w:rPr>
      <w:sz w:val="24"/>
      <w:lang w:val="cs-CZ" w:eastAsia="en-US"/>
    </w:rPr>
  </w:style>
  <w:style w:type="character" w:customStyle="1" w:styleId="ZhlavChar">
    <w:name w:val="Záhlaví Char"/>
    <w:basedOn w:val="Standardnpsmoodstavce"/>
    <w:link w:val="Zhlav"/>
    <w:rsid w:val="00B94A1C"/>
    <w:rPr>
      <w:rFonts w:ascii="Helvetica" w:hAnsi="Helvetic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1357</Words>
  <Characters>8011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9350</CharactersWithSpaces>
  <SharedDoc>false</SharedDoc>
  <HLinks>
    <vt:vector size="54" baseType="variant">
      <vt:variant>
        <vt:i4>1245197</vt:i4>
      </vt:variant>
      <vt:variant>
        <vt:i4>24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5636130</vt:i4>
      </vt:variant>
      <vt:variant>
        <vt:i4>21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5636130</vt:i4>
      </vt:variant>
      <vt:variant>
        <vt:i4>18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5636130</vt:i4>
      </vt:variant>
      <vt:variant>
        <vt:i4>15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5636130</vt:i4>
      </vt:variant>
      <vt:variant>
        <vt:i4>12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5636130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5636130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http://www.ema.europa.eu/docs/en_GB/document_library/Regulatory_and_procedural_guideline/2014/08/WC500170559.pdf</vt:lpwstr>
      </vt:variant>
      <vt:variant>
        <vt:lpwstr/>
      </vt:variant>
      <vt:variant>
        <vt:i4>3080307</vt:i4>
      </vt:variant>
      <vt:variant>
        <vt:i4>3</vt:i4>
      </vt:variant>
      <vt:variant>
        <vt:i4>0</vt:i4>
      </vt:variant>
      <vt:variant>
        <vt:i4>5</vt:i4>
      </vt:variant>
      <vt:variant>
        <vt:lpwstr>https://www.edqm.eu/en/Veterinary-OCABR-Guidelines-1531.html</vt:lpwstr>
      </vt:variant>
      <vt:variant>
        <vt:lpwstr>PSG</vt:lpwstr>
      </vt:variant>
      <vt:variant>
        <vt:i4>1245197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medical-ls</dc:creator>
  <cp:lastModifiedBy>Wojtylová Jana</cp:lastModifiedBy>
  <cp:revision>25</cp:revision>
  <cp:lastPrinted>2020-11-02T12:51:00Z</cp:lastPrinted>
  <dcterms:created xsi:type="dcterms:W3CDTF">2020-09-18T13:28:00Z</dcterms:created>
  <dcterms:modified xsi:type="dcterms:W3CDTF">2020-11-02T12:51:00Z</dcterms:modified>
</cp:coreProperties>
</file>