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bookmarkStart w:id="0" w:name="_GoBack"/>
      <w:bookmarkEnd w:id="0"/>
      <w:r w:rsidRPr="00746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KOMBINOVANÁ ETIKETA (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PODROBNÉ ÚDAJE UVÁDĚNÉ NA VNITŘNÍM OBALU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)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 A PŘÍBALOVÁ INFORMACE</w:t>
      </w: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:rsidR="00746332" w:rsidRPr="00746332" w:rsidRDefault="009A53CA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Papírové vaky (papír/PE/papír) </w:t>
      </w:r>
      <w:r w:rsidRPr="009A53C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 kg, 3 kg, 5 kg, 10 kg, 20 kg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1.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Jméno a adresa držitele rozhodnutí o registraci a držitele povolení k výrobě odpovědného za uvolnění šarže, pokud se neshoduje</w:t>
      </w:r>
    </w:p>
    <w:p w:rsidR="00746332" w:rsidRPr="00746332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46332" w:rsidRDefault="0018431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Držitel rozhodnutí o registraci a výrobce odpovědný za uvolnění šarže:</w:t>
      </w:r>
    </w:p>
    <w:p w:rsidR="00184318" w:rsidRDefault="0018431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UNIVIT s.r.o., Na Vlčinci 16/3, 779 00 Olomouc</w:t>
      </w:r>
      <w:r w:rsidR="00CA45E2">
        <w:rPr>
          <w:rFonts w:ascii="Times New Roman" w:eastAsia="Times New Roman" w:hAnsi="Times New Roman" w:cs="Times New Roman"/>
          <w:sz w:val="24"/>
          <w:szCs w:val="24"/>
          <w:lang w:eastAsia="sv-SE"/>
        </w:rPr>
        <w:t>, Česká republika</w:t>
      </w:r>
    </w:p>
    <w:p w:rsidR="00B8097C" w:rsidRPr="00746332" w:rsidRDefault="00B8097C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097C">
        <w:rPr>
          <w:rFonts w:ascii="Times New Roman" w:eastAsia="Times New Roman" w:hAnsi="Times New Roman" w:cs="Times New Roman"/>
          <w:sz w:val="24"/>
          <w:szCs w:val="24"/>
          <w:lang w:eastAsia="sv-SE"/>
        </w:rPr>
        <w:t>Tel.: 585051161, fax: 585051004, univit@univit.cz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2. 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Název veterinárního léčivého přípravku</w:t>
      </w:r>
    </w:p>
    <w:p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Default="0018431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UNI-TETRATIAM </w:t>
      </w:r>
      <w:r w:rsidR="005D7A29" w:rsidRPr="00476B04">
        <w:rPr>
          <w:rFonts w:ascii="Times New Roman" w:eastAsia="Times New Roman" w:hAnsi="Times New Roman" w:cs="Times New Roman"/>
          <w:sz w:val="24"/>
          <w:szCs w:val="24"/>
          <w:lang w:eastAsia="sv-SE"/>
        </w:rPr>
        <w:t>100/33,3 mg/g</w:t>
      </w:r>
      <w:r w:rsidR="005D7A29">
        <w:t xml:space="preserve"> </w:t>
      </w:r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premix pro medikaci krmiva</w:t>
      </w:r>
    </w:p>
    <w:p w:rsidR="00184318" w:rsidRDefault="0018431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Chlortetracyclini</w:t>
      </w:r>
      <w:proofErr w:type="spellEnd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hydrochloridum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iamulini</w:t>
      </w:r>
      <w:proofErr w:type="spellEnd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hydrogenofumaras</w:t>
      </w:r>
      <w:proofErr w:type="spellEnd"/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3.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Obsah léčivých a ostatních látek</w:t>
      </w:r>
    </w:p>
    <w:p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84318" w:rsidRPr="00184318" w:rsidRDefault="00184318" w:rsidP="0018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1 gram obsahuje:</w:t>
      </w:r>
    </w:p>
    <w:p w:rsidR="00184318" w:rsidRPr="00184318" w:rsidRDefault="00184318" w:rsidP="0018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84318" w:rsidRPr="00476B04" w:rsidRDefault="00184318" w:rsidP="00184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76B0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Léčivá(é) látka(y):</w:t>
      </w:r>
    </w:p>
    <w:p w:rsidR="00184318" w:rsidRPr="00184318" w:rsidRDefault="00184318" w:rsidP="0018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Chlortetracyclini</w:t>
      </w:r>
      <w:proofErr w:type="spellEnd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hydrochloridum</w:t>
      </w:r>
      <w:proofErr w:type="spellEnd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100 mg</w:t>
      </w:r>
    </w:p>
    <w:p w:rsidR="00184318" w:rsidRDefault="00184318" w:rsidP="0018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Tiamulini</w:t>
      </w:r>
      <w:proofErr w:type="spellEnd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hydrogenofumaras</w:t>
      </w:r>
      <w:proofErr w:type="spellEnd"/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33,3 mg</w:t>
      </w:r>
    </w:p>
    <w:p w:rsidR="00184318" w:rsidRDefault="00184318" w:rsidP="0018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84318" w:rsidRPr="00746332" w:rsidRDefault="00184318" w:rsidP="0018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318">
        <w:rPr>
          <w:rFonts w:ascii="Times New Roman" w:eastAsia="Times New Roman" w:hAnsi="Times New Roman" w:cs="Times New Roman"/>
          <w:sz w:val="24"/>
          <w:szCs w:val="24"/>
          <w:lang w:eastAsia="sv-SE"/>
        </w:rPr>
        <w:t>Nažloutlý prášek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Léková forma</w:t>
      </w:r>
    </w:p>
    <w:p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:rsidR="00184318" w:rsidRPr="00476B04" w:rsidRDefault="00184318" w:rsidP="00476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B04">
        <w:rPr>
          <w:rFonts w:ascii="Times New Roman" w:hAnsi="Times New Roman" w:cs="Times New Roman"/>
          <w:sz w:val="24"/>
          <w:szCs w:val="24"/>
        </w:rPr>
        <w:t>Premix pro medikaci krmiva</w:t>
      </w:r>
    </w:p>
    <w:p w:rsidR="00184318" w:rsidRPr="00476B04" w:rsidRDefault="00184318" w:rsidP="00476B04">
      <w:pPr>
        <w:spacing w:after="0"/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Velikost balení</w:t>
      </w:r>
    </w:p>
    <w:p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4318" w:rsidRDefault="0018431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kg</w:t>
      </w:r>
    </w:p>
    <w:p w:rsidR="00184318" w:rsidRPr="00476B04" w:rsidRDefault="0018431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  <w:r w:rsidRPr="00476B0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3 kg</w:t>
      </w:r>
    </w:p>
    <w:p w:rsidR="00184318" w:rsidRPr="00476B04" w:rsidRDefault="0018431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  <w:r w:rsidRPr="00476B0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5 kg</w:t>
      </w:r>
    </w:p>
    <w:p w:rsidR="00184318" w:rsidRPr="00476B04" w:rsidRDefault="0018431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  <w:r w:rsidRPr="00476B0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10 kg </w:t>
      </w:r>
    </w:p>
    <w:p w:rsidR="00184318" w:rsidRPr="00746332" w:rsidRDefault="0018431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B0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20 kg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Pr="00746332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6.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Indikace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Pr="001B0078" w:rsidRDefault="001B007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B00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Léčba a </w:t>
      </w:r>
      <w:proofErr w:type="spellStart"/>
      <w:r w:rsidRPr="001B00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metafylaxe</w:t>
      </w:r>
      <w:proofErr w:type="spellEnd"/>
      <w:r w:rsidRPr="001B00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infekcí respiračního a gastrointestinální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ho traktu, které jsou vyvolány </w:t>
      </w:r>
      <w:r w:rsidRPr="001B00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mikroorganismy citlivými ke kombinaci chlortetracyklinu a tiamulinu jako jsou: enzootická pneumonie, pneumonie, </w:t>
      </w:r>
      <w:proofErr w:type="spellStart"/>
      <w:r w:rsidRPr="001B00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hemofilová</w:t>
      </w:r>
      <w:proofErr w:type="spellEnd"/>
      <w:r w:rsidRPr="001B00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1B00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polyserositida</w:t>
      </w:r>
      <w:proofErr w:type="spellEnd"/>
      <w:r w:rsidRPr="001B00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atrofická rhinitida, </w:t>
      </w:r>
      <w:proofErr w:type="spellStart"/>
      <w:r w:rsidRPr="001B00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koli</w:t>
      </w:r>
      <w:proofErr w:type="spellEnd"/>
      <w:r w:rsidRPr="001B00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-enteritida, nekrotická enteritida, dyzenterie, sekundární bakteriální infekce při virových onemocněních.</w:t>
      </w:r>
    </w:p>
    <w:p w:rsidR="00746332" w:rsidRPr="00746332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</w:pPr>
    </w:p>
    <w:p w:rsidR="00746332" w:rsidRPr="00746332" w:rsidRDefault="00746332" w:rsidP="00476B04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lastRenderedPageBreak/>
        <w:t>7.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Kontraindikace</w:t>
      </w:r>
    </w:p>
    <w:p w:rsidR="00746332" w:rsidRPr="00746332" w:rsidRDefault="00746332" w:rsidP="00476B0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6673" w:rsidRPr="00106673" w:rsidRDefault="00106673" w:rsidP="0010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Nepoužívejte v případech známé přecitlivělosti na léčivé látky nebo některou z pomocných látek.</w:t>
      </w:r>
    </w:p>
    <w:p w:rsidR="00106673" w:rsidRPr="00106673" w:rsidRDefault="00106673" w:rsidP="001066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>Nepodávejte zvířatům s přípravky obsahující ionofory (</w:t>
      </w:r>
      <w:proofErr w:type="spellStart"/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>monensin</w:t>
      </w:r>
      <w:proofErr w:type="spellEnd"/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>narasin</w:t>
      </w:r>
      <w:proofErr w:type="spellEnd"/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>salinomycin</w:t>
      </w:r>
      <w:proofErr w:type="spellEnd"/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během nebo minimálně sedm dnů před nebo po léčbě </w:t>
      </w:r>
      <w:proofErr w:type="spellStart"/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>tiamulinem</w:t>
      </w:r>
      <w:proofErr w:type="spellEnd"/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>. Může to vést k vážnému omezení růstu nebo k úhynu.</w:t>
      </w:r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06673" w:rsidRPr="00106673" w:rsidRDefault="00106673" w:rsidP="001066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týkající se interakce mezi </w:t>
      </w:r>
      <w:proofErr w:type="spellStart"/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>tiamulinem</w:t>
      </w:r>
      <w:proofErr w:type="spellEnd"/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ionofory jsou obsaženy v bodě </w:t>
      </w:r>
      <w:r w:rsidR="00540777" w:rsidRPr="00540777">
        <w:rPr>
          <w:rFonts w:ascii="Times New Roman" w:eastAsia="Times New Roman" w:hAnsi="Times New Roman" w:cs="Times New Roman"/>
          <w:sz w:val="24"/>
          <w:szCs w:val="24"/>
          <w:lang w:eastAsia="cs-CZ"/>
        </w:rPr>
        <w:t>14.</w:t>
      </w:r>
    </w:p>
    <w:p w:rsidR="00746332" w:rsidRPr="00746332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46332" w:rsidRPr="00746332" w:rsidRDefault="00746332" w:rsidP="007463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sv-SE"/>
        </w:rPr>
        <w:t>8.</w:t>
      </w:r>
      <w:r w:rsidRPr="0074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74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ab/>
        <w:t>Nežádoucí účinky</w:t>
      </w:r>
    </w:p>
    <w:p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106673" w:rsidRPr="00106673" w:rsidRDefault="00106673" w:rsidP="0010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>V ojedinělých případech se může vyskytnout erytém kůže.</w:t>
      </w:r>
      <w:r w:rsidRPr="00106673">
        <w:rPr>
          <w:rFonts w:ascii="TimesNewRomanPSMT" w:eastAsia="Times New Roman" w:hAnsi="TimesNewRomanPSMT" w:cs="TimesNewRomanPSMT"/>
          <w:lang w:eastAsia="cs-CZ"/>
        </w:rPr>
        <w:t xml:space="preserve"> </w:t>
      </w:r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aplikaci tetracyklinů se u zvířat se mohou </w:t>
      </w:r>
      <w:r w:rsidR="006E7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vzácně </w:t>
      </w:r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projevit příznaky hypersensitivity, anafylaxe a fotosenzitivních reakcí.</w:t>
      </w:r>
    </w:p>
    <w:p w:rsidR="00106673" w:rsidRPr="00106673" w:rsidRDefault="00106673" w:rsidP="0010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6673">
        <w:rPr>
          <w:rFonts w:ascii="Times New Roman" w:eastAsia="Times New Roman" w:hAnsi="Times New Roman" w:cs="Times New Roman"/>
          <w:sz w:val="24"/>
          <w:szCs w:val="24"/>
          <w:lang w:eastAsia="cs-CZ"/>
        </w:rPr>
        <w:t>U mláďat mohou být pozorovány změny barvy zubů, pokud jsou tetracykliny používány během poslední fáze březosti nebo po dobu vývoje zubů.</w:t>
      </w:r>
    </w:p>
    <w:p w:rsidR="00106673" w:rsidRDefault="0010667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Četnost nežádoucích účinků je charakterizována podle následujících pravidel: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 velmi časté (nežádoucí účinek(</w:t>
      </w:r>
      <w:proofErr w:type="spellStart"/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nky</w:t>
      </w:r>
      <w:proofErr w:type="spellEnd"/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 se projevil(y) u více než 1 z 10 ošetřených zvířat)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 časté (u více než 1, ale méně než 10 ze 100 ošetřených zvířat)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 neobvyklé (u více než 1, ale méně než 10 z 1000 ošetřených zvířat)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 vzácné (u více než 1, ale méně než 10 z  10000 ošetřených zvířat)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 velmi vzácné (u méně než 1 z 10000 ošetřených zvířa</w:t>
      </w:r>
      <w:r w:rsidR="001066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t, včetně ojedinělých hlášení).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106673" w:rsidRPr="00106673" w:rsidRDefault="00746332" w:rsidP="00106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Jestliže zaznamenáte kterýkoliv z nežádoucích účinků a to i takové, které nejsou uvedeny v této příbalové informaci, nebo si myslíte, že léčivo </w:t>
      </w:r>
      <w:r w:rsidR="001066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není účinné</w:t>
      </w:r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oznamte to, prosím, vašemu veterinárnímu lékaři.</w:t>
      </w:r>
      <w:r w:rsidR="001066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106673" w:rsidRPr="001066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Nežádoucí účinky můžete hlásit prostřednictvím formuláře na webových stránkách ÚSKVBL elektronicky, nebo také přímo na adresu: </w:t>
      </w:r>
    </w:p>
    <w:p w:rsidR="00106673" w:rsidRPr="00106673" w:rsidRDefault="00106673" w:rsidP="00106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106673" w:rsidRPr="00106673" w:rsidRDefault="00106673" w:rsidP="00106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066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Ústav pro státní kontrolu veterinárních biopreparátů a léčiv </w:t>
      </w:r>
    </w:p>
    <w:p w:rsidR="00106673" w:rsidRPr="00106673" w:rsidRDefault="00106673" w:rsidP="00106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066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Hudcova 56a</w:t>
      </w:r>
    </w:p>
    <w:p w:rsidR="00106673" w:rsidRPr="00106673" w:rsidRDefault="00106673" w:rsidP="00106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066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621 00 Brno </w:t>
      </w:r>
    </w:p>
    <w:p w:rsidR="00106673" w:rsidRPr="00106673" w:rsidRDefault="00106673" w:rsidP="00106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066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e-mail: adr@uskvbl.cz</w:t>
      </w:r>
    </w:p>
    <w:p w:rsidR="00106673" w:rsidRPr="00106673" w:rsidRDefault="00106673" w:rsidP="00106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066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webové stránky: </w:t>
      </w:r>
      <w:hyperlink r:id="rId7" w:history="1">
        <w:r w:rsidRPr="0010667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v-SE"/>
          </w:rPr>
          <w:t>http://www.uskvbl.cz/cs/farmakovigilance</w:t>
        </w:r>
      </w:hyperlink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9.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Cílový druh zvířat</w:t>
      </w:r>
    </w:p>
    <w:p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D14CBA" w:rsidRPr="00D14CBA" w:rsidRDefault="00D14CBA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D14CBA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Prasata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332" w:rsidRPr="00746332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10.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Dávkování pro každý druh, cesta(y) a způsob podání</w:t>
      </w:r>
    </w:p>
    <w:p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7534AD" w:rsidRPr="007534AD" w:rsidRDefault="007534AD" w:rsidP="007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4AD">
        <w:rPr>
          <w:rFonts w:ascii="Times New Roman" w:eastAsia="Times New Roman" w:hAnsi="Times New Roman" w:cs="Times New Roman"/>
          <w:sz w:val="24"/>
          <w:szCs w:val="24"/>
          <w:lang w:eastAsia="cs-CZ"/>
        </w:rPr>
        <w:t>Perorální podání v medikovaném krmivu.</w:t>
      </w:r>
    </w:p>
    <w:p w:rsidR="007534AD" w:rsidRPr="007534AD" w:rsidRDefault="007534AD" w:rsidP="007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34AD" w:rsidRPr="007534AD" w:rsidRDefault="007534AD" w:rsidP="007534A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4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 mg chlortetracyklin hydrochloridu a 5 mg </w:t>
      </w:r>
      <w:proofErr w:type="spellStart"/>
      <w:r w:rsidRPr="007534AD">
        <w:rPr>
          <w:rFonts w:ascii="Times New Roman" w:eastAsia="Times New Roman" w:hAnsi="Times New Roman" w:cs="Times New Roman"/>
          <w:sz w:val="24"/>
          <w:szCs w:val="24"/>
          <w:lang w:eastAsia="cs-CZ"/>
        </w:rPr>
        <w:t>tiamulin</w:t>
      </w:r>
      <w:proofErr w:type="spellEnd"/>
      <w:r w:rsidRPr="007534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534AD">
        <w:rPr>
          <w:rFonts w:ascii="Times New Roman" w:eastAsia="Times New Roman" w:hAnsi="Times New Roman" w:cs="Times New Roman"/>
          <w:sz w:val="24"/>
          <w:szCs w:val="24"/>
          <w:lang w:eastAsia="cs-CZ"/>
        </w:rPr>
        <w:t>hydrogenfumarátu</w:t>
      </w:r>
      <w:proofErr w:type="spellEnd"/>
      <w:r w:rsidRPr="007534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 ž. hm., což odpovídá </w:t>
      </w:r>
      <w:r w:rsidR="0085117A">
        <w:rPr>
          <w:rFonts w:ascii="Times New Roman" w:eastAsia="Times New Roman" w:hAnsi="Times New Roman" w:cs="Times New Roman"/>
          <w:sz w:val="24"/>
          <w:szCs w:val="24"/>
          <w:lang w:eastAsia="cs-CZ"/>
        </w:rPr>
        <w:t>150</w:t>
      </w:r>
      <w:r w:rsidRPr="007534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117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7534AD">
        <w:rPr>
          <w:rFonts w:ascii="Times New Roman" w:eastAsia="Times New Roman" w:hAnsi="Times New Roman" w:cs="Times New Roman"/>
          <w:sz w:val="24"/>
          <w:szCs w:val="24"/>
          <w:lang w:eastAsia="cs-CZ"/>
        </w:rPr>
        <w:t>g přípravku/kg ž. hm.  Délka podávání je 7 až 10 dní.</w:t>
      </w:r>
    </w:p>
    <w:p w:rsidR="007534AD" w:rsidRPr="007534AD" w:rsidRDefault="007534AD" w:rsidP="007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34AD" w:rsidRPr="007534AD" w:rsidRDefault="007534AD" w:rsidP="007534A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4AD">
        <w:rPr>
          <w:rFonts w:ascii="Times New Roman" w:eastAsia="Times New Roman" w:hAnsi="Times New Roman" w:cs="Times New Roman"/>
          <w:sz w:val="24"/>
          <w:szCs w:val="24"/>
          <w:lang w:eastAsia="cs-CZ"/>
        </w:rPr>
        <w:t>Pro výpočet množství přípravku na 1 tunu krmiva a den lze použít následující vzorec:</w:t>
      </w:r>
    </w:p>
    <w:p w:rsidR="007534AD" w:rsidRPr="007534AD" w:rsidRDefault="007534AD" w:rsidP="007534A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38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289"/>
        <w:gridCol w:w="2459"/>
        <w:gridCol w:w="290"/>
        <w:gridCol w:w="3326"/>
      </w:tblGrid>
      <w:tr w:rsidR="007534AD" w:rsidRPr="007534AD" w:rsidTr="00316EBC">
        <w:trPr>
          <w:cantSplit/>
          <w:trHeight w:val="60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4AD" w:rsidRPr="0056258C" w:rsidRDefault="0085117A" w:rsidP="0075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6258C">
              <w:rPr>
                <w:rFonts w:ascii="Times New Roman" w:eastAsia="Times New Roman" w:hAnsi="Times New Roman" w:cs="Times New Roman"/>
                <w:lang w:eastAsia="cs-CZ"/>
              </w:rPr>
              <w:t>150</w:t>
            </w:r>
            <w:r w:rsidR="007534AD" w:rsidRPr="0056258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6258C">
              <w:rPr>
                <w:rFonts w:ascii="Times New Roman" w:eastAsia="Times New Roman" w:hAnsi="Times New Roman" w:cs="Times New Roman"/>
                <w:lang w:eastAsia="cs-CZ"/>
              </w:rPr>
              <w:t>mg přípravku/kg ž. hm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4AD" w:rsidRPr="007534AD" w:rsidRDefault="007534AD" w:rsidP="0075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534AD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4AD" w:rsidRPr="007534AD" w:rsidRDefault="007534AD" w:rsidP="0075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534AD">
              <w:rPr>
                <w:rFonts w:ascii="Times New Roman" w:eastAsia="Times New Roman" w:hAnsi="Times New Roman" w:cs="Times New Roman"/>
                <w:lang w:eastAsia="cs-CZ"/>
              </w:rPr>
              <w:t>průměrná živá hmotnost (kg) zvířete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4AD" w:rsidRPr="007534AD" w:rsidRDefault="007534AD" w:rsidP="007534A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cs-CZ"/>
              </w:rPr>
            </w:pPr>
          </w:p>
          <w:p w:rsidR="007534AD" w:rsidRPr="007534AD" w:rsidRDefault="007534AD" w:rsidP="007534A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7534AD">
              <w:rPr>
                <w:rFonts w:ascii="Times New Roman" w:eastAsia="Times New Roman" w:hAnsi="Times New Roman" w:cs="Times New Roman"/>
                <w:bCs/>
                <w:snapToGrid w:val="0"/>
                <w:lang w:eastAsia="cs-CZ"/>
              </w:rPr>
              <w:t>=</w:t>
            </w:r>
          </w:p>
        </w:tc>
        <w:tc>
          <w:tcPr>
            <w:tcW w:w="3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4AD" w:rsidRPr="007534AD" w:rsidRDefault="007534AD" w:rsidP="0075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534AD" w:rsidRPr="007534AD" w:rsidRDefault="0085117A" w:rsidP="0075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... </w:t>
            </w:r>
            <w:r w:rsidR="007534AD" w:rsidRPr="007534AD">
              <w:rPr>
                <w:rFonts w:ascii="Times New Roman" w:eastAsia="Times New Roman" w:hAnsi="Times New Roman" w:cs="Times New Roman"/>
                <w:lang w:eastAsia="cs-CZ"/>
              </w:rPr>
              <w:t>g přípravku na 1 tunu krmiva</w:t>
            </w:r>
          </w:p>
        </w:tc>
      </w:tr>
      <w:tr w:rsidR="007534AD" w:rsidRPr="007534AD" w:rsidTr="00316EBC">
        <w:trPr>
          <w:cantSplit/>
          <w:trHeight w:val="387"/>
        </w:trPr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34AD" w:rsidRPr="007534AD" w:rsidRDefault="007534AD" w:rsidP="0075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534AD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průměrná denní spotřeba krmiva (kg) na zvíře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4AD" w:rsidRPr="007534AD" w:rsidRDefault="007534AD" w:rsidP="00753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3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4AD" w:rsidRPr="007534AD" w:rsidRDefault="007534AD" w:rsidP="00753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:rsidR="007534AD" w:rsidRPr="007534AD" w:rsidRDefault="007534AD" w:rsidP="007534A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746332" w:rsidRPr="00746332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11.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Pokyny pro správné podání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548" w:rsidRPr="00746332" w:rsidRDefault="00EA0548" w:rsidP="00EA0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534AD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zajištění podání správné dávky by měla být co možná nejpřesněji stanovena živá hmotnost zvířat, aby se předešlo poddávkování.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12.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Ochranná(é) lhůta(y):</w:t>
      </w:r>
    </w:p>
    <w:p w:rsidR="00934301" w:rsidRDefault="00934301" w:rsidP="00476B04">
      <w:pPr>
        <w:spacing w:after="0" w:line="240" w:lineRule="auto"/>
      </w:pPr>
    </w:p>
    <w:p w:rsidR="00746332" w:rsidRPr="00934301" w:rsidRDefault="00934301" w:rsidP="00476B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934301">
        <w:rPr>
          <w:rFonts w:ascii="Times New Roman" w:hAnsi="Times New Roman" w:cs="Times New Roman"/>
        </w:rPr>
        <w:t>Prasata: Maso: 10 dní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13.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Zvláštní podmínky pro uchovávání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184318" w:rsidRPr="00184318" w:rsidRDefault="00184318" w:rsidP="001843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184318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 xml:space="preserve">Uchovávejte při teplotě do 25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°</w:t>
      </w:r>
      <w:r w:rsidRPr="00184318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C.</w:t>
      </w:r>
    </w:p>
    <w:p w:rsidR="00184318" w:rsidRPr="00184318" w:rsidRDefault="00184318" w:rsidP="001843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184318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Uchovávejte v původním vnitřním obalu.</w:t>
      </w:r>
    </w:p>
    <w:p w:rsidR="00746332" w:rsidRDefault="00184318" w:rsidP="001843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184318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Uchovávejte v suchu.</w:t>
      </w:r>
    </w:p>
    <w:p w:rsidR="00184318" w:rsidRPr="00476B04" w:rsidRDefault="00184318" w:rsidP="001843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 xml:space="preserve">Nepoužívejte tento veterinární léčivý přípravek po uplynutí </w:t>
      </w:r>
      <w:r w:rsidR="00681B63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 xml:space="preserve">doby použitelnosti uvedené na </w:t>
      </w:r>
      <w:r w:rsidR="00F04337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etiketě</w:t>
      </w:r>
      <w:r w:rsidR="00681B63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 xml:space="preserve"> po EXP. Doba použitelnosti končí posledním dnem v uvedeném měsíci.</w:t>
      </w:r>
    </w:p>
    <w:p w:rsidR="00746332" w:rsidRPr="00476B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:rsidR="00746332" w:rsidRPr="00746332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14.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Zvláštní opatření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46332" w:rsidRPr="005372D0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</w:pPr>
      <w:r w:rsidRPr="00476B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Zvláštní opatření pro použití u zvířat:</w:t>
      </w:r>
    </w:p>
    <w:p w:rsidR="00EA0548" w:rsidRPr="00EA0548" w:rsidRDefault="00EA0548" w:rsidP="00EA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54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použití přípravku je nutno vzít v úvahu oficiální a místní pravidla antibiotické politiky.</w:t>
      </w:r>
    </w:p>
    <w:p w:rsidR="00EA0548" w:rsidRPr="00EA0548" w:rsidRDefault="00EA0548" w:rsidP="00EA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Kvůli pravděpodobné variabilitě (čas, zeměpisné faktory) v citlivosti bakterií ke kombinaci chlortetracyklinu a tiamulinu se důrazně doporučuje provést odběr bakteriologických vzorků a testování citlivosti mikroorganismů získaných z nemocných zvířat v chovu. Pokud to není možné, je nutné založit terapii na místních (regionální, na úrovni farmy) epizootologických informacích o citlivosti cílové bakterie. </w:t>
      </w:r>
    </w:p>
    <w:p w:rsidR="00EA0548" w:rsidRPr="00EA0548" w:rsidRDefault="00EA0548" w:rsidP="00EA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548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fixní kombinaci dvou léčivých antimikrobních látek, která by měla být využívána pouze v případě, že dle laboratorních výsledků a klinických předpokladů je nutno použít kombinaci.</w:t>
      </w:r>
    </w:p>
    <w:p w:rsidR="00EA0548" w:rsidRPr="00EA0548" w:rsidRDefault="00EA0548" w:rsidP="00EA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332" w:rsidRPr="00746332" w:rsidRDefault="00EA0548" w:rsidP="00EA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přípravku, které je odlišné od pokynů uvedených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této etiketě</w:t>
      </w:r>
      <w:r w:rsidRPr="00EA0548">
        <w:rPr>
          <w:rFonts w:ascii="Times New Roman" w:eastAsia="Times New Roman" w:hAnsi="Times New Roman" w:cs="Times New Roman"/>
          <w:sz w:val="24"/>
          <w:szCs w:val="24"/>
          <w:lang w:eastAsia="cs-CZ"/>
        </w:rPr>
        <w:t>, může zvýšit prevalenci bakterií rezistentních na chlortetracyklin nebo tiamulin a snížit účinnost terapie ostatními tetracykliny nebo pleuromutiliny z důvodu možné zkřížené rezistence/</w:t>
      </w:r>
      <w:proofErr w:type="spellStart"/>
      <w:r w:rsidRPr="00EA0548">
        <w:rPr>
          <w:rFonts w:ascii="Times New Roman" w:eastAsia="Times New Roman" w:hAnsi="Times New Roman" w:cs="Times New Roman"/>
          <w:sz w:val="24"/>
          <w:szCs w:val="24"/>
          <w:lang w:eastAsia="cs-CZ"/>
        </w:rPr>
        <w:t>ko</w:t>
      </w:r>
      <w:proofErr w:type="spellEnd"/>
      <w:r w:rsidRPr="00EA0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-selekce rezistence. Doporučené dávkování nemusí zajistit dostatečnou účinnost vůči infekci vyvolané </w:t>
      </w:r>
      <w:r w:rsidRPr="00EA054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Lawsonia intracel</w:t>
      </w:r>
      <w:r w:rsidR="00D74B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</w:t>
      </w:r>
      <w:r w:rsidRPr="00EA054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ularis</w:t>
      </w:r>
      <w:r w:rsidRPr="00EA05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Pr="005372D0" w:rsidRDefault="00746332" w:rsidP="00476B0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476B0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Zvláštní opatření určené osobám, které podávají veterinární léčivý přípravek zvířatům</w:t>
      </w:r>
      <w:r w:rsidRPr="00476B04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:rsidR="00A31AE9" w:rsidRPr="00476B04" w:rsidRDefault="00A31AE9" w:rsidP="0047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B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Lidé se známou přecitlivělostí na tetracykliny nebo tiamulin by se měli vyhnout kontaktu s veterinárním léčivým přípravkem. </w:t>
      </w:r>
    </w:p>
    <w:p w:rsidR="00A31AE9" w:rsidRPr="00476B04" w:rsidRDefault="00A31AE9" w:rsidP="0047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B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Zabraňte kontaktu přípravku s kůží, očima a sliznicemi. </w:t>
      </w:r>
    </w:p>
    <w:p w:rsidR="00A31AE9" w:rsidRPr="00476B04" w:rsidRDefault="00A31AE9" w:rsidP="0047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B0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nakládání s veterinárním léčivým přípravkem by se měly používat osobní ochranné prostředky skládající se z ochranného oděvu, ochranných brýlí a gumových či latexových rukavic a buď z jednorázového respirátoru s polomaskou vyhovující evropské normě EN149 nebo z respirátoru na více použití podle evropské normy EN140 s filtrem podle normy EN143.</w:t>
      </w:r>
    </w:p>
    <w:p w:rsidR="00A31AE9" w:rsidRPr="00476B04" w:rsidRDefault="00A31AE9" w:rsidP="0047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B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potřísnění pokožky či sliznice opláchněte ihned exponovanou část velkým množstvím vody a odstraňte kontaminovaný oděv, který je v přímém kontaktu s pokožkou. </w:t>
      </w:r>
      <w:r w:rsidRPr="00476B0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případě zasažení očí vypláchněte oči velkým množstvím pitné vody. Dojde-li k podráždění, vyhledejte lékařskou pomoc a ukažte příbalovou informaci nebo etiketu praktickému lékaři.</w:t>
      </w:r>
    </w:p>
    <w:p w:rsidR="00A31AE9" w:rsidRPr="00476B04" w:rsidRDefault="00A31AE9" w:rsidP="0047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B04">
        <w:rPr>
          <w:rFonts w:ascii="Times New Roman" w:eastAsia="Times New Roman" w:hAnsi="Times New Roman" w:cs="Times New Roman"/>
          <w:sz w:val="24"/>
          <w:szCs w:val="24"/>
          <w:lang w:eastAsia="cs-CZ"/>
        </w:rPr>
        <w:t>Po použití přípravku si důkladně umyjte ruce vodou a mýdlem.</w:t>
      </w:r>
    </w:p>
    <w:p w:rsidR="00746332" w:rsidRPr="00746332" w:rsidRDefault="00746332" w:rsidP="00537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46332" w:rsidRPr="005372D0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76B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Březost a laktace</w:t>
      </w:r>
      <w:r w:rsidRPr="00476B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</w:t>
      </w:r>
    </w:p>
    <w:p w:rsidR="00D509CE" w:rsidRPr="00D509CE" w:rsidRDefault="00D509CE" w:rsidP="00D5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Tetracykliny prostupují placentou a mohou způsobit poškození skeletu plodu. Tetracykliny jsou vylučovány do mléka. U březích a laktujících zvířat podávat jen se zvýšenou opatrností. </w:t>
      </w:r>
    </w:p>
    <w:p w:rsidR="00D509CE" w:rsidRPr="00D509CE" w:rsidRDefault="00D509CE" w:rsidP="00D5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9CE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Použít pouze po zvážení terapeutického prospěchu a rizika příslušným veterinárním lékařem.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46332" w:rsidRPr="005372D0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76B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Interakce s dalšími léčivými přípravky a další formy interakce:</w:t>
      </w:r>
    </w:p>
    <w:p w:rsidR="00D509CE" w:rsidRPr="00D509CE" w:rsidRDefault="00D509CE" w:rsidP="00D50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Přípravek nepodávejte současně s </w:t>
      </w:r>
      <w:proofErr w:type="spellStart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monensinem</w:t>
      </w:r>
      <w:proofErr w:type="spellEnd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narazinem</w:t>
      </w:r>
      <w:proofErr w:type="spellEnd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 </w:t>
      </w:r>
      <w:proofErr w:type="spellStart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salinomycinem</w:t>
      </w:r>
      <w:proofErr w:type="spellEnd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Tiamulin vykazuje interakce s těmito ionofory a může vyústit v příznaky nerozeznatelné od ion</w:t>
      </w:r>
      <w:r w:rsidR="0063432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</w:t>
      </w:r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forové toxikózy. Zvířatům by se neměly podávat přípravky obsahující </w:t>
      </w:r>
      <w:proofErr w:type="spellStart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monensin</w:t>
      </w:r>
      <w:proofErr w:type="spellEnd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salinomycin</w:t>
      </w:r>
      <w:proofErr w:type="spellEnd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nebo </w:t>
      </w:r>
      <w:proofErr w:type="spellStart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narasin</w:t>
      </w:r>
      <w:proofErr w:type="spellEnd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během nebo alespoň 7 dní před nebo po léčbě </w:t>
      </w:r>
      <w:proofErr w:type="spellStart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tiamulinem</w:t>
      </w:r>
      <w:proofErr w:type="spellEnd"/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Následkem může být těžká deprese růstu, ataxie, paralýza nebo úhyn.</w:t>
      </w:r>
    </w:p>
    <w:p w:rsidR="00D509CE" w:rsidRPr="00D509CE" w:rsidRDefault="00D509CE" w:rsidP="00D50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Pokud se objeví příznaky interakce, zastavte okamžitě podávání kontaminovaného krmiva a odstraňte je. Nahraďte čerstvým krmivem neobsahujícím žádný z výše uvedených ionoforů.  </w:t>
      </w:r>
    </w:p>
    <w:p w:rsidR="00D509CE" w:rsidRPr="00746332" w:rsidRDefault="00D509CE" w:rsidP="00D50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09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Chlortetracyklin tvoří s dvoj- a trojmocnými kationty nerozpustné komplexy v důsledku čeho může dojít ke snížené absorpci z gastrointestinálního traktu. Nepodávejte současně s baktericidními antibiotiky (např. beta-laktamy a aminoglykosidy).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46332" w:rsidRPr="00476B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76B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Předávkování (symptomy, první pomoc, antidota)</w:t>
      </w:r>
      <w:r w:rsidRPr="00476B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</w:t>
      </w:r>
    </w:p>
    <w:p w:rsidR="00F53B11" w:rsidRPr="00F53B11" w:rsidRDefault="00F53B11" w:rsidP="00F53B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B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Předávkování tetracykliny není obvyklé, protože velmi vysoké dávky jsou zvířaty většinou tolerovány. Předávkování přípravkem způsobuje </w:t>
      </w:r>
      <w:proofErr w:type="spellStart"/>
      <w:r w:rsidRPr="00F53B11">
        <w:rPr>
          <w:rFonts w:ascii="Times New Roman" w:eastAsia="Times New Roman" w:hAnsi="Times New Roman" w:cs="Times New Roman"/>
          <w:sz w:val="24"/>
          <w:szCs w:val="24"/>
          <w:lang w:eastAsia="cs-CZ"/>
        </w:rPr>
        <w:t>nefrotoxicitu</w:t>
      </w:r>
      <w:proofErr w:type="spellEnd"/>
      <w:r w:rsidRPr="00F53B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53B11">
        <w:rPr>
          <w:rFonts w:ascii="Times New Roman" w:eastAsia="Times New Roman" w:hAnsi="Times New Roman" w:cs="Times New Roman"/>
          <w:sz w:val="24"/>
          <w:szCs w:val="24"/>
          <w:lang w:eastAsia="cs-CZ"/>
        </w:rPr>
        <w:t>hepatotoxicitu</w:t>
      </w:r>
      <w:proofErr w:type="spellEnd"/>
      <w:r w:rsidRPr="00F53B11">
        <w:rPr>
          <w:rFonts w:ascii="Times New Roman" w:eastAsia="Times New Roman" w:hAnsi="Times New Roman" w:cs="Times New Roman"/>
          <w:sz w:val="24"/>
          <w:szCs w:val="24"/>
          <w:lang w:eastAsia="cs-CZ"/>
        </w:rPr>
        <w:t>. V případě příznaků z předávkování léčbu přípravkem přerušte.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46332" w:rsidRPr="00476B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76B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Inkompatibility</w:t>
      </w:r>
      <w:r w:rsidRPr="00476B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</w:t>
      </w:r>
    </w:p>
    <w:p w:rsidR="009A53CA" w:rsidRPr="009A53CA" w:rsidRDefault="009A53CA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Neuplatňuje se.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46332" w:rsidRPr="00746332" w:rsidRDefault="00746332" w:rsidP="00476B04">
      <w:pPr>
        <w:keepNext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15.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Zvláštní opatření pro zneškodňování nepoužitých přípravků nebo odpadu, pokud je jich třeba</w:t>
      </w:r>
    </w:p>
    <w:p w:rsidR="005372D0" w:rsidRDefault="005372D0" w:rsidP="00476B0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2D0" w:rsidRPr="005372D0" w:rsidRDefault="005372D0" w:rsidP="00537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2D0">
        <w:rPr>
          <w:rFonts w:ascii="Times New Roman" w:eastAsia="Times New Roman" w:hAnsi="Times New Roman" w:cs="Times New Roman"/>
          <w:sz w:val="24"/>
          <w:szCs w:val="24"/>
          <w:lang w:eastAsia="cs-CZ"/>
        </w:rPr>
        <w:t>Léčivé přípravky se nesmí likvidovat prostřednictvím odpadní vody či domovního odpadu.</w:t>
      </w:r>
    </w:p>
    <w:p w:rsidR="00746332" w:rsidRPr="00476B04" w:rsidRDefault="005372D0" w:rsidP="00537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2D0">
        <w:rPr>
          <w:rFonts w:ascii="Times New Roman" w:eastAsia="Times New Roman" w:hAnsi="Times New Roman" w:cs="Times New Roman"/>
          <w:sz w:val="24"/>
          <w:szCs w:val="24"/>
          <w:lang w:eastAsia="cs-CZ"/>
        </w:rPr>
        <w:t>O možnostech likvidace nepotřebných léčivých přípravků se poraďte s vaším veterinárním lékařem. Tato opatření napomáhají chránit životní prostředí.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746332" w:rsidRPr="00746332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16.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Datum poslední revize příbalové informace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Default="0063432E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Září</w:t>
      </w:r>
      <w:r w:rsidR="005372D0" w:rsidRPr="00F53B11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 xml:space="preserve"> </w:t>
      </w:r>
      <w:r w:rsidR="00F53B11" w:rsidRPr="00F53B11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2021</w:t>
      </w:r>
    </w:p>
    <w:p w:rsidR="00F53B11" w:rsidRPr="00F53B11" w:rsidRDefault="00F53B11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:rsidR="00746332" w:rsidRPr="00746332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17.</w:t>
      </w:r>
      <w:r w:rsidR="00F53B1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F53B1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Další informace</w:t>
      </w:r>
    </w:p>
    <w:p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2D0" w:rsidRDefault="005372D0" w:rsidP="00587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372D0">
        <w:rPr>
          <w:rFonts w:ascii="Times New Roman" w:eastAsia="Times New Roman" w:hAnsi="Times New Roman" w:cs="Times New Roman"/>
          <w:color w:val="000000"/>
          <w:lang w:eastAsia="sv-SE"/>
        </w:rPr>
        <w:t>Tiamulin je perzistentní v půdách.</w:t>
      </w:r>
    </w:p>
    <w:p w:rsidR="005372D0" w:rsidRDefault="005372D0" w:rsidP="00587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587397" w:rsidRDefault="00587397" w:rsidP="00587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Velikosti balení: </w:t>
      </w:r>
      <w:r w:rsidRPr="00587397">
        <w:rPr>
          <w:rFonts w:ascii="Times New Roman" w:eastAsia="Times New Roman" w:hAnsi="Times New Roman" w:cs="Times New Roman"/>
          <w:color w:val="000000"/>
          <w:lang w:eastAsia="sv-SE"/>
        </w:rPr>
        <w:t>1 kg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r w:rsidRPr="00587397">
        <w:rPr>
          <w:rFonts w:ascii="Times New Roman" w:eastAsia="Times New Roman" w:hAnsi="Times New Roman" w:cs="Times New Roman"/>
          <w:color w:val="000000"/>
          <w:lang w:eastAsia="sv-SE"/>
        </w:rPr>
        <w:t>3 kg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r w:rsidRPr="00587397">
        <w:rPr>
          <w:rFonts w:ascii="Times New Roman" w:eastAsia="Times New Roman" w:hAnsi="Times New Roman" w:cs="Times New Roman"/>
          <w:color w:val="000000"/>
          <w:lang w:eastAsia="sv-SE"/>
        </w:rPr>
        <w:t>5 kg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r w:rsidRPr="00587397">
        <w:rPr>
          <w:rFonts w:ascii="Times New Roman" w:eastAsia="Times New Roman" w:hAnsi="Times New Roman" w:cs="Times New Roman"/>
          <w:color w:val="000000"/>
          <w:lang w:eastAsia="sv-SE"/>
        </w:rPr>
        <w:t>10 kg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r w:rsidRPr="00587397">
        <w:rPr>
          <w:rFonts w:ascii="Times New Roman" w:eastAsia="Times New Roman" w:hAnsi="Times New Roman" w:cs="Times New Roman"/>
          <w:color w:val="000000"/>
          <w:lang w:eastAsia="sv-SE"/>
        </w:rPr>
        <w:t>20 kg</w:t>
      </w:r>
    </w:p>
    <w:p w:rsidR="00587397" w:rsidRDefault="00587397" w:rsidP="00B8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Na trhu nemusí být všechny velikosti balení.</w:t>
      </w:r>
    </w:p>
    <w:p w:rsidR="00587397" w:rsidRDefault="00587397" w:rsidP="00B8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8641A" w:rsidRPr="00707B7A" w:rsidRDefault="00B8641A" w:rsidP="00B8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707B7A">
        <w:rPr>
          <w:rFonts w:ascii="Times New Roman" w:eastAsia="Times New Roman" w:hAnsi="Times New Roman" w:cs="Times New Roman"/>
          <w:color w:val="000000"/>
          <w:lang w:eastAsia="sv-SE"/>
        </w:rPr>
        <w:t xml:space="preserve">Pokud chcete získat informace o tomto veterinárním léčivém přípravku, kontaktujte prosím příslušného místního zástupce držitele rozhodnutí o registraci. </w:t>
      </w:r>
    </w:p>
    <w:p w:rsidR="00B8641A" w:rsidRPr="00707B7A" w:rsidRDefault="00B8641A" w:rsidP="00B8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8641A" w:rsidRPr="00707B7A" w:rsidRDefault="00B8641A" w:rsidP="00B8641A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bookmarkStart w:id="1" w:name="_Toc488408228"/>
      <w:bookmarkStart w:id="2" w:name="_Toc490657313"/>
      <w:r w:rsidRPr="00707B7A">
        <w:rPr>
          <w:rFonts w:ascii="Times New Roman" w:eastAsia="Times New Roman" w:hAnsi="Times New Roman" w:cs="Times New Roman"/>
          <w:b/>
          <w:lang w:eastAsia="cs-CZ"/>
        </w:rPr>
        <w:t>Česká republika</w:t>
      </w:r>
      <w:bookmarkEnd w:id="1"/>
      <w:bookmarkEnd w:id="2"/>
    </w:p>
    <w:p w:rsidR="00B8641A" w:rsidRPr="007E403F" w:rsidRDefault="00B8641A" w:rsidP="00B864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E403F">
        <w:rPr>
          <w:rFonts w:ascii="Times New Roman" w:eastAsia="Times New Roman" w:hAnsi="Times New Roman" w:cs="Times New Roman"/>
          <w:lang w:eastAsia="cs-CZ"/>
        </w:rPr>
        <w:lastRenderedPageBreak/>
        <w:t>UNIVIT s.r.o.</w:t>
      </w:r>
    </w:p>
    <w:p w:rsidR="00B8641A" w:rsidRPr="007E403F" w:rsidRDefault="00B8641A" w:rsidP="00B864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Na V</w:t>
      </w:r>
      <w:r w:rsidRPr="007E403F">
        <w:rPr>
          <w:rFonts w:ascii="Times New Roman" w:eastAsia="Times New Roman" w:hAnsi="Times New Roman" w:cs="Times New Roman"/>
          <w:lang w:eastAsia="cs-CZ"/>
        </w:rPr>
        <w:t>lčinci 16/3</w:t>
      </w:r>
    </w:p>
    <w:p w:rsidR="00B8641A" w:rsidRPr="007E403F" w:rsidRDefault="00B8641A" w:rsidP="00B864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E403F">
        <w:rPr>
          <w:rFonts w:ascii="Times New Roman" w:eastAsia="Times New Roman" w:hAnsi="Times New Roman" w:cs="Times New Roman"/>
          <w:lang w:eastAsia="cs-CZ"/>
        </w:rPr>
        <w:t>CZ 779 00 Olomouc</w:t>
      </w:r>
    </w:p>
    <w:p w:rsidR="00B8641A" w:rsidRPr="007E403F" w:rsidRDefault="00B8641A" w:rsidP="00B864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E403F">
        <w:rPr>
          <w:rFonts w:ascii="Times New Roman" w:eastAsia="Times New Roman" w:hAnsi="Times New Roman" w:cs="Times New Roman"/>
          <w:lang w:eastAsia="cs-CZ"/>
        </w:rPr>
        <w:t>Tel: +420 585 547 124</w:t>
      </w:r>
    </w:p>
    <w:p w:rsidR="00746332" w:rsidRPr="00746332" w:rsidRDefault="00B8641A" w:rsidP="00B864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03F">
        <w:rPr>
          <w:rFonts w:ascii="Times New Roman" w:eastAsia="Times New Roman" w:hAnsi="Times New Roman" w:cs="Times New Roman"/>
          <w:lang w:eastAsia="cs-CZ"/>
        </w:rPr>
        <w:t>univit@univit.cz</w:t>
      </w:r>
    </w:p>
    <w:p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18.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Označení “Pouze pro zvířata” a podmínky nebo omezení týkající se výdeje a použití, pokud je jich třeba</w:t>
      </w:r>
    </w:p>
    <w:p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Pr="00746332" w:rsidRDefault="00F53B11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Pouze pro zvířata. </w:t>
      </w:r>
      <w:r w:rsidR="00746332" w:rsidRPr="00746332">
        <w:rPr>
          <w:rFonts w:ascii="Times New Roman" w:eastAsia="Times New Roman" w:hAnsi="Times New Roman" w:cs="Times New Roman"/>
          <w:sz w:val="24"/>
          <w:szCs w:val="24"/>
          <w:lang w:eastAsia="sv-SE"/>
        </w:rPr>
        <w:t>Veterinární léčivý příprav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ek je vydáván pouze na předpis.</w:t>
      </w:r>
    </w:p>
    <w:p w:rsidR="00746332" w:rsidRPr="00746332" w:rsidRDefault="00F53B11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53B11">
        <w:rPr>
          <w:rFonts w:ascii="Times New Roman" w:eastAsia="Times New Roman" w:hAnsi="Times New Roman" w:cs="Times New Roman"/>
          <w:sz w:val="24"/>
          <w:szCs w:val="24"/>
          <w:lang w:eastAsia="sv-SE"/>
        </w:rPr>
        <w:t>Musí být respektována úřední pravidla pro míchání medikovaných premixů do konečných krmiv.</w:t>
      </w:r>
    </w:p>
    <w:p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19.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Označení “Uchovávat mimo dohled a dosah dětí”</w:t>
      </w:r>
    </w:p>
    <w:p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sz w:val="24"/>
          <w:szCs w:val="24"/>
          <w:lang w:eastAsia="sv-SE"/>
        </w:rPr>
        <w:t>Uchovávat mimo dohled a dosah dětí.</w:t>
      </w:r>
    </w:p>
    <w:p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Datum exspirace</w:t>
      </w:r>
    </w:p>
    <w:p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Default="009A53CA" w:rsidP="00476B04">
      <w:pP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 xml:space="preserve">EXP: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  <w:t>{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  <w:t>měsíc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  <w:t>/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  <w:t>rok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  <w:t>}</w:t>
      </w:r>
    </w:p>
    <w:p w:rsidR="009A53CA" w:rsidRPr="009A53CA" w:rsidRDefault="009A53CA" w:rsidP="009A53CA">
      <w:pP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9A53CA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Doba použitelnosti po prvním otevření vnitřního obalu: 30 dní</w:t>
      </w:r>
    </w:p>
    <w:p w:rsidR="009A53CA" w:rsidRDefault="009A53CA" w:rsidP="00476B04">
      <w:pP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9A53CA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Doba použitelnosti po zamíchání do sypkého nebo peletovaného krmiva: 3 měsíce</w:t>
      </w:r>
    </w:p>
    <w:p w:rsidR="009A53CA" w:rsidRPr="00476B04" w:rsidRDefault="009A53CA" w:rsidP="00476B04">
      <w:pP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  <w:t xml:space="preserve">Po 1.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  <w:t>otevření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  <w:t>spotřebujte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sv-SE"/>
        </w:rPr>
        <w:t>do:…</w:t>
      </w:r>
      <w:proofErr w:type="gramEnd"/>
    </w:p>
    <w:p w:rsidR="00746332" w:rsidRPr="00476B04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21.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Registrační číslo(a)</w:t>
      </w:r>
    </w:p>
    <w:p w:rsidR="00746332" w:rsidRPr="00746332" w:rsidRDefault="00746332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B24762" w:rsidRPr="00B24762" w:rsidRDefault="00B24762" w:rsidP="00B24762">
      <w:pPr>
        <w:spacing w:after="0" w:line="240" w:lineRule="auto"/>
        <w:ind w:right="-318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B24762">
        <w:rPr>
          <w:rFonts w:ascii="Times New Roman" w:eastAsia="Times New Roman" w:hAnsi="Times New Roman" w:cs="Times New Roman"/>
          <w:sz w:val="24"/>
          <w:szCs w:val="24"/>
          <w:lang w:eastAsia="cs-CZ"/>
        </w:rPr>
        <w:t>98/199/96-C</w:t>
      </w:r>
    </w:p>
    <w:p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22. Číslo šarže od výrobce</w:t>
      </w:r>
    </w:p>
    <w:p w:rsidR="00746332" w:rsidRPr="00746332" w:rsidRDefault="00746332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46332" w:rsidRPr="00746332" w:rsidRDefault="00CA45E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Šarže</w:t>
      </w:r>
      <w:r w:rsidR="00746332" w:rsidRPr="00746332">
        <w:rPr>
          <w:rFonts w:ascii="Times New Roman" w:eastAsia="Times New Roman" w:hAnsi="Times New Roman" w:cs="Times New Roman"/>
          <w:sz w:val="24"/>
          <w:szCs w:val="24"/>
          <w:lang w:eastAsia="sv-SE"/>
        </w:rPr>
        <w:t>: {číslo}</w:t>
      </w:r>
    </w:p>
    <w:p w:rsidR="00746332" w:rsidRPr="00746332" w:rsidRDefault="00746332" w:rsidP="0074633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332" w:rsidRPr="00746332" w:rsidRDefault="00746332" w:rsidP="0074633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635334" w:rsidRPr="00635334" w:rsidRDefault="00635334">
      <w:pPr>
        <w:rPr>
          <w:lang w:val="en-GB"/>
        </w:rPr>
      </w:pPr>
    </w:p>
    <w:sectPr w:rsidR="00635334" w:rsidRPr="00635334" w:rsidSect="004F4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A73" w:rsidRDefault="008E7A73" w:rsidP="00746332">
      <w:pPr>
        <w:spacing w:after="0" w:line="240" w:lineRule="auto"/>
      </w:pPr>
      <w:r>
        <w:separator/>
      </w:r>
    </w:p>
  </w:endnote>
  <w:endnote w:type="continuationSeparator" w:id="0">
    <w:p w:rsidR="008E7A73" w:rsidRDefault="008E7A73" w:rsidP="007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8B" w:rsidRDefault="005138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51" w:rsidRDefault="0074633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851" w:rsidRPr="00AA27C1" w:rsidRDefault="008E7A73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:rsidR="00EB2851" w:rsidRPr="00AA27C1" w:rsidRDefault="008E7A73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8B" w:rsidRDefault="005138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A73" w:rsidRDefault="008E7A73" w:rsidP="00746332">
      <w:pPr>
        <w:spacing w:after="0" w:line="240" w:lineRule="auto"/>
      </w:pPr>
      <w:r>
        <w:separator/>
      </w:r>
    </w:p>
  </w:footnote>
  <w:footnote w:type="continuationSeparator" w:id="0">
    <w:p w:rsidR="008E7A73" w:rsidRDefault="008E7A73" w:rsidP="0074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8B" w:rsidRDefault="005138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51" w:rsidRDefault="008E7A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8B" w:rsidRDefault="005138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332"/>
    <w:rsid w:val="00106673"/>
    <w:rsid w:val="001745D8"/>
    <w:rsid w:val="00184318"/>
    <w:rsid w:val="001A0F13"/>
    <w:rsid w:val="001B0078"/>
    <w:rsid w:val="00220FAB"/>
    <w:rsid w:val="002E5E47"/>
    <w:rsid w:val="0046479B"/>
    <w:rsid w:val="00476B04"/>
    <w:rsid w:val="0051388B"/>
    <w:rsid w:val="00517251"/>
    <w:rsid w:val="005372D0"/>
    <w:rsid w:val="0053756E"/>
    <w:rsid w:val="00540777"/>
    <w:rsid w:val="0056258C"/>
    <w:rsid w:val="00567ABB"/>
    <w:rsid w:val="00587397"/>
    <w:rsid w:val="005D7A29"/>
    <w:rsid w:val="005F6648"/>
    <w:rsid w:val="0063432E"/>
    <w:rsid w:val="00635334"/>
    <w:rsid w:val="00681B63"/>
    <w:rsid w:val="006A25A7"/>
    <w:rsid w:val="006D1212"/>
    <w:rsid w:val="006E75A5"/>
    <w:rsid w:val="00746332"/>
    <w:rsid w:val="007534AD"/>
    <w:rsid w:val="0085117A"/>
    <w:rsid w:val="008512C1"/>
    <w:rsid w:val="008B3B01"/>
    <w:rsid w:val="008C3CD7"/>
    <w:rsid w:val="008E7A73"/>
    <w:rsid w:val="008F286B"/>
    <w:rsid w:val="00934301"/>
    <w:rsid w:val="009A53CA"/>
    <w:rsid w:val="00A31AE9"/>
    <w:rsid w:val="00A36158"/>
    <w:rsid w:val="00B24762"/>
    <w:rsid w:val="00B8097C"/>
    <w:rsid w:val="00B8641A"/>
    <w:rsid w:val="00CA45E2"/>
    <w:rsid w:val="00D14CBA"/>
    <w:rsid w:val="00D509CE"/>
    <w:rsid w:val="00D74B92"/>
    <w:rsid w:val="00D861FF"/>
    <w:rsid w:val="00EA0548"/>
    <w:rsid w:val="00F04337"/>
    <w:rsid w:val="00F53B11"/>
    <w:rsid w:val="00F70AA5"/>
    <w:rsid w:val="00FB287A"/>
    <w:rsid w:val="00FD4C92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ED5A7-C612-45E4-AF74-FA12B63B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1330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Šťastná Hana</cp:lastModifiedBy>
  <cp:revision>37</cp:revision>
  <cp:lastPrinted>2021-09-24T06:59:00Z</cp:lastPrinted>
  <dcterms:created xsi:type="dcterms:W3CDTF">2021-03-19T09:37:00Z</dcterms:created>
  <dcterms:modified xsi:type="dcterms:W3CDTF">2021-09-24T06:59:00Z</dcterms:modified>
</cp:coreProperties>
</file>