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93" w:rsidRPr="004A6B93" w:rsidRDefault="004A6B93" w:rsidP="004A6B93">
      <w:pPr>
        <w:widowControl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>PŘÍBALOVÁ INFORMACE</w:t>
      </w:r>
    </w:p>
    <w:p w:rsidR="004A6B93" w:rsidRPr="004A6B93" w:rsidRDefault="004A6B93" w:rsidP="004A6B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</w:pPr>
    </w:p>
    <w:p w:rsidR="004A6B93" w:rsidRPr="004A6B93" w:rsidRDefault="004A6B93" w:rsidP="004A6B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</w:pPr>
      <w:proofErr w:type="spellStart"/>
      <w:r w:rsidRPr="004A6B93"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  <w:t>Benakor</w:t>
      </w:r>
      <w:proofErr w:type="spellEnd"/>
      <w:r w:rsidRPr="004A6B93">
        <w:rPr>
          <w:rFonts w:ascii="Times New Roman" w:eastAsia="Times New Roman" w:hAnsi="Times New Roman" w:cs="Times New Roman"/>
          <w:b/>
          <w:color w:val="000000"/>
          <w:kern w:val="14"/>
          <w:lang w:eastAsia="nl-NL"/>
        </w:rPr>
        <w:t xml:space="preserve"> F 20 mg tablety pro psy</w:t>
      </w:r>
    </w:p>
    <w:p w:rsidR="004A6B93" w:rsidRPr="004A6B93" w:rsidRDefault="004A6B93" w:rsidP="004A6B93">
      <w:pPr>
        <w:widowControl w:val="0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1.</w:t>
      </w: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ab/>
        <w:t>JMÉNO A ADRESA DRŽITELE ROZHODNUTÍ O REGISTRACI A DRŽITELE POVOLENÍ K VÝROBĚ ODPOVĚDNÉHO ZA UVOLNĚNÍ ŠARŽE, POKUD SE NESHODUJE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iCs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iCs/>
          <w:kern w:val="14"/>
          <w:u w:val="single"/>
          <w:lang w:eastAsia="nl-NL"/>
        </w:rPr>
        <w:t>Držitel rozhodnutí o registraci</w:t>
      </w:r>
      <w:r w:rsidRPr="004A6B93">
        <w:rPr>
          <w:rFonts w:ascii="Times New Roman" w:eastAsia="Times New Roman" w:hAnsi="Times New Roman" w:cs="Times New Roman"/>
          <w:iCs/>
          <w:kern w:val="14"/>
          <w:lang w:eastAsia="nl-NL"/>
        </w:rPr>
        <w:t>:</w:t>
      </w: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Le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Vet. B.V.</w:t>
      </w: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Wilgenweg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7</w:t>
      </w: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3421 TV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Oudewater</w:t>
      </w:r>
      <w:proofErr w:type="spellEnd"/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Nizozemsko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Cs/>
          <w:kern w:val="14"/>
          <w:u w:val="single"/>
          <w:lang w:eastAsia="nl-NL"/>
        </w:rPr>
      </w:pPr>
      <w:r w:rsidRPr="004A6B93">
        <w:rPr>
          <w:rFonts w:ascii="Times New Roman" w:eastAsia="Times New Roman" w:hAnsi="Times New Roman" w:cs="Times New Roman"/>
          <w:bCs/>
          <w:kern w:val="14"/>
          <w:u w:val="single"/>
          <w:lang w:eastAsia="nl-NL"/>
        </w:rPr>
        <w:t>Výrobce odpovědný za uvolnění šarže</w:t>
      </w:r>
      <w:r w:rsidRPr="004A6B93">
        <w:rPr>
          <w:rFonts w:ascii="Times New Roman" w:eastAsia="Times New Roman" w:hAnsi="Times New Roman" w:cs="Times New Roman"/>
          <w:kern w:val="14"/>
          <w:lang w:eastAsia="nl-NL"/>
        </w:rPr>
        <w:t>:</w:t>
      </w: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LelyPharma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B.V.</w:t>
      </w: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Zuiveringweg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42</w:t>
      </w: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8243 PZ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Lelystad</w:t>
      </w:r>
      <w:proofErr w:type="spellEnd"/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Nizozemsko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2.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NÁZEV VETERINÁRNÍHO LÉČIVÉHO PŘÍPRAVKU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4A6B93">
        <w:rPr>
          <w:rFonts w:ascii="Times New Roman" w:eastAsia="Times New Roman" w:hAnsi="Times New Roman" w:cs="Times New Roman"/>
          <w:color w:val="000000"/>
        </w:rPr>
        <w:t>Benakor</w:t>
      </w:r>
      <w:proofErr w:type="spellEnd"/>
      <w:r w:rsidRPr="004A6B93">
        <w:rPr>
          <w:rFonts w:ascii="Times New Roman" w:eastAsia="Times New Roman" w:hAnsi="Times New Roman" w:cs="Times New Roman"/>
          <w:color w:val="000000"/>
        </w:rPr>
        <w:t xml:space="preserve"> F 20 mg, tablety pro psy</w:t>
      </w: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4A6B93">
        <w:rPr>
          <w:rFonts w:ascii="Times New Roman" w:eastAsia="Times New Roman" w:hAnsi="Times New Roman" w:cs="Times New Roman"/>
          <w:bCs/>
          <w:color w:val="000000"/>
        </w:rPr>
        <w:t>Benazeprili</w:t>
      </w:r>
      <w:proofErr w:type="spellEnd"/>
      <w:r w:rsidRPr="004A6B9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4A6B93">
        <w:rPr>
          <w:rFonts w:ascii="Times New Roman" w:eastAsia="Times New Roman" w:hAnsi="Times New Roman" w:cs="Times New Roman"/>
          <w:bCs/>
          <w:color w:val="000000"/>
        </w:rPr>
        <w:t>hydrochloridum</w:t>
      </w:r>
      <w:proofErr w:type="spellEnd"/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3.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OBSAH LÉČIVÝCH A OSTATNÍCH LÁTEK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Cs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bCs/>
          <w:kern w:val="14"/>
          <w:lang w:eastAsia="nl-NL"/>
        </w:rPr>
        <w:t>Jedna tableta obsahuje: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proofErr w:type="spellStart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Benazeprili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hydrochloridum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 </w:t>
      </w:r>
      <w:r w:rsidRPr="004A6B93">
        <w:rPr>
          <w:rFonts w:ascii="Times New Roman" w:eastAsia="Times New Roman" w:hAnsi="Times New Roman" w:cs="Times New Roman"/>
          <w:bCs/>
          <w:kern w:val="14"/>
          <w:lang w:eastAsia="nl-NL"/>
        </w:rPr>
        <w:t>20 mg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6B93">
        <w:rPr>
          <w:rFonts w:ascii="Times New Roman" w:eastAsia="Times New Roman" w:hAnsi="Times New Roman" w:cs="Times New Roman"/>
          <w:color w:val="000000"/>
        </w:rPr>
        <w:t>Barvivo: oxidy železa (E172) 8 mg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6B93">
        <w:rPr>
          <w:rFonts w:ascii="Times New Roman" w:eastAsia="Times New Roman" w:hAnsi="Times New Roman" w:cs="Times New Roman"/>
          <w:color w:val="000000"/>
        </w:rPr>
        <w:t>Oranžové podlouhlé dělitelné tablety s </w:t>
      </w:r>
      <w:r w:rsidR="003E1BF4">
        <w:rPr>
          <w:rFonts w:ascii="Times New Roman" w:eastAsia="Times New Roman" w:hAnsi="Times New Roman" w:cs="Times New Roman"/>
          <w:color w:val="000000"/>
        </w:rPr>
        <w:t>dě</w:t>
      </w:r>
      <w:r w:rsidRPr="004A6B93">
        <w:rPr>
          <w:rFonts w:ascii="Times New Roman" w:eastAsia="Times New Roman" w:hAnsi="Times New Roman" w:cs="Times New Roman"/>
          <w:color w:val="000000"/>
        </w:rPr>
        <w:t xml:space="preserve">lící rýhou na </w:t>
      </w:r>
      <w:r w:rsidR="003E1BF4">
        <w:rPr>
          <w:rFonts w:ascii="Times New Roman" w:eastAsia="Times New Roman" w:hAnsi="Times New Roman" w:cs="Times New Roman"/>
          <w:color w:val="000000"/>
        </w:rPr>
        <w:t>obou stranách</w:t>
      </w:r>
      <w:r w:rsidRPr="004A6B93">
        <w:rPr>
          <w:rFonts w:ascii="Times New Roman" w:eastAsia="Times New Roman" w:hAnsi="Times New Roman" w:cs="Times New Roman"/>
          <w:color w:val="000000"/>
        </w:rPr>
        <w:t>.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4.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INDIKACE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4A6B93" w:rsidRPr="004A6B93" w:rsidRDefault="004A6B93" w:rsidP="004A6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A6B93">
        <w:rPr>
          <w:rFonts w:ascii="Times New Roman" w:eastAsia="Times New Roman" w:hAnsi="Times New Roman" w:cs="Times New Roman"/>
          <w:lang w:eastAsia="cs-CZ"/>
        </w:rPr>
        <w:t>Přípravek patří do skupiny léčiv zvaných inhibitory angiotensin konvertujícího enzymu (ACE). Předepisuje jej veterinární lékař k léčbě městnavého srdečního selhání u psů.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5.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 xml:space="preserve"> 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KONTRAINDIKACE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B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A6B93">
        <w:rPr>
          <w:rFonts w:ascii="Times New Roman" w:eastAsia="Times New Roman" w:hAnsi="Times New Roman" w:cs="Times New Roman"/>
          <w:lang w:eastAsia="cs-CZ"/>
        </w:rPr>
        <w:t xml:space="preserve">Nepoužívat v případě přecitlivělosti na léčivou látku </w:t>
      </w:r>
      <w:proofErr w:type="spellStart"/>
      <w:r w:rsidRPr="004A6B93">
        <w:rPr>
          <w:rFonts w:ascii="Times New Roman" w:eastAsia="Times New Roman" w:hAnsi="Times New Roman" w:cs="Times New Roman"/>
          <w:lang w:eastAsia="cs-CZ"/>
        </w:rPr>
        <w:t>benazepril</w:t>
      </w:r>
      <w:proofErr w:type="spellEnd"/>
      <w:r w:rsidRPr="004A6B93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4A6B93">
        <w:rPr>
          <w:rFonts w:ascii="Times New Roman" w:eastAsia="Times New Roman" w:hAnsi="Times New Roman" w:cs="Times New Roman"/>
          <w:lang w:eastAsia="cs-CZ"/>
        </w:rPr>
        <w:t>hydrochlorid</w:t>
      </w:r>
      <w:proofErr w:type="spellEnd"/>
      <w:r w:rsidRPr="004A6B93">
        <w:rPr>
          <w:rFonts w:ascii="Times New Roman" w:eastAsia="Times New Roman" w:hAnsi="Times New Roman" w:cs="Times New Roman"/>
          <w:lang w:eastAsia="cs-CZ"/>
        </w:rPr>
        <w:t xml:space="preserve"> nebo na některou ze složek tablety.</w:t>
      </w:r>
    </w:p>
    <w:p w:rsidR="004A6B93" w:rsidRPr="004A6B93" w:rsidRDefault="004A6B93" w:rsidP="00B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A6B93">
        <w:rPr>
          <w:rFonts w:ascii="Times New Roman" w:eastAsia="Times New Roman" w:hAnsi="Times New Roman" w:cs="Times New Roman"/>
          <w:lang w:eastAsia="cs-CZ"/>
        </w:rPr>
        <w:t xml:space="preserve">Nepoužívat v případě hypotenze (nízký krevní tlak), hypovolemie (nízký objem krve), </w:t>
      </w:r>
      <w:proofErr w:type="spellStart"/>
      <w:r w:rsidRPr="004A6B93">
        <w:rPr>
          <w:rFonts w:ascii="Times New Roman" w:eastAsia="Times New Roman" w:hAnsi="Times New Roman" w:cs="Times New Roman"/>
          <w:lang w:eastAsia="cs-CZ"/>
        </w:rPr>
        <w:t>hyponatremie</w:t>
      </w:r>
      <w:proofErr w:type="spellEnd"/>
      <w:r w:rsidRPr="004A6B93">
        <w:rPr>
          <w:rFonts w:ascii="Times New Roman" w:eastAsia="Times New Roman" w:hAnsi="Times New Roman" w:cs="Times New Roman"/>
          <w:lang w:eastAsia="cs-CZ"/>
        </w:rPr>
        <w:t xml:space="preserve"> (nízká hladina sodíku v krvi) nebo akutního selhání ledvin.</w:t>
      </w:r>
    </w:p>
    <w:p w:rsidR="004A6B93" w:rsidRPr="004A6B93" w:rsidRDefault="004A6B93" w:rsidP="00B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A6B93">
        <w:rPr>
          <w:rFonts w:ascii="Times New Roman" w:eastAsia="Times New Roman" w:hAnsi="Times New Roman" w:cs="Times New Roman"/>
          <w:lang w:eastAsia="cs-CZ"/>
        </w:rPr>
        <w:t>Nepoužívat v případě snížení srdečního výdeje v důsledku aortální nebo pulmonální stenózy.</w:t>
      </w:r>
    </w:p>
    <w:p w:rsidR="004A6B93" w:rsidRPr="004A6B93" w:rsidRDefault="004A6B93" w:rsidP="00B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A6B93">
        <w:rPr>
          <w:rFonts w:ascii="Times New Roman" w:eastAsia="Times New Roman" w:hAnsi="Times New Roman" w:cs="Times New Roman"/>
          <w:lang w:eastAsia="cs-CZ"/>
        </w:rPr>
        <w:t xml:space="preserve">Nepoužívat u březích nebo </w:t>
      </w:r>
      <w:proofErr w:type="spellStart"/>
      <w:r w:rsidRPr="004A6B93">
        <w:rPr>
          <w:rFonts w:ascii="Times New Roman" w:eastAsia="Times New Roman" w:hAnsi="Times New Roman" w:cs="Times New Roman"/>
          <w:lang w:eastAsia="cs-CZ"/>
        </w:rPr>
        <w:t>laktujících</w:t>
      </w:r>
      <w:proofErr w:type="spellEnd"/>
      <w:r w:rsidRPr="004A6B93">
        <w:rPr>
          <w:rFonts w:ascii="Times New Roman" w:eastAsia="Times New Roman" w:hAnsi="Times New Roman" w:cs="Times New Roman"/>
          <w:lang w:eastAsia="cs-CZ"/>
        </w:rPr>
        <w:t xml:space="preserve"> fen, protože bezpečnost </w:t>
      </w:r>
      <w:proofErr w:type="spellStart"/>
      <w:r w:rsidRPr="004A6B93">
        <w:rPr>
          <w:rFonts w:ascii="Times New Roman" w:eastAsia="Times New Roman" w:hAnsi="Times New Roman" w:cs="Times New Roman"/>
          <w:lang w:eastAsia="cs-CZ"/>
        </w:rPr>
        <w:t>benazepril</w:t>
      </w:r>
      <w:proofErr w:type="spellEnd"/>
      <w:r w:rsidRPr="004A6B93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spellStart"/>
      <w:r w:rsidRPr="004A6B93">
        <w:rPr>
          <w:rFonts w:ascii="Times New Roman" w:eastAsia="Times New Roman" w:hAnsi="Times New Roman" w:cs="Times New Roman"/>
          <w:lang w:eastAsia="cs-CZ"/>
        </w:rPr>
        <w:t>hydrochloridu</w:t>
      </w:r>
      <w:proofErr w:type="spellEnd"/>
      <w:r w:rsidRPr="004A6B93">
        <w:rPr>
          <w:rFonts w:ascii="Times New Roman" w:eastAsia="Times New Roman" w:hAnsi="Times New Roman" w:cs="Times New Roman"/>
          <w:lang w:eastAsia="cs-CZ"/>
        </w:rPr>
        <w:t xml:space="preserve"> nebyla u </w:t>
      </w:r>
      <w:r w:rsidR="00D359F8">
        <w:rPr>
          <w:rFonts w:ascii="Times New Roman" w:eastAsia="Times New Roman" w:hAnsi="Times New Roman" w:cs="Times New Roman"/>
          <w:lang w:eastAsia="cs-CZ"/>
        </w:rPr>
        <w:t>nich</w:t>
      </w:r>
      <w:r w:rsidRPr="004A6B93">
        <w:rPr>
          <w:rFonts w:ascii="Times New Roman" w:eastAsia="Times New Roman" w:hAnsi="Times New Roman" w:cs="Times New Roman"/>
          <w:lang w:eastAsia="cs-CZ"/>
        </w:rPr>
        <w:t xml:space="preserve"> v průběhu březosti </w:t>
      </w:r>
      <w:r w:rsidR="00D359F8">
        <w:rPr>
          <w:rFonts w:ascii="Times New Roman" w:eastAsia="Times New Roman" w:hAnsi="Times New Roman" w:cs="Times New Roman"/>
          <w:lang w:eastAsia="cs-CZ"/>
        </w:rPr>
        <w:t>nebo</w:t>
      </w:r>
      <w:r w:rsidRPr="004A6B93">
        <w:rPr>
          <w:rFonts w:ascii="Times New Roman" w:eastAsia="Times New Roman" w:hAnsi="Times New Roman" w:cs="Times New Roman"/>
          <w:lang w:eastAsia="cs-CZ"/>
        </w:rPr>
        <w:t xml:space="preserve"> laktace stanov</w:t>
      </w:r>
      <w:r w:rsidR="00D359F8">
        <w:rPr>
          <w:rFonts w:ascii="Times New Roman" w:eastAsia="Times New Roman" w:hAnsi="Times New Roman" w:cs="Times New Roman"/>
          <w:lang w:eastAsia="cs-CZ"/>
        </w:rPr>
        <w:t>ena</w:t>
      </w:r>
      <w:r w:rsidRPr="004A6B93">
        <w:rPr>
          <w:rFonts w:ascii="Times New Roman" w:eastAsia="Times New Roman" w:hAnsi="Times New Roman" w:cs="Times New Roman"/>
          <w:lang w:eastAsia="cs-CZ"/>
        </w:rPr>
        <w:t>.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6.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NEŽÁDOUCÍ ÚČINKY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B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A6B93">
        <w:rPr>
          <w:rFonts w:ascii="Times New Roman" w:eastAsia="Times New Roman" w:hAnsi="Times New Roman" w:cs="Times New Roman"/>
          <w:lang w:eastAsia="cs-CZ"/>
        </w:rPr>
        <w:t xml:space="preserve">U některých psů s městnavým srdečním selháním může dojít v průběhu léčby ke zvracení nebo </w:t>
      </w:r>
      <w:r w:rsidR="00416AC5" w:rsidRPr="004A6B93">
        <w:rPr>
          <w:rFonts w:ascii="Times New Roman" w:eastAsia="Times New Roman" w:hAnsi="Times New Roman" w:cs="Times New Roman"/>
          <w:lang w:eastAsia="cs-CZ"/>
        </w:rPr>
        <w:t>k</w:t>
      </w:r>
      <w:r w:rsidR="00416AC5">
        <w:rPr>
          <w:rFonts w:ascii="Times New Roman" w:eastAsia="Times New Roman" w:hAnsi="Times New Roman" w:cs="Times New Roman"/>
          <w:lang w:eastAsia="cs-CZ"/>
        </w:rPr>
        <w:t> </w:t>
      </w:r>
      <w:r w:rsidRPr="004A6B93">
        <w:rPr>
          <w:rFonts w:ascii="Times New Roman" w:eastAsia="Times New Roman" w:hAnsi="Times New Roman" w:cs="Times New Roman"/>
          <w:lang w:eastAsia="cs-CZ"/>
        </w:rPr>
        <w:t>únavě.</w:t>
      </w:r>
    </w:p>
    <w:p w:rsidR="004A6B93" w:rsidRPr="004A6B93" w:rsidRDefault="004A6B93" w:rsidP="00BB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U psů s chronickým onemocněním ledvin může přípravek na začátku léčby zvýšit koncentrace kreatininu v plazmě. Mírné zvýšení koncentrací kreatininu v plazmě po podání inhibitorů ACE je kompatibilní se snížením glomerulární hypertenze vyvolaným těmito látkami, a proto není v případě absence dalších příznaků nezbytným důvodem k zastavení léčby.</w:t>
      </w:r>
    </w:p>
    <w:p w:rsidR="004A6B93" w:rsidRPr="004A6B93" w:rsidRDefault="004A6B93" w:rsidP="00B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A6B93" w:rsidRPr="004A6B93" w:rsidRDefault="004A6B93" w:rsidP="00BB47F6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Jestliže zaznamenáte kterýkoliv z nežádoucích účinků</w:t>
      </w:r>
      <w:r w:rsidR="00AB0D81">
        <w:rPr>
          <w:rFonts w:ascii="Times New Roman" w:eastAsia="Times New Roman" w:hAnsi="Times New Roman" w:cs="Times New Roman"/>
          <w:kern w:val="14"/>
          <w:lang w:eastAsia="nl-NL"/>
        </w:rPr>
        <w:t>,</w:t>
      </w:r>
      <w:r w:rsidRPr="004A6B93">
        <w:rPr>
          <w:rFonts w:ascii="Times New Roman" w:eastAsia="Times New Roman" w:hAnsi="Times New Roman" w:cs="Times New Roman"/>
          <w:kern w:val="14"/>
          <w:lang w:eastAsia="nl-NL"/>
        </w:rPr>
        <w:t xml:space="preserve"> a to i takové, které nejsou uvedeny v této příbalové informaci, nebo si myslíte, že léčivo ne</w:t>
      </w:r>
      <w:r w:rsidR="00D359F8">
        <w:rPr>
          <w:rFonts w:ascii="Times New Roman" w:eastAsia="Times New Roman" w:hAnsi="Times New Roman" w:cs="Times New Roman"/>
          <w:kern w:val="14"/>
          <w:lang w:eastAsia="nl-NL"/>
        </w:rPr>
        <w:t>ní účinné</w:t>
      </w:r>
      <w:r w:rsidRPr="004A6B93">
        <w:rPr>
          <w:rFonts w:ascii="Times New Roman" w:eastAsia="Times New Roman" w:hAnsi="Times New Roman" w:cs="Times New Roman"/>
          <w:kern w:val="14"/>
          <w:lang w:eastAsia="nl-NL"/>
        </w:rPr>
        <w:t>, oznamte to, prosím, vašemu veterinárnímu lékaři.</w:t>
      </w:r>
    </w:p>
    <w:p w:rsidR="004A6B93" w:rsidRPr="004A6B93" w:rsidRDefault="004A6B93" w:rsidP="004A6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7.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CÍLOVÝ DRUH ZVÍŘAT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Psi.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8.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DÁVKOVÁNÍ PRO KAŽDÝ DRUH, CESTA A ZPŮSOB PODÁNÍ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A6B93">
        <w:rPr>
          <w:rFonts w:ascii="Times New Roman" w:eastAsia="Times New Roman" w:hAnsi="Times New Roman" w:cs="Times New Roman"/>
          <w:lang w:eastAsia="cs-CZ"/>
        </w:rPr>
        <w:t>Přípravek se podává perorálně jednou denně s potravou nebo nalačno. Délka léčby je neomezená.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6B93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Přípravek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se podává perorálně v minimální dávce 0,25 mg (rozmezí 0,25 - 0,5)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benazepril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hydrochloridu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/kg ž. hm. jedenkrát denně podle následující tabulky:</w:t>
      </w:r>
      <w:r w:rsidRPr="004A6B9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3587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2191"/>
        <w:gridCol w:w="2192"/>
      </w:tblGrid>
      <w:tr w:rsidR="004A6B93" w:rsidRPr="004A6B93" w:rsidTr="00175225">
        <w:tc>
          <w:tcPr>
            <w:tcW w:w="1629" w:type="pct"/>
            <w:vMerge w:val="restart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B93">
              <w:rPr>
                <w:rFonts w:ascii="Times New Roman" w:eastAsia="Times New Roman" w:hAnsi="Times New Roman" w:cs="Times New Roman"/>
                <w:color w:val="000000"/>
              </w:rPr>
              <w:t>hmotnost psa (kg)</w:t>
            </w:r>
          </w:p>
        </w:tc>
        <w:tc>
          <w:tcPr>
            <w:tcW w:w="3371" w:type="pct"/>
            <w:gridSpan w:val="2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A6B93">
              <w:rPr>
                <w:rFonts w:ascii="Times New Roman" w:eastAsia="Times New Roman" w:hAnsi="Times New Roman" w:cs="Times New Roman"/>
                <w:color w:val="000000"/>
              </w:rPr>
              <w:t>Benakor</w:t>
            </w:r>
            <w:proofErr w:type="spellEnd"/>
            <w:r w:rsidRPr="004A6B93">
              <w:rPr>
                <w:rFonts w:ascii="Times New Roman" w:eastAsia="Times New Roman" w:hAnsi="Times New Roman" w:cs="Times New Roman"/>
                <w:color w:val="000000"/>
              </w:rPr>
              <w:t xml:space="preserve"> F 20 mg</w:t>
            </w:r>
          </w:p>
        </w:tc>
      </w:tr>
      <w:tr w:rsidR="004A6B93" w:rsidRPr="004A6B93" w:rsidTr="00175225">
        <w:tc>
          <w:tcPr>
            <w:tcW w:w="1629" w:type="pct"/>
            <w:vMerge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pct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B9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standardní dávka</w:t>
            </w:r>
          </w:p>
        </w:tc>
        <w:tc>
          <w:tcPr>
            <w:tcW w:w="1685" w:type="pct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B93">
              <w:rPr>
                <w:rFonts w:ascii="Times New Roman" w:eastAsia="Times New Roman" w:hAnsi="Times New Roman" w:cs="Times New Roman"/>
                <w:color w:val="000000"/>
              </w:rPr>
              <w:t>dvojnásobná dávka</w:t>
            </w:r>
          </w:p>
        </w:tc>
      </w:tr>
      <w:tr w:rsidR="004A6B93" w:rsidRPr="004A6B93" w:rsidTr="00175225">
        <w:tc>
          <w:tcPr>
            <w:tcW w:w="1629" w:type="pct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B93">
              <w:rPr>
                <w:rFonts w:ascii="Times New Roman" w:eastAsia="Times New Roman" w:hAnsi="Times New Roman" w:cs="Times New Roman"/>
                <w:color w:val="000000"/>
              </w:rPr>
              <w:t>&gt;20-40</w:t>
            </w:r>
          </w:p>
        </w:tc>
        <w:tc>
          <w:tcPr>
            <w:tcW w:w="1685" w:type="pct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B93">
              <w:rPr>
                <w:rFonts w:ascii="Times New Roman" w:eastAsia="Times New Roman" w:hAnsi="Times New Roman" w:cs="Times New Roman"/>
                <w:color w:val="000000"/>
              </w:rPr>
              <w:t>0,5 tablety</w:t>
            </w:r>
          </w:p>
        </w:tc>
        <w:tc>
          <w:tcPr>
            <w:tcW w:w="1685" w:type="pct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B93">
              <w:rPr>
                <w:rFonts w:ascii="Times New Roman" w:eastAsia="Times New Roman" w:hAnsi="Times New Roman" w:cs="Times New Roman"/>
                <w:color w:val="000000"/>
              </w:rPr>
              <w:t>1 tableta</w:t>
            </w:r>
          </w:p>
        </w:tc>
      </w:tr>
      <w:tr w:rsidR="004A6B93" w:rsidRPr="004A6B93" w:rsidTr="00175225">
        <w:tc>
          <w:tcPr>
            <w:tcW w:w="1629" w:type="pct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B93">
              <w:rPr>
                <w:rFonts w:ascii="Times New Roman" w:eastAsia="Times New Roman" w:hAnsi="Times New Roman" w:cs="Times New Roman"/>
                <w:color w:val="000000"/>
              </w:rPr>
              <w:t>&gt;40-80</w:t>
            </w:r>
          </w:p>
        </w:tc>
        <w:tc>
          <w:tcPr>
            <w:tcW w:w="1685" w:type="pct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B93">
              <w:rPr>
                <w:rFonts w:ascii="Times New Roman" w:eastAsia="Times New Roman" w:hAnsi="Times New Roman" w:cs="Times New Roman"/>
                <w:color w:val="000000"/>
              </w:rPr>
              <w:t>1 tableta</w:t>
            </w:r>
          </w:p>
        </w:tc>
        <w:tc>
          <w:tcPr>
            <w:tcW w:w="1685" w:type="pct"/>
          </w:tcPr>
          <w:p w:rsidR="004A6B93" w:rsidRPr="004A6B93" w:rsidRDefault="004A6B93" w:rsidP="004A6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6B93">
              <w:rPr>
                <w:rFonts w:ascii="Times New Roman" w:eastAsia="Times New Roman" w:hAnsi="Times New Roman" w:cs="Times New Roman"/>
                <w:color w:val="000000"/>
              </w:rPr>
              <w:t>2 tablety</w:t>
            </w:r>
          </w:p>
        </w:tc>
      </w:tr>
    </w:tbl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4A6B93" w:rsidRPr="004A6B93" w:rsidRDefault="004A6B93" w:rsidP="00BB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Dávku lze zdvojnásobit při zachování frekvence podávání jedenkrát denně na minimální dávku 0,5 mg/kg (rozmezí 0,5 - 1,0), pokud je tento krok posouzen jako klinicky nezbytný a doporučí ho veterinární lékař.</w:t>
      </w:r>
      <w:r w:rsidRPr="004A6B9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A6B93" w:rsidRPr="004A6B93" w:rsidRDefault="004A6B93" w:rsidP="00B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4A6B93" w:rsidRPr="004A6B93" w:rsidRDefault="004A6B93" w:rsidP="00B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A6B93">
        <w:rPr>
          <w:rFonts w:ascii="Times New Roman" w:eastAsia="Times New Roman" w:hAnsi="Times New Roman" w:cs="Times New Roman"/>
          <w:lang w:eastAsia="cs-CZ"/>
        </w:rPr>
        <w:t>Vždy dodržujte pokyny veterinárního lékaře k dávkování.</w:t>
      </w:r>
      <w:r w:rsidRPr="004A6B9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A6B93" w:rsidRPr="004A6B93" w:rsidRDefault="004A6B93" w:rsidP="00BB4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A6B93" w:rsidRPr="004A6B93" w:rsidRDefault="004A6B93" w:rsidP="00BB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A6B93">
        <w:rPr>
          <w:rFonts w:ascii="Times New Roman" w:eastAsia="Times New Roman" w:hAnsi="Times New Roman" w:cs="Times New Roman"/>
          <w:color w:val="000000"/>
        </w:rPr>
        <w:t>V případě použití rozpůlených tablet: Vložte zbývající polovinu tablety zpět do blistru a skladujte na suchém místě při teplotě do 25ºC. Zbývající polovinu tablety použijte při následujícím podání.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9.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POKYNY PRO SPRÁVNÉ PODÁNÍ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Pouze pro zvířata. Pouze pro perorální podání.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10.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 xml:space="preserve">OCHRANNÁ LHŮTA 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iCs/>
          <w:kern w:val="14"/>
          <w:lang w:eastAsia="nl-NL"/>
        </w:rPr>
      </w:pP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Není určeno pro potravinová zvířata</w:t>
      </w:r>
      <w:r w:rsidRPr="004A6B93">
        <w:rPr>
          <w:rFonts w:ascii="Times New Roman" w:eastAsia="Times New Roman" w:hAnsi="Times New Roman" w:cs="Times New Roman"/>
          <w:color w:val="000000"/>
        </w:rPr>
        <w:t>.</w:t>
      </w:r>
    </w:p>
    <w:p w:rsidR="004A6B93" w:rsidRPr="004A6B93" w:rsidRDefault="004A6B93" w:rsidP="004A6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11.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ZVLÁŠTNÍ OPATŘENÍ PRO UCHOVÁVÁNÍ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 xml:space="preserve">Uchovávat mimo </w:t>
      </w:r>
      <w:r w:rsidRPr="004A6B93">
        <w:rPr>
          <w:rFonts w:ascii="Times New Roman" w:eastAsia="Times New Roman" w:hAnsi="Times New Roman" w:cs="Times New Roman"/>
          <w:kern w:val="14"/>
          <w:lang w:val="pt-PT" w:eastAsia="nl-NL"/>
        </w:rPr>
        <w:t>dohled a</w:t>
      </w:r>
      <w:r w:rsidRPr="004A6B93">
        <w:rPr>
          <w:rFonts w:ascii="Times New Roman" w:eastAsia="Times New Roman" w:hAnsi="Times New Roman" w:cs="Times New Roman"/>
          <w:kern w:val="14"/>
          <w:lang w:eastAsia="nl-NL"/>
        </w:rPr>
        <w:t xml:space="preserve"> dosah dětí.</w:t>
      </w:r>
    </w:p>
    <w:p w:rsidR="004A6B93" w:rsidRPr="004A6B93" w:rsidRDefault="004A6B93" w:rsidP="004A6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4A6B93" w:rsidRPr="004A6B93" w:rsidRDefault="004A6B93" w:rsidP="004A6B93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Uchovávejte při teplotě do 25 </w:t>
      </w: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sym w:font="Symbol" w:char="F0B0"/>
      </w: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C.</w:t>
      </w:r>
    </w:p>
    <w:p w:rsidR="004A6B93" w:rsidRPr="004A6B93" w:rsidRDefault="004A6B93" w:rsidP="004A6B93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Uchovávejte v původním obalu.</w:t>
      </w:r>
    </w:p>
    <w:p w:rsidR="004A6B93" w:rsidRPr="004A6B93" w:rsidRDefault="004A6B93" w:rsidP="004A6B93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Nepoužívejte tento veterinární léčivý přípravek po uplynutí doby použitelnosti uvedené na krabičce po EXP.</w:t>
      </w:r>
    </w:p>
    <w:p w:rsidR="004A6B93" w:rsidRPr="004A6B93" w:rsidRDefault="004A6B93" w:rsidP="004A6B93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Doba použitelnosti zbylé poloviny tablety: 1 den.</w:t>
      </w:r>
    </w:p>
    <w:p w:rsidR="004A6B93" w:rsidRPr="004A6B93" w:rsidRDefault="004A6B93" w:rsidP="004A6B93">
      <w:pPr>
        <w:widowControl w:val="0"/>
        <w:spacing w:after="0" w:line="240" w:lineRule="auto"/>
        <w:ind w:right="-318"/>
        <w:rPr>
          <w:rFonts w:ascii="Times New Roman" w:eastAsia="Times New Roman" w:hAnsi="Times New Roman" w:cs="Times New Roman"/>
          <w:bCs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Zbylé nepoužité poloviny tablet vraťte zpět do blistru a uchovávejte v původním obalu.</w:t>
      </w: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12.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ZVLÁŠTNÍ UPOZORNĚNÍ</w:t>
      </w:r>
    </w:p>
    <w:p w:rsidR="004A6B93" w:rsidRPr="004A6B93" w:rsidRDefault="004A6B93" w:rsidP="00BB47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4A6B93" w:rsidRPr="00BB47F6" w:rsidRDefault="004A6B93" w:rsidP="00BB47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</w:pPr>
      <w:r w:rsidRPr="00BB47F6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Zvláštní upozornění pro každý cílový druh:</w:t>
      </w:r>
    </w:p>
    <w:p w:rsidR="004A6B93" w:rsidRPr="004A6B93" w:rsidRDefault="004A6B93" w:rsidP="00BB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Účinnost a bezpečnost </w:t>
      </w:r>
      <w:r w:rsidRPr="004A6B93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přípravku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nebyla stanovována u psů s živou hmotností nižší než </w:t>
      </w:r>
      <w:smartTag w:uri="urn:schemas-microsoft-com:office:smarttags" w:element="metricconverter">
        <w:smartTagPr>
          <w:attr w:name="ProductID" w:val="2,5 kg"/>
        </w:smartTagPr>
        <w:r w:rsidRPr="004A6B93">
          <w:rPr>
            <w:rFonts w:ascii="Times New Roman" w:eastAsia="Times New Roman" w:hAnsi="Times New Roman" w:cs="Times New Roman"/>
            <w:color w:val="000000"/>
            <w:lang w:eastAsia="cs-CZ"/>
          </w:rPr>
          <w:t>2,5 kg</w:t>
        </w:r>
      </w:smartTag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4A6B93" w:rsidRPr="004A6B93" w:rsidRDefault="004A6B93" w:rsidP="00BB47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</w:pPr>
    </w:p>
    <w:p w:rsidR="004A6B93" w:rsidRPr="00BB47F6" w:rsidRDefault="004A6B93" w:rsidP="00BB47F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</w:pPr>
      <w:r w:rsidRPr="00BB47F6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Zvláštní opatření pro použití u zvířat</w:t>
      </w:r>
      <w:r w:rsidRPr="004A6B93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:</w:t>
      </w:r>
    </w:p>
    <w:p w:rsidR="004A6B93" w:rsidRPr="004A6B93" w:rsidRDefault="004A6B93" w:rsidP="00BB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V případě chronického onemocnění ledvin zkontroluje váš veterinární lékař před zahájením léčby stav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>hydratace zvířete a může doporučit v průběhu léčby provádění monitoringu plasmatické koncentrace kreatininu a počtu erytrocytů.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A6B93" w:rsidRPr="00BB47F6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</w:pPr>
      <w:r w:rsidRPr="00BB47F6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Zvláštní opatření určené osobám, které podávají veterinární léčivý přípravek zvířatům</w:t>
      </w:r>
      <w:r w:rsidRPr="004A6B93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: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Po použití si umyjte ruce.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V případě náhodného pozření vyhledejte ihned lékařskou pomoc a ukažte etiketu nebo příbalovou informaci praktickému lékaři.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iCs/>
          <w:lang w:eastAsia="cs-CZ"/>
        </w:rPr>
        <w:t xml:space="preserve">Těhotné ženy by měly dbát zvýšené opatrnosti, aby se vyhnuly náhodnému pozření přípravku, protože bylo zjištěno, že </w:t>
      </w:r>
      <w:r w:rsidRPr="004A6B93">
        <w:rPr>
          <w:rFonts w:ascii="Times New Roman" w:eastAsia="Times New Roman" w:hAnsi="Times New Roman" w:cs="Times New Roman"/>
          <w:lang w:eastAsia="cs-CZ"/>
        </w:rPr>
        <w:t xml:space="preserve">inhibitory </w:t>
      </w:r>
      <w:proofErr w:type="spellStart"/>
      <w:r w:rsidRPr="004A6B93">
        <w:rPr>
          <w:rFonts w:ascii="Times New Roman" w:eastAsia="Times New Roman" w:hAnsi="Times New Roman" w:cs="Times New Roman"/>
          <w:lang w:eastAsia="cs-CZ"/>
        </w:rPr>
        <w:t>angiotenzin</w:t>
      </w:r>
      <w:proofErr w:type="spellEnd"/>
      <w:r w:rsidRPr="004A6B93">
        <w:rPr>
          <w:rFonts w:ascii="Times New Roman" w:eastAsia="Times New Roman" w:hAnsi="Times New Roman" w:cs="Times New Roman"/>
          <w:lang w:eastAsia="cs-CZ"/>
        </w:rPr>
        <w:t xml:space="preserve"> konvertujícího enzymu (ACE) </w:t>
      </w:r>
      <w:r w:rsidRPr="004A6B93">
        <w:rPr>
          <w:rFonts w:ascii="Times New Roman" w:eastAsia="Times New Roman" w:hAnsi="Times New Roman" w:cs="Times New Roman"/>
          <w:iCs/>
          <w:lang w:eastAsia="cs-CZ"/>
        </w:rPr>
        <w:t xml:space="preserve">mají vliv na lidský plod </w:t>
      </w:r>
      <w:r w:rsidR="00416AC5" w:rsidRPr="004A6B93">
        <w:rPr>
          <w:rFonts w:ascii="Times New Roman" w:eastAsia="Times New Roman" w:hAnsi="Times New Roman" w:cs="Times New Roman"/>
          <w:iCs/>
          <w:lang w:eastAsia="cs-CZ"/>
        </w:rPr>
        <w:t>v</w:t>
      </w:r>
      <w:r w:rsidR="00416AC5">
        <w:rPr>
          <w:rFonts w:ascii="Times New Roman" w:eastAsia="Times New Roman" w:hAnsi="Times New Roman" w:cs="Times New Roman"/>
          <w:iCs/>
          <w:lang w:eastAsia="cs-CZ"/>
        </w:rPr>
        <w:t> </w:t>
      </w:r>
      <w:r w:rsidRPr="004A6B93">
        <w:rPr>
          <w:rFonts w:ascii="Times New Roman" w:eastAsia="Times New Roman" w:hAnsi="Times New Roman" w:cs="Times New Roman"/>
          <w:iCs/>
          <w:lang w:eastAsia="cs-CZ"/>
        </w:rPr>
        <w:t>průběhu těhotenství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4A6B93" w:rsidRPr="004A6B93" w:rsidRDefault="004A6B93" w:rsidP="004A6B93">
      <w:pPr>
        <w:widowControl w:val="0"/>
        <w:numPr>
          <w:ilvl w:val="12"/>
          <w:numId w:val="0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B47F6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Březost a laktace:</w:t>
      </w:r>
    </w:p>
    <w:p w:rsidR="004A6B93" w:rsidRPr="004A6B93" w:rsidRDefault="004A6B93" w:rsidP="004A6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Nepoužívat během březosti nebo laktace. Bezpečnost přípravku nebyla stanovena u chovných zvířat, březích a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laktujících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fen.</w:t>
      </w:r>
    </w:p>
    <w:p w:rsidR="004A6B93" w:rsidRPr="004A6B93" w:rsidRDefault="004A6B93" w:rsidP="004A6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4"/>
          <w:lang w:eastAsia="nl-NL"/>
        </w:rPr>
      </w:pPr>
    </w:p>
    <w:p w:rsidR="00D359F8" w:rsidRDefault="004A6B93" w:rsidP="004A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BB47F6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Interakce s dalšími léčivými přípravky a další formy interakce:</w:t>
      </w:r>
    </w:p>
    <w:p w:rsidR="004A6B93" w:rsidRPr="004A6B93" w:rsidRDefault="004A6B93" w:rsidP="004A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A6B93">
        <w:rPr>
          <w:rFonts w:ascii="Times New Roman" w:eastAsia="Times New Roman" w:hAnsi="Times New Roman" w:cs="Times New Roman"/>
          <w:lang w:eastAsia="cs-CZ"/>
        </w:rPr>
        <w:t>Informujte veterinárního lékaře, pokud zvíře užívá či nedávno užívalo jakékoli jiné léky.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U psů s městnavým srdečním selháním byl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</w:rPr>
        <w:t>benazepril</w:t>
      </w:r>
      <w:proofErr w:type="spellEnd"/>
      <w:r w:rsidRPr="004A6B9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</w:rPr>
        <w:t>hydrochlorid</w:t>
      </w:r>
      <w:proofErr w:type="spellEnd"/>
      <w:r w:rsidRPr="004A6B93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podáván v kombinaci </w:t>
      </w:r>
      <w:r w:rsidR="00416AC5" w:rsidRPr="004A6B93">
        <w:rPr>
          <w:rFonts w:ascii="Times New Roman" w:eastAsia="Times New Roman" w:hAnsi="Times New Roman" w:cs="Times New Roman"/>
          <w:color w:val="000000"/>
          <w:lang w:eastAsia="cs-CZ"/>
        </w:rPr>
        <w:t>s</w:t>
      </w:r>
      <w:r w:rsidR="00416AC5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digoxinem, diuretiky,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pimobendanem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a antiarytmickými veterinárními léčivými přípravky bez prokazatelných nežádoucích interakcí.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U lidí může vést kombinace ACE inhibitorů s nesteroidními antiflogistiky (NSAID) ke snížené antihypertenzní účinnosti či k narušení funkce ledvin. Kombinace </w:t>
      </w:r>
      <w:r w:rsidRPr="004A6B93">
        <w:rPr>
          <w:rFonts w:ascii="Times New Roman" w:eastAsia="Times New Roman" w:hAnsi="Times New Roman" w:cs="Times New Roman"/>
          <w:color w:val="000000"/>
        </w:rPr>
        <w:t>přípravku</w:t>
      </w:r>
      <w:r w:rsidRPr="004A6B93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a dalších antihypertenzních léčiv (např. blokátorů kalciového kanálu,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sym w:font="Symbol" w:char="F062"/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-blokátorů nebo diuretik), anestetik nebo sedativ může vést ke zvýšeným hypotenzním účinkům. Proto je zapotřebí pečlivě zvážit současné podávání NSAID nebo jiných léčiv s hypotenzním účinkem.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Je možné, že veterinární lékař doporučí podrobné sledování funkce ledvin a příznaků nízkého krevního tlaku (letargie, slabost atd.) a v případě potřeby je bude léčit.</w:t>
      </w:r>
    </w:p>
    <w:p w:rsidR="004A6B93" w:rsidRPr="004A6B93" w:rsidRDefault="004A6B93" w:rsidP="004A6B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 xml:space="preserve">Nelze vyloučit interakce s draslík šetřícími diuretiky jako je </w:t>
      </w:r>
      <w:proofErr w:type="spellStart"/>
      <w:r w:rsidRPr="004A6B93">
        <w:rPr>
          <w:rFonts w:ascii="Times New Roman" w:eastAsia="Times New Roman" w:hAnsi="Times New Roman" w:cs="Times New Roman"/>
          <w:kern w:val="14"/>
          <w:lang w:eastAsia="nl-NL"/>
        </w:rPr>
        <w:t>spironolakton</w:t>
      </w:r>
      <w:proofErr w:type="spellEnd"/>
      <w:r w:rsidRPr="004A6B93">
        <w:rPr>
          <w:rFonts w:ascii="Times New Roman" w:eastAsia="Times New Roman" w:hAnsi="Times New Roman" w:cs="Times New Roman"/>
          <w:kern w:val="14"/>
          <w:lang w:eastAsia="nl-NL"/>
        </w:rPr>
        <w:t xml:space="preserve">, </w:t>
      </w:r>
      <w:proofErr w:type="spellStart"/>
      <w:r w:rsidRPr="004A6B93">
        <w:rPr>
          <w:rFonts w:ascii="Times New Roman" w:eastAsia="Times New Roman" w:hAnsi="Times New Roman" w:cs="Times New Roman"/>
          <w:kern w:val="14"/>
          <w:lang w:eastAsia="nl-NL"/>
        </w:rPr>
        <w:t>triamteren</w:t>
      </w:r>
      <w:proofErr w:type="spellEnd"/>
      <w:r w:rsidRPr="004A6B93">
        <w:rPr>
          <w:rFonts w:ascii="Times New Roman" w:eastAsia="Times New Roman" w:hAnsi="Times New Roman" w:cs="Times New Roman"/>
          <w:kern w:val="14"/>
          <w:lang w:eastAsia="nl-NL"/>
        </w:rPr>
        <w:t xml:space="preserve"> nebo </w:t>
      </w:r>
      <w:proofErr w:type="spellStart"/>
      <w:r w:rsidRPr="004A6B93">
        <w:rPr>
          <w:rFonts w:ascii="Times New Roman" w:eastAsia="Times New Roman" w:hAnsi="Times New Roman" w:cs="Times New Roman"/>
          <w:kern w:val="14"/>
          <w:lang w:eastAsia="nl-NL"/>
        </w:rPr>
        <w:t>amilorid</w:t>
      </w:r>
      <w:proofErr w:type="spellEnd"/>
      <w:r w:rsidRPr="004A6B93">
        <w:rPr>
          <w:rFonts w:ascii="Times New Roman" w:eastAsia="Times New Roman" w:hAnsi="Times New Roman" w:cs="Times New Roman"/>
          <w:kern w:val="14"/>
          <w:lang w:eastAsia="nl-NL"/>
        </w:rPr>
        <w:t>.</w:t>
      </w:r>
      <w:r w:rsidR="00DE2BE4">
        <w:rPr>
          <w:rFonts w:ascii="Times New Roman" w:eastAsia="Times New Roman" w:hAnsi="Times New Roman" w:cs="Times New Roman"/>
          <w:kern w:val="14"/>
          <w:lang w:eastAsia="nl-NL"/>
        </w:rPr>
        <w:t xml:space="preserve"> </w:t>
      </w:r>
      <w:bookmarkStart w:id="0" w:name="_GoBack"/>
      <w:bookmarkEnd w:id="0"/>
      <w:r w:rsidRPr="004A6B93">
        <w:rPr>
          <w:rFonts w:ascii="Times New Roman" w:eastAsia="Times New Roman" w:hAnsi="Times New Roman" w:cs="Times New Roman"/>
          <w:kern w:val="14"/>
          <w:lang w:eastAsia="nl-NL"/>
        </w:rPr>
        <w:t xml:space="preserve">Při užívání </w:t>
      </w:r>
      <w:proofErr w:type="spellStart"/>
      <w:r w:rsidRPr="004A6B93">
        <w:rPr>
          <w:rFonts w:ascii="Times New Roman" w:eastAsia="Times New Roman" w:hAnsi="Times New Roman" w:cs="Times New Roman"/>
          <w:iCs/>
          <w:kern w:val="14"/>
          <w:lang w:eastAsia="nl-NL"/>
        </w:rPr>
        <w:t>benazepril</w:t>
      </w:r>
      <w:proofErr w:type="spellEnd"/>
      <w:r w:rsidRPr="004A6B93">
        <w:rPr>
          <w:rFonts w:ascii="Times New Roman" w:eastAsia="Times New Roman" w:hAnsi="Times New Roman" w:cs="Times New Roman"/>
          <w:iCs/>
          <w:kern w:val="14"/>
          <w:lang w:eastAsia="nl-NL"/>
        </w:rPr>
        <w:t xml:space="preserve"> </w:t>
      </w:r>
      <w:proofErr w:type="spellStart"/>
      <w:r w:rsidRPr="004A6B93">
        <w:rPr>
          <w:rFonts w:ascii="Times New Roman" w:eastAsia="Times New Roman" w:hAnsi="Times New Roman" w:cs="Times New Roman"/>
          <w:iCs/>
          <w:kern w:val="14"/>
          <w:lang w:eastAsia="nl-NL"/>
        </w:rPr>
        <w:t>hydrochloridu</w:t>
      </w:r>
      <w:proofErr w:type="spellEnd"/>
      <w:r w:rsidRPr="004A6B93">
        <w:rPr>
          <w:rFonts w:ascii="Times New Roman" w:eastAsia="Times New Roman" w:hAnsi="Times New Roman" w:cs="Times New Roman"/>
          <w:i/>
          <w:iCs/>
          <w:kern w:val="14"/>
          <w:lang w:eastAsia="nl-NL"/>
        </w:rPr>
        <w:t xml:space="preserve"> </w:t>
      </w:r>
      <w:r w:rsidRPr="004A6B93">
        <w:rPr>
          <w:rFonts w:ascii="Times New Roman" w:eastAsia="Times New Roman" w:hAnsi="Times New Roman" w:cs="Times New Roman"/>
          <w:kern w:val="14"/>
          <w:lang w:eastAsia="nl-NL"/>
        </w:rPr>
        <w:t xml:space="preserve">v kombinaci s draslík šetřícími diuretiky se vzhledem </w:t>
      </w:r>
      <w:r w:rsidR="00416AC5" w:rsidRPr="004A6B93">
        <w:rPr>
          <w:rFonts w:ascii="Times New Roman" w:eastAsia="Times New Roman" w:hAnsi="Times New Roman" w:cs="Times New Roman"/>
          <w:kern w:val="14"/>
          <w:lang w:eastAsia="nl-NL"/>
        </w:rPr>
        <w:t>k</w:t>
      </w:r>
      <w:r w:rsidR="00416AC5">
        <w:rPr>
          <w:rFonts w:ascii="Times New Roman" w:eastAsia="Times New Roman" w:hAnsi="Times New Roman" w:cs="Times New Roman"/>
          <w:kern w:val="14"/>
          <w:lang w:eastAsia="nl-NL"/>
        </w:rPr>
        <w:t> </w:t>
      </w:r>
      <w:r w:rsidRPr="004A6B93">
        <w:rPr>
          <w:rFonts w:ascii="Times New Roman" w:eastAsia="Times New Roman" w:hAnsi="Times New Roman" w:cs="Times New Roman"/>
          <w:kern w:val="14"/>
          <w:lang w:eastAsia="nl-NL"/>
        </w:rPr>
        <w:t xml:space="preserve">riziku </w:t>
      </w:r>
      <w:proofErr w:type="spellStart"/>
      <w:r w:rsidRPr="004A6B93">
        <w:rPr>
          <w:rFonts w:ascii="Times New Roman" w:eastAsia="Times New Roman" w:hAnsi="Times New Roman" w:cs="Times New Roman"/>
          <w:kern w:val="14"/>
          <w:lang w:eastAsia="nl-NL"/>
        </w:rPr>
        <w:t>hyperkalemie</w:t>
      </w:r>
      <w:proofErr w:type="spellEnd"/>
      <w:r w:rsidRPr="004A6B93">
        <w:rPr>
          <w:rFonts w:ascii="Times New Roman" w:eastAsia="Times New Roman" w:hAnsi="Times New Roman" w:cs="Times New Roman"/>
          <w:kern w:val="14"/>
          <w:lang w:eastAsia="nl-NL"/>
        </w:rPr>
        <w:t xml:space="preserve"> doporučuje sledovat plasmatické koncentrace draslíku.</w:t>
      </w: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4A6B93" w:rsidRPr="00BB47F6" w:rsidRDefault="004A6B93" w:rsidP="00BB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BB47F6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 xml:space="preserve">Předávkování (symptomy, první pomoc, </w:t>
      </w:r>
      <w:proofErr w:type="spellStart"/>
      <w:r w:rsidRPr="00BB47F6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antidota</w:t>
      </w:r>
      <w:proofErr w:type="spellEnd"/>
      <w:r w:rsidRPr="00BB47F6">
        <w:rPr>
          <w:rFonts w:ascii="Times New Roman" w:eastAsia="Times New Roman" w:hAnsi="Times New Roman" w:cs="Times New Roman"/>
          <w:color w:val="000000"/>
          <w:kern w:val="14"/>
          <w:u w:val="single"/>
          <w:lang w:eastAsia="nl-NL"/>
        </w:rPr>
        <w:t>):</w:t>
      </w:r>
    </w:p>
    <w:p w:rsidR="004A6B93" w:rsidRPr="004A6B93" w:rsidRDefault="004A6B93" w:rsidP="00BB47F6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V případech náhodného předávkování může dojít k přechodné vratné hypotenzi (nízký krevní tlak). Léčba by měla spočívat v podání intravenózní infuze teplého fyziologického roztoku.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13.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ZVLÁŠTNÍ OPATŘENÍ PRO ZNEŠKODŇOVÁNÍ NEPOUŽITÝCH PŘÍPRAVKŮ NEBO ODPADU, POKUD JE JICH TŘEBA</w:t>
      </w:r>
    </w:p>
    <w:p w:rsidR="004A6B93" w:rsidRPr="004A6B93" w:rsidRDefault="004A6B93" w:rsidP="004A6B93">
      <w:pPr>
        <w:spacing w:after="0" w:line="260" w:lineRule="atLeast"/>
        <w:ind w:right="-318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BB47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Všechen nepoužitý veterinární léčivý přípravek nebo odpad, který pochází z tohoto přípravku, musí být likvidován podle místních právních předpisů</w:t>
      </w:r>
      <w:r w:rsidRPr="004A6B93">
        <w:rPr>
          <w:rFonts w:ascii="Times New Roman" w:eastAsia="Times New Roman" w:hAnsi="Times New Roman" w:cs="Times New Roman"/>
          <w:color w:val="000000"/>
        </w:rPr>
        <w:t>.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b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14.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DATUM POSLEDNÍ REVIZE PŘÍBALOVÉ INFORMACE</w:t>
      </w:r>
    </w:p>
    <w:p w:rsidR="004A6B93" w:rsidRPr="004A6B93" w:rsidRDefault="004A6B93" w:rsidP="004A6B93">
      <w:pPr>
        <w:spacing w:after="0" w:line="260" w:lineRule="atLeast"/>
        <w:ind w:right="-318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3E1BF4" w:rsidP="004A6B93">
      <w:pPr>
        <w:spacing w:after="0" w:line="260" w:lineRule="atLeast"/>
        <w:ind w:right="-318"/>
        <w:rPr>
          <w:rFonts w:ascii="Times New Roman" w:eastAsia="Times New Roman" w:hAnsi="Times New Roman" w:cs="Times New Roman"/>
          <w:kern w:val="14"/>
          <w:lang w:eastAsia="nl-NL"/>
        </w:rPr>
      </w:pPr>
      <w:r>
        <w:rPr>
          <w:rFonts w:ascii="Times New Roman" w:eastAsia="Times New Roman" w:hAnsi="Times New Roman" w:cs="Times New Roman"/>
          <w:kern w:val="14"/>
          <w:lang w:eastAsia="nl-NL"/>
        </w:rPr>
        <w:t xml:space="preserve">Září </w:t>
      </w:r>
      <w:r w:rsidR="00D359F8">
        <w:rPr>
          <w:rFonts w:ascii="Times New Roman" w:eastAsia="Times New Roman" w:hAnsi="Times New Roman" w:cs="Times New Roman"/>
          <w:kern w:val="14"/>
          <w:lang w:eastAsia="nl-NL"/>
        </w:rPr>
        <w:t>2021</w:t>
      </w:r>
    </w:p>
    <w:p w:rsidR="004A6B93" w:rsidRPr="004A6B93" w:rsidRDefault="004A6B93" w:rsidP="004A6B93">
      <w:pPr>
        <w:spacing w:after="0" w:line="260" w:lineRule="atLeast"/>
        <w:ind w:right="-318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  <w:r w:rsidRPr="00BB47F6">
        <w:rPr>
          <w:rFonts w:ascii="Times New Roman" w:eastAsia="Times New Roman" w:hAnsi="Times New Roman" w:cs="Times New Roman"/>
          <w:b/>
          <w:kern w:val="14"/>
          <w:highlight w:val="lightGray"/>
          <w:lang w:eastAsia="nl-NL"/>
        </w:rPr>
        <w:t>15.</w:t>
      </w:r>
      <w:r w:rsidRPr="004A6B93">
        <w:rPr>
          <w:rFonts w:ascii="Times New Roman" w:eastAsia="Times New Roman" w:hAnsi="Times New Roman" w:cs="Times New Roman"/>
          <w:b/>
          <w:kern w:val="14"/>
          <w:lang w:eastAsia="nl-NL"/>
        </w:rPr>
        <w:tab/>
        <w:t>DALŠÍ INFORMACE</w:t>
      </w:r>
    </w:p>
    <w:p w:rsidR="004A6B93" w:rsidRPr="004A6B93" w:rsidRDefault="004A6B93" w:rsidP="004A6B93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autoSpaceDE w:val="0"/>
        <w:autoSpaceDN w:val="0"/>
        <w:adjustRightInd w:val="0"/>
        <w:spacing w:after="0" w:line="260" w:lineRule="atLeast"/>
        <w:jc w:val="both"/>
        <w:rPr>
          <w:rFonts w:ascii="TimesNewRoman" w:eastAsia="Times New Roman" w:hAnsi="TimesNewRoman" w:cs="TimesNewRoman"/>
          <w:kern w:val="14"/>
          <w:lang w:eastAsia="nl-NL"/>
        </w:rPr>
      </w:pPr>
      <w:r w:rsidRPr="004A6B93">
        <w:rPr>
          <w:rFonts w:ascii="TimesNewRoman,Bold" w:eastAsia="Times New Roman" w:hAnsi="TimesNewRoman,Bold" w:cs="TimesNewRoman,Bold"/>
          <w:b/>
          <w:bCs/>
          <w:kern w:val="14"/>
          <w:lang w:eastAsia="nl-NL"/>
        </w:rPr>
        <w:t>Farmakodynamické vlastnosti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Benazepril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hydrochlorid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je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proléčivo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(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prodrug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)</w:t>
      </w:r>
      <w:r w:rsidR="00D359F8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hydrolyzované </w:t>
      </w:r>
      <w:r w:rsidRPr="004A6B93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in </w:t>
      </w:r>
      <w:proofErr w:type="spellStart"/>
      <w:r w:rsidRPr="004A6B93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vivo</w:t>
      </w:r>
      <w:proofErr w:type="spellEnd"/>
      <w:r w:rsidRPr="004A6B93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na vlastní aktivní metabolit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benazeprilát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Benazeprilát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je vysoce potentní a </w:t>
      </w:r>
      <w:r w:rsidRPr="004A6B93">
        <w:rPr>
          <w:rFonts w:ascii="Times New Roman" w:eastAsia="Times New Roman" w:hAnsi="Times New Roman" w:cs="Times New Roman"/>
          <w:lang w:eastAsia="cs-CZ"/>
        </w:rPr>
        <w:t xml:space="preserve">selektivní inhibitor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ACE,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a brání tak konverzi neaktivního angiotensinu I na aktivní angiotensin II a tím také snižuje syntézu aldosteronu. Blokuje tak účinky</w:t>
      </w:r>
      <w:r w:rsidRPr="004A6B93">
        <w:rPr>
          <w:rFonts w:ascii="Times New Roman" w:eastAsia="Times New Roman" w:hAnsi="Times New Roman" w:cs="Times New Roman"/>
          <w:color w:val="000000"/>
        </w:rPr>
        <w:t xml:space="preserve">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zprostředkované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angiotenzinem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II a aldosteronem včetně vazokonstrikce tepen i žil, retence sodíku </w:t>
      </w:r>
      <w:r w:rsidR="00416AC5" w:rsidRPr="004A6B93"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="00416AC5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vody ledvinami a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remodelačních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účinků (včetně patologické srdeční hypertrofie a degenerativních změn ledvin).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iCs/>
          <w:color w:val="000000"/>
          <w:kern w:val="14"/>
          <w:lang w:eastAsia="nl-NL"/>
        </w:rPr>
        <w:lastRenderedPageBreak/>
        <w:t>Přípravek</w:t>
      </w:r>
      <w:r w:rsidRPr="004A6B93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způsobuje dlouhotrvající inhibici aktivity ACE v plazmě u psů s více než 95 % inhibicí při maximálním účinku a významnou účinností (&gt; 80 % u psů) přetrvávající 24 hodin po dávce.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4A6B93">
        <w:rPr>
          <w:rFonts w:ascii="Times New Roman" w:eastAsia="Times New Roman" w:hAnsi="Times New Roman" w:cs="Times New Roman"/>
          <w:iCs/>
          <w:color w:val="000000"/>
          <w:kern w:val="14"/>
          <w:lang w:eastAsia="nl-NL"/>
        </w:rPr>
        <w:t>Přípravek</w:t>
      </w:r>
      <w:r w:rsidRPr="004A6B93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 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snižuje krevní tlak a objemovou zátěž srdečního svalu u psů s městnavým srdečním selháním.</w:t>
      </w:r>
    </w:p>
    <w:p w:rsidR="004A6B93" w:rsidRPr="004A6B93" w:rsidRDefault="004A6B93" w:rsidP="004A6B93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Benazeprilát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je u psů vylučován z 54 % žlučí a z 46 % močí.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Clearance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benazeprilátu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není u psů </w:t>
      </w:r>
      <w:r w:rsidR="00416AC5" w:rsidRPr="004A6B93">
        <w:rPr>
          <w:rFonts w:ascii="Times New Roman" w:eastAsia="Times New Roman" w:hAnsi="Times New Roman" w:cs="Times New Roman"/>
          <w:color w:val="000000"/>
          <w:lang w:eastAsia="cs-CZ"/>
        </w:rPr>
        <w:t>s</w:t>
      </w:r>
      <w:r w:rsidR="00416AC5">
        <w:rPr>
          <w:rFonts w:ascii="Times New Roman" w:eastAsia="Times New Roman" w:hAnsi="Times New Roman" w:cs="Times New Roman"/>
          <w:color w:val="000000"/>
          <w:lang w:eastAsia="cs-CZ"/>
        </w:rPr>
        <w:t> </w:t>
      </w:r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poškozenou renální funkcí ovlivněna, a proto není zapotřebí v případě renální nedostatečnosti upravovat dávku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benazepril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hydrochloridu</w:t>
      </w:r>
      <w:proofErr w:type="spellEnd"/>
      <w:r w:rsidRPr="004A6B93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4A6B93" w:rsidRPr="004A6B93" w:rsidRDefault="004A6B93" w:rsidP="004A6B93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Pouze pro zvířata.</w:t>
      </w:r>
    </w:p>
    <w:p w:rsidR="004A6B93" w:rsidRPr="004A6B93" w:rsidRDefault="004A6B93" w:rsidP="004A6B93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Veterinární léčivý přípravek je vydáván pouze na předpis.</w:t>
      </w:r>
    </w:p>
    <w:p w:rsidR="004A6B93" w:rsidRPr="004A6B93" w:rsidRDefault="004A6B93" w:rsidP="004A6B93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widowControl w:val="0"/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1 papírová krabička obsahuje:</w:t>
      </w:r>
    </w:p>
    <w:p w:rsidR="004A6B93" w:rsidRPr="004A6B93" w:rsidRDefault="004A6B93" w:rsidP="004A6B93">
      <w:pPr>
        <w:widowControl w:val="0"/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 xml:space="preserve">1, 2, 3, 4, 5, 6 nebo 7 blistrů </w:t>
      </w:r>
      <w:r w:rsidRPr="004A6B93">
        <w:rPr>
          <w:rFonts w:ascii="Times New Roman" w:eastAsia="Times New Roman" w:hAnsi="Times New Roman" w:cs="Times New Roman"/>
          <w:color w:val="000000"/>
        </w:rPr>
        <w:t>PVC/PE/PVDC/</w:t>
      </w: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hliníková fólie, každý obsahuje 14 tablet,</w:t>
      </w:r>
    </w:p>
    <w:p w:rsidR="004A6B93" w:rsidRPr="004A6B93" w:rsidRDefault="004A6B93" w:rsidP="004A6B93">
      <w:pPr>
        <w:widowControl w:val="0"/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nebo</w:t>
      </w:r>
    </w:p>
    <w:p w:rsidR="004A6B93" w:rsidRPr="004A6B93" w:rsidRDefault="004A6B93" w:rsidP="004A6B93">
      <w:pPr>
        <w:widowControl w:val="0"/>
        <w:spacing w:after="0" w:line="240" w:lineRule="auto"/>
        <w:ind w:right="-318"/>
        <w:jc w:val="both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color w:val="000000"/>
        </w:rPr>
        <w:t xml:space="preserve">1, 2, 3, 4, 5, 6, 7 blistrů </w:t>
      </w:r>
      <w:r w:rsidRPr="004A6B93">
        <w:rPr>
          <w:rFonts w:ascii="Times New Roman" w:eastAsia="Times New Roman" w:hAnsi="Times New Roman" w:cs="Times New Roman"/>
          <w:color w:val="000000"/>
          <w:kern w:val="14"/>
          <w:lang w:eastAsia="nl-NL"/>
        </w:rPr>
        <w:t>hliník/hliníková fólie, každý obsahuje 14 tablet.</w:t>
      </w:r>
    </w:p>
    <w:p w:rsidR="004A6B93" w:rsidRPr="004A6B93" w:rsidRDefault="004A6B93" w:rsidP="004A6B93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</w:p>
    <w:p w:rsidR="004A6B93" w:rsidRPr="004A6B93" w:rsidRDefault="004A6B93" w:rsidP="004A6B93">
      <w:pPr>
        <w:spacing w:after="0" w:line="260" w:lineRule="atLeast"/>
        <w:jc w:val="both"/>
        <w:rPr>
          <w:rFonts w:ascii="Times New Roman" w:eastAsia="Times New Roman" w:hAnsi="Times New Roman" w:cs="Times New Roman"/>
          <w:kern w:val="14"/>
          <w:lang w:eastAsia="nl-NL"/>
        </w:rPr>
      </w:pPr>
      <w:r w:rsidRPr="004A6B93">
        <w:rPr>
          <w:rFonts w:ascii="Times New Roman" w:eastAsia="Times New Roman" w:hAnsi="Times New Roman" w:cs="Times New Roman"/>
          <w:kern w:val="14"/>
          <w:lang w:eastAsia="nl-NL"/>
        </w:rPr>
        <w:t>Na trhu nemusí být všechny velikosti balení.</w:t>
      </w:r>
    </w:p>
    <w:p w:rsidR="004A6B93" w:rsidRPr="004A6B93" w:rsidRDefault="004A6B93" w:rsidP="004A6B9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4"/>
          <w:lang w:eastAsia="nl-NL"/>
        </w:rPr>
      </w:pPr>
    </w:p>
    <w:p w:rsidR="004A6B93" w:rsidRPr="004A6B93" w:rsidRDefault="004A6B93" w:rsidP="004A6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0A7A3A" w:rsidRPr="000A7A3A" w:rsidRDefault="000A7A3A" w:rsidP="000A7A3A">
      <w:pPr>
        <w:spacing w:after="0" w:line="260" w:lineRule="atLeast"/>
        <w:rPr>
          <w:rFonts w:ascii="Times New Roman" w:eastAsia="Times New Roman" w:hAnsi="Times New Roman" w:cs="Times New Roman"/>
          <w:kern w:val="14"/>
          <w:lang w:eastAsia="nl-NL"/>
        </w:rPr>
      </w:pPr>
    </w:p>
    <w:p w:rsidR="006C3151" w:rsidRPr="000A7A3A" w:rsidRDefault="006C3151" w:rsidP="000A7A3A"/>
    <w:sectPr w:rsidR="006C3151" w:rsidRPr="000A7A3A" w:rsidSect="001405D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59"/>
    <w:rsid w:val="000A7A3A"/>
    <w:rsid w:val="001405D3"/>
    <w:rsid w:val="003E1BF4"/>
    <w:rsid w:val="00416AC5"/>
    <w:rsid w:val="004516A0"/>
    <w:rsid w:val="004A6B93"/>
    <w:rsid w:val="005A5140"/>
    <w:rsid w:val="006C3151"/>
    <w:rsid w:val="006E5574"/>
    <w:rsid w:val="008D711C"/>
    <w:rsid w:val="008F70C4"/>
    <w:rsid w:val="00945859"/>
    <w:rsid w:val="00AB0D81"/>
    <w:rsid w:val="00AF1844"/>
    <w:rsid w:val="00BB47F6"/>
    <w:rsid w:val="00CA08F4"/>
    <w:rsid w:val="00D359F8"/>
    <w:rsid w:val="00D9228F"/>
    <w:rsid w:val="00DE2BE4"/>
    <w:rsid w:val="00E004CE"/>
    <w:rsid w:val="00E67E16"/>
    <w:rsid w:val="00F45E38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9D62D8"/>
  <w15:docId w15:val="{C683663F-3D3D-437B-B330-2FBA2AA7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1120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Wojtylová Jana</cp:lastModifiedBy>
  <cp:revision>9</cp:revision>
  <cp:lastPrinted>2021-09-23T09:00:00Z</cp:lastPrinted>
  <dcterms:created xsi:type="dcterms:W3CDTF">2021-09-20T08:54:00Z</dcterms:created>
  <dcterms:modified xsi:type="dcterms:W3CDTF">2021-09-23T09:01:00Z</dcterms:modified>
</cp:coreProperties>
</file>