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0E45" w14:textId="77777777" w:rsidR="00F94B7E" w:rsidRPr="00DB207B" w:rsidRDefault="00F94B7E" w:rsidP="00DB207B">
      <w:pPr>
        <w:jc w:val="center"/>
        <w:rPr>
          <w:b/>
          <w:bCs/>
          <w:szCs w:val="22"/>
        </w:rPr>
      </w:pPr>
      <w:r w:rsidRPr="00DB207B">
        <w:rPr>
          <w:b/>
          <w:bCs/>
          <w:szCs w:val="22"/>
        </w:rPr>
        <w:t>B. PŘÍBALOVÁ INFORMACE</w:t>
      </w:r>
    </w:p>
    <w:p w14:paraId="5393300D" w14:textId="77777777" w:rsidR="00F94B7E" w:rsidRPr="00DB207B" w:rsidRDefault="00F94B7E" w:rsidP="00F44FD4">
      <w:pPr>
        <w:jc w:val="both"/>
        <w:rPr>
          <w:szCs w:val="22"/>
        </w:rPr>
      </w:pPr>
    </w:p>
    <w:p w14:paraId="50A74B66" w14:textId="77777777" w:rsidR="00F94B7E" w:rsidRPr="00DB207B" w:rsidRDefault="00F94B7E" w:rsidP="00DB207B">
      <w:pPr>
        <w:jc w:val="center"/>
        <w:rPr>
          <w:b/>
          <w:bCs/>
          <w:szCs w:val="22"/>
        </w:rPr>
      </w:pPr>
      <w:r w:rsidRPr="00DB207B">
        <w:rPr>
          <w:b/>
          <w:bCs/>
          <w:szCs w:val="22"/>
        </w:rPr>
        <w:br w:type="page"/>
      </w:r>
      <w:r w:rsidRPr="00DB207B">
        <w:rPr>
          <w:b/>
          <w:bCs/>
          <w:szCs w:val="22"/>
        </w:rPr>
        <w:lastRenderedPageBreak/>
        <w:t>PŘÍBALOVÁ INFORMACE PRO</w:t>
      </w:r>
    </w:p>
    <w:p w14:paraId="3D045861" w14:textId="72F25ABA" w:rsidR="00F94B7E" w:rsidRPr="00DB207B" w:rsidRDefault="00F94B7E" w:rsidP="00DB207B">
      <w:pPr>
        <w:jc w:val="center"/>
        <w:rPr>
          <w:bCs/>
          <w:szCs w:val="22"/>
          <w:lang w:val="en-GB"/>
        </w:rPr>
      </w:pPr>
      <w:r w:rsidRPr="00DB207B">
        <w:rPr>
          <w:bCs/>
          <w:szCs w:val="22"/>
          <w:lang w:val="en-GB"/>
        </w:rPr>
        <w:t xml:space="preserve">HIPRALONA ENRO-I </w:t>
      </w:r>
      <w:r w:rsidR="007E57BC" w:rsidRPr="00DB207B">
        <w:rPr>
          <w:bCs/>
          <w:szCs w:val="22"/>
          <w:lang w:val="en-GB"/>
        </w:rPr>
        <w:t xml:space="preserve">50 mg/ml </w:t>
      </w:r>
      <w:proofErr w:type="spellStart"/>
      <w:r w:rsidR="007E57BC" w:rsidRPr="00DB207B">
        <w:rPr>
          <w:bCs/>
          <w:szCs w:val="22"/>
          <w:lang w:val="en-GB"/>
        </w:rPr>
        <w:t>injekční</w:t>
      </w:r>
      <w:proofErr w:type="spellEnd"/>
      <w:r w:rsidR="007E57BC" w:rsidRPr="00DB207B">
        <w:rPr>
          <w:bCs/>
          <w:szCs w:val="22"/>
          <w:lang w:val="en-GB"/>
        </w:rPr>
        <w:t xml:space="preserve"> </w:t>
      </w:r>
      <w:proofErr w:type="spellStart"/>
      <w:r w:rsidR="007E57BC" w:rsidRPr="00DB207B">
        <w:rPr>
          <w:bCs/>
          <w:szCs w:val="22"/>
          <w:lang w:val="en-GB"/>
        </w:rPr>
        <w:t>roztok</w:t>
      </w:r>
      <w:proofErr w:type="spellEnd"/>
    </w:p>
    <w:p w14:paraId="6ABF5049" w14:textId="77777777" w:rsidR="00F94B7E" w:rsidRPr="00DB207B" w:rsidRDefault="00F94B7E" w:rsidP="00DB207B">
      <w:pPr>
        <w:jc w:val="center"/>
        <w:rPr>
          <w:b/>
          <w:szCs w:val="22"/>
        </w:rPr>
      </w:pPr>
      <w:r w:rsidRPr="00DB207B">
        <w:rPr>
          <w:bCs/>
          <w:szCs w:val="22"/>
          <w:lang w:val="en-GB"/>
        </w:rPr>
        <w:t>Přípravek s indikačním omezením.</w:t>
      </w:r>
    </w:p>
    <w:p w14:paraId="4877F28F" w14:textId="77777777" w:rsidR="00F94B7E" w:rsidRPr="00DB207B" w:rsidRDefault="00F94B7E" w:rsidP="00F44FD4">
      <w:pPr>
        <w:jc w:val="both"/>
        <w:rPr>
          <w:szCs w:val="22"/>
        </w:rPr>
      </w:pPr>
    </w:p>
    <w:p w14:paraId="3CA14352" w14:textId="77777777" w:rsidR="00F94B7E" w:rsidRPr="00DB207B" w:rsidRDefault="00F94B7E" w:rsidP="00F44FD4">
      <w:pPr>
        <w:jc w:val="both"/>
        <w:rPr>
          <w:szCs w:val="22"/>
        </w:rPr>
      </w:pPr>
    </w:p>
    <w:p w14:paraId="11A085CC" w14:textId="77777777" w:rsidR="00F94B7E" w:rsidRPr="00DB207B" w:rsidRDefault="00F94B7E" w:rsidP="00F44FD4">
      <w:pPr>
        <w:jc w:val="both"/>
        <w:rPr>
          <w:b/>
          <w:szCs w:val="22"/>
        </w:rPr>
      </w:pPr>
      <w:r w:rsidRPr="00DB207B">
        <w:rPr>
          <w:b/>
          <w:szCs w:val="22"/>
          <w:highlight w:val="lightGray"/>
        </w:rPr>
        <w:t>1.</w:t>
      </w:r>
      <w:r w:rsidRPr="00DB207B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14:paraId="563990E4" w14:textId="77777777" w:rsidR="00F94B7E" w:rsidRPr="00DB207B" w:rsidRDefault="00F94B7E" w:rsidP="00F44FD4">
      <w:pPr>
        <w:jc w:val="both"/>
        <w:rPr>
          <w:szCs w:val="22"/>
        </w:rPr>
      </w:pPr>
    </w:p>
    <w:p w14:paraId="797853FD" w14:textId="77777777" w:rsidR="00F94B7E" w:rsidRPr="00DB207B" w:rsidRDefault="00F94B7E" w:rsidP="00F44FD4">
      <w:pPr>
        <w:jc w:val="both"/>
        <w:rPr>
          <w:b/>
          <w:bCs/>
          <w:szCs w:val="22"/>
        </w:rPr>
      </w:pPr>
      <w:proofErr w:type="spellStart"/>
      <w:r w:rsidRPr="00DB207B">
        <w:rPr>
          <w:szCs w:val="22"/>
          <w:u w:val="single"/>
        </w:rPr>
        <w:t>Držitel</w:t>
      </w:r>
      <w:proofErr w:type="spellEnd"/>
      <w:r w:rsidRPr="00DB207B">
        <w:rPr>
          <w:szCs w:val="22"/>
          <w:u w:val="single"/>
        </w:rPr>
        <w:t xml:space="preserve"> rozhodnutí o </w:t>
      </w:r>
      <w:proofErr w:type="spellStart"/>
      <w:r w:rsidRPr="00DB207B">
        <w:rPr>
          <w:szCs w:val="22"/>
          <w:u w:val="single"/>
        </w:rPr>
        <w:t>registraci</w:t>
      </w:r>
      <w:proofErr w:type="spellEnd"/>
      <w:r w:rsidRPr="00DB207B">
        <w:rPr>
          <w:szCs w:val="22"/>
          <w:u w:val="single"/>
        </w:rPr>
        <w:t xml:space="preserve"> a </w:t>
      </w:r>
      <w:proofErr w:type="spellStart"/>
      <w:r w:rsidRPr="00DB207B">
        <w:rPr>
          <w:szCs w:val="22"/>
          <w:u w:val="single"/>
        </w:rPr>
        <w:t>výrobce</w:t>
      </w:r>
      <w:proofErr w:type="spellEnd"/>
      <w:r w:rsidRPr="00DB207B">
        <w:rPr>
          <w:szCs w:val="22"/>
          <w:u w:val="single"/>
        </w:rPr>
        <w:t xml:space="preserve"> </w:t>
      </w:r>
      <w:proofErr w:type="spellStart"/>
      <w:r w:rsidRPr="00DB207B">
        <w:rPr>
          <w:szCs w:val="22"/>
          <w:u w:val="single"/>
        </w:rPr>
        <w:t>odpovědný</w:t>
      </w:r>
      <w:proofErr w:type="spellEnd"/>
      <w:r w:rsidRPr="00DB207B">
        <w:rPr>
          <w:szCs w:val="22"/>
          <w:u w:val="single"/>
        </w:rPr>
        <w:t xml:space="preserve"> za </w:t>
      </w:r>
      <w:proofErr w:type="spellStart"/>
      <w:r w:rsidRPr="00DB207B">
        <w:rPr>
          <w:szCs w:val="22"/>
          <w:u w:val="single"/>
        </w:rPr>
        <w:t>uvolnění</w:t>
      </w:r>
      <w:proofErr w:type="spellEnd"/>
      <w:r w:rsidRPr="00DB207B">
        <w:rPr>
          <w:szCs w:val="22"/>
          <w:u w:val="single"/>
        </w:rPr>
        <w:t xml:space="preserve"> šarže:</w:t>
      </w:r>
    </w:p>
    <w:p w14:paraId="183B16F6" w14:textId="77777777" w:rsidR="00F94B7E" w:rsidRPr="00DB207B" w:rsidRDefault="00F94B7E" w:rsidP="00F44FD4">
      <w:pPr>
        <w:jc w:val="both"/>
        <w:rPr>
          <w:b/>
          <w:bCs/>
          <w:szCs w:val="22"/>
          <w:u w:val="single"/>
        </w:rPr>
      </w:pPr>
    </w:p>
    <w:p w14:paraId="2DEC8D32" w14:textId="77777777" w:rsidR="00F94B7E" w:rsidRPr="00DB207B" w:rsidRDefault="00F94B7E" w:rsidP="00DB207B">
      <w:pPr>
        <w:jc w:val="both"/>
        <w:rPr>
          <w:bCs/>
          <w:szCs w:val="22"/>
          <w:lang w:val="es-ES"/>
        </w:rPr>
      </w:pPr>
      <w:r w:rsidRPr="00DB207B">
        <w:rPr>
          <w:bCs/>
          <w:szCs w:val="22"/>
          <w:lang w:val="es-ES"/>
        </w:rPr>
        <w:t>LABORATORIOS HIPRA, S.A.</w:t>
      </w:r>
    </w:p>
    <w:p w14:paraId="66F188FC" w14:textId="77777777" w:rsidR="00F94B7E" w:rsidRPr="00DB207B" w:rsidRDefault="00F94B7E" w:rsidP="00DB207B">
      <w:pPr>
        <w:jc w:val="both"/>
        <w:rPr>
          <w:bCs/>
          <w:szCs w:val="22"/>
          <w:lang w:val="es-ES"/>
        </w:rPr>
      </w:pPr>
      <w:r w:rsidRPr="00DB207B">
        <w:rPr>
          <w:bCs/>
          <w:szCs w:val="22"/>
          <w:lang w:val="es-ES"/>
        </w:rPr>
        <w:t>Avda. La Selva, 135</w:t>
      </w:r>
    </w:p>
    <w:p w14:paraId="5B2112DF" w14:textId="77777777" w:rsidR="00217D32" w:rsidRPr="00DB207B" w:rsidRDefault="00F94B7E" w:rsidP="00DB207B">
      <w:pPr>
        <w:jc w:val="both"/>
        <w:rPr>
          <w:bCs/>
          <w:szCs w:val="22"/>
          <w:lang w:val="es-ES"/>
        </w:rPr>
      </w:pPr>
      <w:r w:rsidRPr="00DB207B">
        <w:rPr>
          <w:bCs/>
          <w:szCs w:val="22"/>
          <w:lang w:val="es-ES"/>
        </w:rPr>
        <w:t xml:space="preserve">17170 Amer (Girona) </w:t>
      </w:r>
    </w:p>
    <w:p w14:paraId="1EDDE15C" w14:textId="5A9C2456" w:rsidR="00F94B7E" w:rsidRPr="00DB207B" w:rsidRDefault="007E57BC" w:rsidP="00DB207B">
      <w:pPr>
        <w:jc w:val="both"/>
        <w:rPr>
          <w:bCs/>
          <w:szCs w:val="22"/>
          <w:lang w:val="es-ES"/>
        </w:rPr>
      </w:pPr>
      <w:r w:rsidRPr="00DB207B">
        <w:rPr>
          <w:bCs/>
          <w:szCs w:val="22"/>
          <w:lang w:val="es-ES"/>
        </w:rPr>
        <w:t>Španělsko</w:t>
      </w:r>
    </w:p>
    <w:p w14:paraId="411B52ED" w14:textId="77777777" w:rsidR="00F94B7E" w:rsidRPr="00DB207B" w:rsidRDefault="00F94B7E" w:rsidP="00F44FD4">
      <w:pPr>
        <w:jc w:val="both"/>
        <w:rPr>
          <w:szCs w:val="22"/>
        </w:rPr>
      </w:pPr>
    </w:p>
    <w:p w14:paraId="50491308" w14:textId="77777777" w:rsidR="00F94B7E" w:rsidRPr="00DB207B" w:rsidRDefault="00F94B7E" w:rsidP="00F44FD4">
      <w:pPr>
        <w:jc w:val="both"/>
        <w:rPr>
          <w:szCs w:val="22"/>
        </w:rPr>
      </w:pPr>
    </w:p>
    <w:p w14:paraId="1E6BF7F2" w14:textId="77777777" w:rsidR="00F94B7E" w:rsidRPr="00DB207B" w:rsidRDefault="00F94B7E" w:rsidP="00F44FD4">
      <w:pPr>
        <w:jc w:val="both"/>
        <w:rPr>
          <w:b/>
          <w:bCs/>
          <w:szCs w:val="22"/>
        </w:rPr>
      </w:pPr>
      <w:r w:rsidRPr="00DB207B">
        <w:rPr>
          <w:b/>
          <w:bCs/>
          <w:szCs w:val="22"/>
        </w:rPr>
        <w:t>2.</w:t>
      </w:r>
      <w:r w:rsidRPr="00DB207B">
        <w:rPr>
          <w:b/>
          <w:bCs/>
          <w:szCs w:val="22"/>
        </w:rPr>
        <w:tab/>
        <w:t>NÁZEV VETERINÁRNÍHO LÉČIVÉHO PŘÍPRAVKU</w:t>
      </w:r>
    </w:p>
    <w:p w14:paraId="2F13B0D1" w14:textId="77777777" w:rsidR="00F94B7E" w:rsidRPr="00DB207B" w:rsidRDefault="00F94B7E" w:rsidP="00F44FD4">
      <w:pPr>
        <w:jc w:val="both"/>
        <w:rPr>
          <w:szCs w:val="22"/>
        </w:rPr>
      </w:pPr>
    </w:p>
    <w:p w14:paraId="21731AB8" w14:textId="332ADF18" w:rsidR="00F94B7E" w:rsidRPr="00DB207B" w:rsidRDefault="00F94B7E" w:rsidP="00DB207B">
      <w:pPr>
        <w:jc w:val="both"/>
        <w:rPr>
          <w:bCs/>
          <w:szCs w:val="22"/>
          <w:lang w:val="en-GB"/>
        </w:rPr>
      </w:pPr>
      <w:r w:rsidRPr="00DB207B">
        <w:rPr>
          <w:bCs/>
          <w:szCs w:val="22"/>
          <w:lang w:val="en-GB"/>
        </w:rPr>
        <w:t xml:space="preserve">HIPRALONA ENRO-I </w:t>
      </w:r>
      <w:r w:rsidR="007E57BC" w:rsidRPr="00DB207B">
        <w:rPr>
          <w:bCs/>
          <w:szCs w:val="22"/>
          <w:lang w:val="en-GB"/>
        </w:rPr>
        <w:t xml:space="preserve">50 mg/ml </w:t>
      </w:r>
      <w:proofErr w:type="spellStart"/>
      <w:r w:rsidR="007E57BC" w:rsidRPr="00DB207B">
        <w:rPr>
          <w:bCs/>
          <w:szCs w:val="22"/>
          <w:lang w:val="en-GB"/>
        </w:rPr>
        <w:t>injekční</w:t>
      </w:r>
      <w:proofErr w:type="spellEnd"/>
      <w:r w:rsidR="007E57BC" w:rsidRPr="00DB207B">
        <w:rPr>
          <w:bCs/>
          <w:szCs w:val="22"/>
          <w:lang w:val="en-GB"/>
        </w:rPr>
        <w:t xml:space="preserve"> </w:t>
      </w:r>
      <w:proofErr w:type="spellStart"/>
      <w:r w:rsidR="007E57BC" w:rsidRPr="00DB207B">
        <w:rPr>
          <w:bCs/>
          <w:szCs w:val="22"/>
          <w:lang w:val="en-GB"/>
        </w:rPr>
        <w:t>roztok</w:t>
      </w:r>
      <w:proofErr w:type="spellEnd"/>
    </w:p>
    <w:p w14:paraId="57D4C1AF" w14:textId="77777777" w:rsidR="00217D32" w:rsidRPr="00DB207B" w:rsidRDefault="00217D32" w:rsidP="00DB207B">
      <w:pPr>
        <w:jc w:val="both"/>
        <w:rPr>
          <w:bCs/>
          <w:szCs w:val="22"/>
          <w:lang w:val="en-GB"/>
        </w:rPr>
      </w:pPr>
      <w:proofErr w:type="spellStart"/>
      <w:r w:rsidRPr="00DB207B">
        <w:rPr>
          <w:bCs/>
          <w:szCs w:val="22"/>
          <w:lang w:val="en-GB"/>
        </w:rPr>
        <w:t>Enrofloxacinum</w:t>
      </w:r>
      <w:proofErr w:type="spellEnd"/>
    </w:p>
    <w:p w14:paraId="1817434C" w14:textId="77777777" w:rsidR="00F94B7E" w:rsidRPr="00DB207B" w:rsidRDefault="00F94B7E" w:rsidP="00DB207B">
      <w:pPr>
        <w:jc w:val="both"/>
        <w:rPr>
          <w:bCs/>
          <w:szCs w:val="22"/>
          <w:lang w:val="en-GB"/>
        </w:rPr>
      </w:pPr>
      <w:r w:rsidRPr="00DB207B">
        <w:rPr>
          <w:bCs/>
          <w:szCs w:val="22"/>
          <w:lang w:val="en-GB"/>
        </w:rPr>
        <w:t>Přípravek s indikačním omezením.</w:t>
      </w:r>
    </w:p>
    <w:p w14:paraId="1D2E0E8D" w14:textId="77777777" w:rsidR="00F94B7E" w:rsidRPr="00DB207B" w:rsidRDefault="00F94B7E" w:rsidP="00F44FD4">
      <w:pPr>
        <w:jc w:val="both"/>
        <w:rPr>
          <w:szCs w:val="22"/>
        </w:rPr>
      </w:pPr>
    </w:p>
    <w:p w14:paraId="0AF0F0C5" w14:textId="77777777" w:rsidR="00F94B7E" w:rsidRPr="00DB207B" w:rsidRDefault="00F94B7E" w:rsidP="00F44FD4">
      <w:pPr>
        <w:jc w:val="both"/>
        <w:rPr>
          <w:szCs w:val="22"/>
        </w:rPr>
      </w:pPr>
    </w:p>
    <w:p w14:paraId="58517C39" w14:textId="77777777" w:rsidR="00F94B7E" w:rsidRPr="00DB207B" w:rsidRDefault="00F94B7E" w:rsidP="00F44FD4">
      <w:pPr>
        <w:jc w:val="both"/>
        <w:rPr>
          <w:b/>
          <w:bCs/>
          <w:szCs w:val="22"/>
        </w:rPr>
      </w:pPr>
      <w:r w:rsidRPr="00DB207B">
        <w:rPr>
          <w:b/>
          <w:bCs/>
          <w:szCs w:val="22"/>
          <w:highlight w:val="lightGray"/>
        </w:rPr>
        <w:t>3.</w:t>
      </w:r>
      <w:r w:rsidRPr="00DB207B">
        <w:rPr>
          <w:b/>
          <w:bCs/>
          <w:szCs w:val="22"/>
        </w:rPr>
        <w:tab/>
        <w:t>OBSAH LÉČIVÝCH A OSTATNÍCH LÁTEK</w:t>
      </w:r>
    </w:p>
    <w:p w14:paraId="49177B8F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24EC0986" w14:textId="0EBD6C1F" w:rsidR="00F94B7E" w:rsidRPr="00DB207B" w:rsidRDefault="00F94B7E" w:rsidP="00DB207B">
      <w:pPr>
        <w:jc w:val="both"/>
        <w:rPr>
          <w:szCs w:val="22"/>
          <w:lang w:val="en-GB"/>
        </w:rPr>
      </w:pPr>
      <w:r w:rsidRPr="00DB207B">
        <w:rPr>
          <w:szCs w:val="22"/>
          <w:lang w:val="en-GB"/>
        </w:rPr>
        <w:t>1 ml</w:t>
      </w:r>
      <w:r w:rsidR="007E57BC" w:rsidRPr="00DB207B">
        <w:rPr>
          <w:szCs w:val="22"/>
          <w:lang w:val="en-GB"/>
        </w:rPr>
        <w:t xml:space="preserve"> </w:t>
      </w:r>
      <w:proofErr w:type="spellStart"/>
      <w:r w:rsidR="007E57BC" w:rsidRPr="00DB207B">
        <w:rPr>
          <w:szCs w:val="22"/>
          <w:lang w:val="en-GB"/>
        </w:rPr>
        <w:t>obsahuje</w:t>
      </w:r>
      <w:proofErr w:type="spellEnd"/>
      <w:r w:rsidRPr="00DB207B">
        <w:rPr>
          <w:szCs w:val="22"/>
          <w:lang w:val="en-GB"/>
        </w:rPr>
        <w:t>:</w:t>
      </w:r>
    </w:p>
    <w:p w14:paraId="0E3614BA" w14:textId="77777777" w:rsidR="00D65EDB" w:rsidRPr="00DB207B" w:rsidRDefault="00D65EDB" w:rsidP="00DB207B">
      <w:pPr>
        <w:jc w:val="both"/>
        <w:rPr>
          <w:szCs w:val="22"/>
          <w:lang w:val="en-GB"/>
        </w:rPr>
      </w:pPr>
    </w:p>
    <w:p w14:paraId="4BC5DC24" w14:textId="77777777" w:rsidR="00D65EDB" w:rsidRPr="00F44FD4" w:rsidRDefault="00D65EDB" w:rsidP="00DB207B">
      <w:pPr>
        <w:jc w:val="both"/>
        <w:rPr>
          <w:b/>
          <w:szCs w:val="22"/>
          <w:lang w:val="en-GB"/>
        </w:rPr>
      </w:pPr>
      <w:proofErr w:type="spellStart"/>
      <w:r w:rsidRPr="00F44FD4">
        <w:rPr>
          <w:b/>
          <w:szCs w:val="22"/>
          <w:lang w:val="en-GB"/>
        </w:rPr>
        <w:t>Léčivá</w:t>
      </w:r>
      <w:proofErr w:type="spellEnd"/>
      <w:r w:rsidRPr="00F44FD4">
        <w:rPr>
          <w:b/>
          <w:szCs w:val="22"/>
          <w:lang w:val="en-GB"/>
        </w:rPr>
        <w:t xml:space="preserve"> </w:t>
      </w:r>
      <w:proofErr w:type="spellStart"/>
      <w:r w:rsidRPr="00F44FD4">
        <w:rPr>
          <w:b/>
          <w:szCs w:val="22"/>
          <w:lang w:val="en-GB"/>
        </w:rPr>
        <w:t>látka</w:t>
      </w:r>
      <w:proofErr w:type="spellEnd"/>
      <w:r w:rsidRPr="00F44FD4">
        <w:rPr>
          <w:b/>
          <w:szCs w:val="22"/>
          <w:lang w:val="en-GB"/>
        </w:rPr>
        <w:t>:</w:t>
      </w:r>
    </w:p>
    <w:p w14:paraId="009B303E" w14:textId="13E990EB" w:rsidR="00F94B7E" w:rsidRPr="00DB207B" w:rsidRDefault="00F94B7E" w:rsidP="00DB207B">
      <w:pPr>
        <w:jc w:val="both"/>
        <w:rPr>
          <w:szCs w:val="22"/>
          <w:lang w:val="en-GB"/>
        </w:rPr>
      </w:pPr>
      <w:proofErr w:type="spellStart"/>
      <w:r w:rsidRPr="00DB207B">
        <w:rPr>
          <w:szCs w:val="22"/>
          <w:lang w:val="en-GB"/>
        </w:rPr>
        <w:t>Enrofloxacinum</w:t>
      </w:r>
      <w:proofErr w:type="spellEnd"/>
      <w:r w:rsidRPr="00DB207B">
        <w:rPr>
          <w:szCs w:val="22"/>
          <w:lang w:val="en-GB"/>
        </w:rPr>
        <w:t xml:space="preserve"> ..............................................................................................50</w:t>
      </w:r>
      <w:r w:rsidR="00D65EDB" w:rsidRPr="00DB207B">
        <w:rPr>
          <w:szCs w:val="22"/>
          <w:lang w:val="en-GB"/>
        </w:rPr>
        <w:t>,</w:t>
      </w:r>
      <w:r w:rsidRPr="00DB207B">
        <w:rPr>
          <w:szCs w:val="22"/>
          <w:lang w:val="en-GB"/>
        </w:rPr>
        <w:t>00 mg</w:t>
      </w:r>
    </w:p>
    <w:p w14:paraId="5C9661DC" w14:textId="77777777" w:rsidR="00D65EDB" w:rsidRPr="00DB207B" w:rsidRDefault="00D65EDB" w:rsidP="00DB207B">
      <w:pPr>
        <w:spacing w:after="120"/>
        <w:jc w:val="both"/>
        <w:rPr>
          <w:noProof/>
          <w:szCs w:val="22"/>
        </w:rPr>
      </w:pPr>
    </w:p>
    <w:p w14:paraId="10351CA1" w14:textId="77777777" w:rsidR="00D65EDB" w:rsidRPr="00DB207B" w:rsidRDefault="00D65EDB" w:rsidP="00DB207B">
      <w:pPr>
        <w:spacing w:after="120"/>
        <w:jc w:val="both"/>
        <w:rPr>
          <w:noProof/>
          <w:szCs w:val="22"/>
        </w:rPr>
      </w:pPr>
      <w:r w:rsidRPr="00DB207B">
        <w:rPr>
          <w:noProof/>
          <w:szCs w:val="22"/>
        </w:rPr>
        <w:t>Světle žlutý, čirý roztok.</w:t>
      </w:r>
    </w:p>
    <w:p w14:paraId="794D632E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28E2E4AE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236BC28D" w14:textId="77777777" w:rsidR="00F94B7E" w:rsidRPr="00DB207B" w:rsidRDefault="00F94B7E" w:rsidP="00F44FD4">
      <w:pPr>
        <w:jc w:val="both"/>
        <w:rPr>
          <w:b/>
          <w:bCs/>
          <w:szCs w:val="22"/>
        </w:rPr>
      </w:pPr>
      <w:r w:rsidRPr="00DB207B">
        <w:rPr>
          <w:b/>
          <w:bCs/>
          <w:szCs w:val="22"/>
          <w:highlight w:val="lightGray"/>
        </w:rPr>
        <w:t>4.</w:t>
      </w:r>
      <w:r w:rsidRPr="00DB207B">
        <w:rPr>
          <w:b/>
          <w:bCs/>
          <w:szCs w:val="22"/>
        </w:rPr>
        <w:tab/>
        <w:t>INDIKACE</w:t>
      </w:r>
    </w:p>
    <w:p w14:paraId="78135ECE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1A28FEE6" w14:textId="77777777" w:rsidR="00F94B7E" w:rsidRPr="00DB207B" w:rsidRDefault="00F94B7E" w:rsidP="00DB207B">
      <w:pPr>
        <w:jc w:val="both"/>
        <w:outlineLvl w:val="0"/>
        <w:rPr>
          <w:bCs/>
          <w:noProof/>
          <w:kern w:val="32"/>
          <w:szCs w:val="22"/>
        </w:rPr>
      </w:pPr>
      <w:r w:rsidRPr="00DB207B">
        <w:rPr>
          <w:bCs/>
          <w:noProof/>
          <w:kern w:val="32"/>
          <w:szCs w:val="22"/>
        </w:rPr>
        <w:t xml:space="preserve">Prasata: léčba bakteriálních infekcí gastrointestinálního traktu vyvolaných </w:t>
      </w:r>
      <w:r w:rsidRPr="00DB207B">
        <w:rPr>
          <w:bCs/>
          <w:i/>
          <w:noProof/>
          <w:kern w:val="32"/>
          <w:szCs w:val="22"/>
        </w:rPr>
        <w:t>Escherichia coli</w:t>
      </w:r>
      <w:r w:rsidRPr="00DB207B">
        <w:rPr>
          <w:bCs/>
          <w:noProof/>
          <w:kern w:val="32"/>
          <w:szCs w:val="22"/>
        </w:rPr>
        <w:t>.</w:t>
      </w:r>
    </w:p>
    <w:p w14:paraId="31C76CFC" w14:textId="77777777" w:rsidR="00F94B7E" w:rsidRPr="00DB207B" w:rsidRDefault="00F94B7E" w:rsidP="00DB207B">
      <w:pPr>
        <w:ind w:left="0" w:firstLine="0"/>
        <w:jc w:val="both"/>
        <w:outlineLvl w:val="0"/>
        <w:rPr>
          <w:bCs/>
          <w:noProof/>
          <w:kern w:val="32"/>
          <w:szCs w:val="22"/>
        </w:rPr>
      </w:pPr>
    </w:p>
    <w:p w14:paraId="4AACD890" w14:textId="025E980D" w:rsidR="00F94B7E" w:rsidRPr="00DB207B" w:rsidRDefault="008B479F" w:rsidP="00DB207B">
      <w:pPr>
        <w:ind w:left="0" w:firstLine="0"/>
        <w:jc w:val="both"/>
        <w:outlineLvl w:val="0"/>
        <w:rPr>
          <w:bCs/>
          <w:noProof/>
          <w:kern w:val="32"/>
          <w:szCs w:val="22"/>
        </w:rPr>
      </w:pPr>
      <w:r w:rsidRPr="00DB207B">
        <w:rPr>
          <w:bCs/>
          <w:noProof/>
          <w:kern w:val="32"/>
          <w:szCs w:val="22"/>
        </w:rPr>
        <w:t>Skot (telata)</w:t>
      </w:r>
      <w:r w:rsidR="00F94B7E" w:rsidRPr="00DB207B">
        <w:rPr>
          <w:bCs/>
          <w:noProof/>
          <w:kern w:val="32"/>
          <w:szCs w:val="22"/>
        </w:rPr>
        <w:t xml:space="preserve">: léčba bakteriálních infekcí dýchacího aparátu vyvolaných </w:t>
      </w:r>
      <w:r w:rsidR="00F94B7E" w:rsidRPr="00DB207B">
        <w:rPr>
          <w:bCs/>
          <w:i/>
          <w:noProof/>
          <w:kern w:val="32"/>
          <w:szCs w:val="22"/>
        </w:rPr>
        <w:t xml:space="preserve">Pasteurella </w:t>
      </w:r>
      <w:r w:rsidR="00F94B7E" w:rsidRPr="00DB207B">
        <w:rPr>
          <w:bCs/>
          <w:noProof/>
          <w:kern w:val="32"/>
          <w:szCs w:val="22"/>
        </w:rPr>
        <w:t xml:space="preserve">spp. a léčba bakteriálních infekcí gastrointestinálního traktu vyvolaných </w:t>
      </w:r>
      <w:r w:rsidR="00F94B7E" w:rsidRPr="00DB207B">
        <w:rPr>
          <w:bCs/>
          <w:i/>
          <w:noProof/>
          <w:kern w:val="32"/>
          <w:szCs w:val="22"/>
        </w:rPr>
        <w:t>Escherichia coli</w:t>
      </w:r>
      <w:r w:rsidR="00F94B7E" w:rsidRPr="00DB207B">
        <w:rPr>
          <w:bCs/>
          <w:noProof/>
          <w:kern w:val="32"/>
          <w:szCs w:val="22"/>
        </w:rPr>
        <w:t xml:space="preserve">, a </w:t>
      </w:r>
      <w:r w:rsidR="00F94B7E" w:rsidRPr="00DB207B">
        <w:rPr>
          <w:bCs/>
          <w:i/>
          <w:noProof/>
          <w:kern w:val="32"/>
          <w:szCs w:val="22"/>
        </w:rPr>
        <w:t>Salmonella</w:t>
      </w:r>
      <w:r w:rsidR="00F94B7E" w:rsidRPr="00DB207B">
        <w:rPr>
          <w:bCs/>
          <w:noProof/>
          <w:kern w:val="32"/>
          <w:szCs w:val="22"/>
        </w:rPr>
        <w:t xml:space="preserve"> spp.</w:t>
      </w:r>
    </w:p>
    <w:p w14:paraId="63FCDE0F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76DFC5CE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01B4604F" w14:textId="77777777" w:rsidR="00F94B7E" w:rsidRPr="00DB207B" w:rsidRDefault="00F94B7E" w:rsidP="00F44FD4">
      <w:pPr>
        <w:jc w:val="both"/>
        <w:rPr>
          <w:b/>
          <w:bCs/>
          <w:szCs w:val="22"/>
        </w:rPr>
      </w:pPr>
      <w:r w:rsidRPr="00DB207B">
        <w:rPr>
          <w:b/>
          <w:bCs/>
          <w:szCs w:val="22"/>
          <w:highlight w:val="lightGray"/>
        </w:rPr>
        <w:t>5.</w:t>
      </w:r>
      <w:r w:rsidRPr="00DB207B">
        <w:rPr>
          <w:b/>
          <w:bCs/>
          <w:szCs w:val="22"/>
        </w:rPr>
        <w:tab/>
        <w:t>KONTRAINDIKACE</w:t>
      </w:r>
    </w:p>
    <w:p w14:paraId="7FDF5C89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36EDE98F" w14:textId="01FBDEBA" w:rsidR="00F94B7E" w:rsidRPr="00DB207B" w:rsidRDefault="008B479F" w:rsidP="00DB207B">
      <w:pPr>
        <w:jc w:val="both"/>
        <w:rPr>
          <w:bCs/>
          <w:szCs w:val="22"/>
          <w:lang w:val="en-US"/>
        </w:rPr>
      </w:pPr>
      <w:proofErr w:type="spellStart"/>
      <w:r w:rsidRPr="00DB207B">
        <w:rPr>
          <w:bCs/>
          <w:szCs w:val="22"/>
          <w:lang w:val="en-US"/>
        </w:rPr>
        <w:t>Nepoužívejte</w:t>
      </w:r>
      <w:proofErr w:type="spellEnd"/>
      <w:r w:rsidRPr="00DB207B">
        <w:rPr>
          <w:bCs/>
          <w:szCs w:val="22"/>
          <w:lang w:val="en-US"/>
        </w:rPr>
        <w:t xml:space="preserve"> </w:t>
      </w:r>
      <w:r w:rsidR="00F94B7E" w:rsidRPr="00DB207B">
        <w:rPr>
          <w:bCs/>
          <w:szCs w:val="22"/>
          <w:lang w:val="en-US"/>
        </w:rPr>
        <w:t xml:space="preserve">u </w:t>
      </w:r>
      <w:proofErr w:type="spellStart"/>
      <w:r w:rsidR="00F94B7E" w:rsidRPr="00DB207B">
        <w:rPr>
          <w:bCs/>
          <w:szCs w:val="22"/>
          <w:lang w:val="en-US"/>
        </w:rPr>
        <w:t>zvířat</w:t>
      </w:r>
      <w:proofErr w:type="spellEnd"/>
      <w:r w:rsidR="00F94B7E" w:rsidRPr="00DB207B">
        <w:rPr>
          <w:bCs/>
          <w:szCs w:val="22"/>
          <w:lang w:val="en-US"/>
        </w:rPr>
        <w:t xml:space="preserve"> s </w:t>
      </w:r>
      <w:proofErr w:type="spellStart"/>
      <w:r w:rsidR="00F94B7E" w:rsidRPr="00DB207B">
        <w:rPr>
          <w:bCs/>
          <w:szCs w:val="22"/>
          <w:lang w:val="en-US"/>
        </w:rPr>
        <w:t>poškozením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kloubní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chrupavky</w:t>
      </w:r>
      <w:proofErr w:type="spellEnd"/>
      <w:r w:rsidR="00F94B7E" w:rsidRPr="00DB207B">
        <w:rPr>
          <w:bCs/>
          <w:szCs w:val="22"/>
          <w:lang w:val="en-US"/>
        </w:rPr>
        <w:t>.</w:t>
      </w:r>
    </w:p>
    <w:p w14:paraId="6025F22E" w14:textId="229BA627" w:rsidR="00F94B7E" w:rsidRPr="00DB207B" w:rsidRDefault="008B479F" w:rsidP="00DB207B">
      <w:pPr>
        <w:jc w:val="both"/>
        <w:rPr>
          <w:bCs/>
          <w:szCs w:val="22"/>
          <w:lang w:val="en-US"/>
        </w:rPr>
      </w:pPr>
      <w:proofErr w:type="spellStart"/>
      <w:r w:rsidRPr="00DB207B">
        <w:rPr>
          <w:bCs/>
          <w:szCs w:val="22"/>
          <w:lang w:val="en-US"/>
        </w:rPr>
        <w:t>Nepoužívejte</w:t>
      </w:r>
      <w:proofErr w:type="spellEnd"/>
      <w:r w:rsidRPr="00DB207B" w:rsidDel="008B479F">
        <w:rPr>
          <w:bCs/>
          <w:szCs w:val="22"/>
          <w:lang w:val="en-US"/>
        </w:rPr>
        <w:t xml:space="preserve"> </w:t>
      </w:r>
      <w:r w:rsidR="00F94B7E" w:rsidRPr="00DB207B">
        <w:rPr>
          <w:bCs/>
          <w:szCs w:val="22"/>
          <w:lang w:val="en-US"/>
        </w:rPr>
        <w:t xml:space="preserve">v </w:t>
      </w:r>
      <w:proofErr w:type="spellStart"/>
      <w:r w:rsidR="00F94B7E" w:rsidRPr="00DB207B">
        <w:rPr>
          <w:bCs/>
          <w:szCs w:val="22"/>
          <w:lang w:val="en-US"/>
        </w:rPr>
        <w:t>případě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známé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rezistence</w:t>
      </w:r>
      <w:proofErr w:type="spellEnd"/>
      <w:r w:rsidR="00F94B7E" w:rsidRPr="00DB207B">
        <w:rPr>
          <w:bCs/>
          <w:szCs w:val="22"/>
          <w:lang w:val="en-US"/>
        </w:rPr>
        <w:t xml:space="preserve">, resp. </w:t>
      </w:r>
      <w:proofErr w:type="spellStart"/>
      <w:r w:rsidR="00F94B7E" w:rsidRPr="00DB207B">
        <w:rPr>
          <w:bCs/>
          <w:szCs w:val="22"/>
          <w:lang w:val="en-US"/>
        </w:rPr>
        <w:t>zkřížené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rezistence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na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fluorochinolony</w:t>
      </w:r>
      <w:proofErr w:type="spellEnd"/>
      <w:r w:rsidR="00F94B7E" w:rsidRPr="00DB207B">
        <w:rPr>
          <w:bCs/>
          <w:szCs w:val="22"/>
          <w:lang w:val="en-US"/>
        </w:rPr>
        <w:t>.</w:t>
      </w:r>
    </w:p>
    <w:p w14:paraId="2AC8C9BF" w14:textId="232D2AC2" w:rsidR="00F94B7E" w:rsidRPr="00DB207B" w:rsidRDefault="008B479F" w:rsidP="00DB207B">
      <w:pPr>
        <w:jc w:val="both"/>
        <w:rPr>
          <w:bCs/>
          <w:szCs w:val="22"/>
          <w:lang w:val="en-US"/>
        </w:rPr>
      </w:pPr>
      <w:proofErr w:type="spellStart"/>
      <w:r w:rsidRPr="00DB207B">
        <w:rPr>
          <w:bCs/>
          <w:szCs w:val="22"/>
          <w:lang w:val="en-US"/>
        </w:rPr>
        <w:t>Nepoužívejte</w:t>
      </w:r>
      <w:proofErr w:type="spellEnd"/>
      <w:r w:rsidRPr="00DB207B" w:rsidDel="008B479F">
        <w:rPr>
          <w:bCs/>
          <w:szCs w:val="22"/>
          <w:lang w:val="en-US"/>
        </w:rPr>
        <w:t xml:space="preserve"> </w:t>
      </w:r>
      <w:r w:rsidR="00F94B7E" w:rsidRPr="00DB207B">
        <w:rPr>
          <w:bCs/>
          <w:szCs w:val="22"/>
          <w:lang w:val="en-US"/>
        </w:rPr>
        <w:t xml:space="preserve">v </w:t>
      </w:r>
      <w:proofErr w:type="spellStart"/>
      <w:r w:rsidR="00F94B7E" w:rsidRPr="00DB207B">
        <w:rPr>
          <w:bCs/>
          <w:szCs w:val="22"/>
          <w:lang w:val="en-US"/>
        </w:rPr>
        <w:t>případech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přecitlivělosti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na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léčivou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látku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nebo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na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jakoukoliv</w:t>
      </w:r>
      <w:proofErr w:type="spellEnd"/>
      <w:r w:rsidR="00F94B7E" w:rsidRPr="00DB207B">
        <w:rPr>
          <w:bCs/>
          <w:szCs w:val="22"/>
          <w:lang w:val="en-US"/>
        </w:rPr>
        <w:t xml:space="preserve"> z </w:t>
      </w:r>
      <w:proofErr w:type="spellStart"/>
      <w:r w:rsidR="00F94B7E" w:rsidRPr="00DB207B">
        <w:rPr>
          <w:bCs/>
          <w:szCs w:val="22"/>
          <w:lang w:val="en-US"/>
        </w:rPr>
        <w:t>pomocných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látek</w:t>
      </w:r>
      <w:proofErr w:type="spellEnd"/>
      <w:r w:rsidR="00F94B7E" w:rsidRPr="00DB207B">
        <w:rPr>
          <w:bCs/>
          <w:szCs w:val="22"/>
          <w:lang w:val="en-US"/>
        </w:rPr>
        <w:t>.</w:t>
      </w:r>
    </w:p>
    <w:p w14:paraId="73F0619A" w14:textId="16CE27F3" w:rsidR="00F94B7E" w:rsidRPr="00DB207B" w:rsidRDefault="008B479F" w:rsidP="00DB207B">
      <w:pPr>
        <w:jc w:val="both"/>
        <w:rPr>
          <w:bCs/>
          <w:szCs w:val="22"/>
          <w:lang w:val="en-US"/>
        </w:rPr>
      </w:pPr>
      <w:proofErr w:type="spellStart"/>
      <w:r w:rsidRPr="00DB207B">
        <w:rPr>
          <w:bCs/>
          <w:szCs w:val="22"/>
          <w:lang w:val="en-US"/>
        </w:rPr>
        <w:t>Nepoužívejte</w:t>
      </w:r>
      <w:proofErr w:type="spellEnd"/>
      <w:r w:rsidRPr="00DB207B" w:rsidDel="008B479F">
        <w:rPr>
          <w:bCs/>
          <w:szCs w:val="22"/>
          <w:lang w:val="en-US"/>
        </w:rPr>
        <w:t xml:space="preserve"> </w:t>
      </w:r>
      <w:r w:rsidR="00F94B7E" w:rsidRPr="00DB207B">
        <w:rPr>
          <w:bCs/>
          <w:szCs w:val="22"/>
          <w:lang w:val="en-US"/>
        </w:rPr>
        <w:t xml:space="preserve">v </w:t>
      </w:r>
      <w:proofErr w:type="spellStart"/>
      <w:r w:rsidR="00F94B7E" w:rsidRPr="00DB207B">
        <w:rPr>
          <w:bCs/>
          <w:szCs w:val="22"/>
          <w:lang w:val="en-US"/>
        </w:rPr>
        <w:t>případě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renální</w:t>
      </w:r>
      <w:proofErr w:type="spellEnd"/>
      <w:r w:rsidR="00F94B7E" w:rsidRPr="00DB207B">
        <w:rPr>
          <w:bCs/>
          <w:szCs w:val="22"/>
          <w:lang w:val="en-US"/>
        </w:rPr>
        <w:t xml:space="preserve"> a/</w:t>
      </w:r>
      <w:proofErr w:type="spellStart"/>
      <w:r w:rsidR="00F94B7E" w:rsidRPr="00DB207B">
        <w:rPr>
          <w:bCs/>
          <w:szCs w:val="22"/>
          <w:lang w:val="en-US"/>
        </w:rPr>
        <w:t>nebo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hepatické</w:t>
      </w:r>
      <w:proofErr w:type="spellEnd"/>
      <w:r w:rsidR="00F94B7E" w:rsidRPr="00DB207B">
        <w:rPr>
          <w:bCs/>
          <w:szCs w:val="22"/>
          <w:lang w:val="en-US"/>
        </w:rPr>
        <w:t xml:space="preserve"> </w:t>
      </w:r>
      <w:proofErr w:type="spellStart"/>
      <w:r w:rsidR="00F94B7E" w:rsidRPr="00DB207B">
        <w:rPr>
          <w:bCs/>
          <w:szCs w:val="22"/>
          <w:lang w:val="en-US"/>
        </w:rPr>
        <w:t>insuficience</w:t>
      </w:r>
      <w:proofErr w:type="spellEnd"/>
      <w:r w:rsidR="00F94B7E" w:rsidRPr="00DB207B">
        <w:rPr>
          <w:bCs/>
          <w:szCs w:val="22"/>
          <w:lang w:val="en-US"/>
        </w:rPr>
        <w:t>.</w:t>
      </w:r>
    </w:p>
    <w:p w14:paraId="67DD3A24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2D0C782E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526B5546" w14:textId="77777777" w:rsidR="00F94B7E" w:rsidRPr="00DB207B" w:rsidRDefault="00F94B7E" w:rsidP="00F44FD4">
      <w:pPr>
        <w:jc w:val="both"/>
        <w:rPr>
          <w:b/>
          <w:bCs/>
          <w:szCs w:val="22"/>
        </w:rPr>
      </w:pPr>
      <w:r w:rsidRPr="00DB207B">
        <w:rPr>
          <w:b/>
          <w:bCs/>
          <w:szCs w:val="22"/>
          <w:highlight w:val="lightGray"/>
        </w:rPr>
        <w:t>6.</w:t>
      </w:r>
      <w:r w:rsidRPr="00DB207B">
        <w:rPr>
          <w:b/>
          <w:bCs/>
          <w:szCs w:val="22"/>
        </w:rPr>
        <w:tab/>
        <w:t>NEŽÁDOUCÍ ÚČINKY</w:t>
      </w:r>
    </w:p>
    <w:p w14:paraId="7AB35317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4C879270" w14:textId="77777777" w:rsidR="00F94B7E" w:rsidRPr="00DB207B" w:rsidRDefault="00F94B7E" w:rsidP="00DB207B">
      <w:pPr>
        <w:jc w:val="both"/>
        <w:rPr>
          <w:bCs/>
          <w:szCs w:val="22"/>
          <w:lang w:val="cs-CZ"/>
        </w:rPr>
      </w:pPr>
      <w:r w:rsidRPr="00DB207B">
        <w:rPr>
          <w:bCs/>
          <w:szCs w:val="22"/>
          <w:lang w:val="cs-CZ"/>
        </w:rPr>
        <w:t>V místě injekčního podání se mohou objevit lokální reakce.</w:t>
      </w:r>
    </w:p>
    <w:p w14:paraId="50563021" w14:textId="77777777" w:rsidR="00F94B7E" w:rsidRPr="00DB207B" w:rsidRDefault="00F94B7E" w:rsidP="00F44FD4">
      <w:pPr>
        <w:ind w:left="0" w:firstLine="0"/>
        <w:jc w:val="both"/>
        <w:rPr>
          <w:szCs w:val="22"/>
        </w:rPr>
      </w:pPr>
    </w:p>
    <w:p w14:paraId="15814978" w14:textId="77777777" w:rsidR="00316F63" w:rsidRPr="00DB207B" w:rsidRDefault="00316F63" w:rsidP="00F44FD4">
      <w:pPr>
        <w:ind w:left="0" w:firstLine="0"/>
        <w:jc w:val="both"/>
        <w:rPr>
          <w:szCs w:val="22"/>
        </w:rPr>
      </w:pPr>
      <w:proofErr w:type="spellStart"/>
      <w:r w:rsidRPr="00DB207B">
        <w:rPr>
          <w:szCs w:val="22"/>
        </w:rPr>
        <w:t>Pokud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se</w:t>
      </w:r>
      <w:proofErr w:type="spellEnd"/>
      <w:r w:rsidRPr="00DB207B">
        <w:rPr>
          <w:szCs w:val="22"/>
        </w:rPr>
        <w:t xml:space="preserve"> u </w:t>
      </w:r>
      <w:proofErr w:type="spellStart"/>
      <w:r w:rsidRPr="00DB207B">
        <w:rPr>
          <w:szCs w:val="22"/>
        </w:rPr>
        <w:t>vašeho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zvířete</w:t>
      </w:r>
      <w:proofErr w:type="spellEnd"/>
      <w:r w:rsidRPr="00DB207B">
        <w:rPr>
          <w:szCs w:val="22"/>
        </w:rPr>
        <w:t xml:space="preserve"> vyskytne </w:t>
      </w:r>
      <w:proofErr w:type="spellStart"/>
      <w:r w:rsidRPr="00DB207B">
        <w:rPr>
          <w:szCs w:val="22"/>
        </w:rPr>
        <w:t>kterýkoli</w:t>
      </w:r>
      <w:proofErr w:type="spellEnd"/>
      <w:r w:rsidRPr="00DB207B">
        <w:rPr>
          <w:szCs w:val="22"/>
        </w:rPr>
        <w:t xml:space="preserve"> z </w:t>
      </w:r>
      <w:proofErr w:type="spellStart"/>
      <w:r w:rsidRPr="00DB207B">
        <w:rPr>
          <w:szCs w:val="22"/>
        </w:rPr>
        <w:t>nežádoucích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účinků</w:t>
      </w:r>
      <w:proofErr w:type="spellEnd"/>
      <w:r w:rsidRPr="00DB207B">
        <w:rPr>
          <w:szCs w:val="22"/>
        </w:rPr>
        <w:t xml:space="preserve">, </w:t>
      </w:r>
      <w:proofErr w:type="spellStart"/>
      <w:r w:rsidRPr="00DB207B">
        <w:rPr>
          <w:szCs w:val="22"/>
        </w:rPr>
        <w:t>sdělte</w:t>
      </w:r>
      <w:proofErr w:type="spellEnd"/>
      <w:r w:rsidRPr="00DB207B">
        <w:rPr>
          <w:szCs w:val="22"/>
        </w:rPr>
        <w:t xml:space="preserve"> to </w:t>
      </w:r>
      <w:proofErr w:type="spellStart"/>
      <w:r w:rsidRPr="00DB207B">
        <w:rPr>
          <w:szCs w:val="22"/>
        </w:rPr>
        <w:t>svému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veterinárnímu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lékaři</w:t>
      </w:r>
      <w:proofErr w:type="spellEnd"/>
      <w:r w:rsidRPr="00DB207B">
        <w:rPr>
          <w:szCs w:val="22"/>
        </w:rPr>
        <w:t xml:space="preserve">. </w:t>
      </w:r>
      <w:proofErr w:type="spellStart"/>
      <w:r w:rsidRPr="00DB207B">
        <w:rPr>
          <w:szCs w:val="22"/>
        </w:rPr>
        <w:t>Stejně</w:t>
      </w:r>
      <w:proofErr w:type="spellEnd"/>
      <w:r w:rsidRPr="00DB207B">
        <w:rPr>
          <w:szCs w:val="22"/>
        </w:rPr>
        <w:t xml:space="preserve"> postupujte v </w:t>
      </w:r>
      <w:proofErr w:type="spellStart"/>
      <w:r w:rsidRPr="00DB207B">
        <w:rPr>
          <w:szCs w:val="22"/>
        </w:rPr>
        <w:t>případě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jakýchkoli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nežádoucích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účinků</w:t>
      </w:r>
      <w:proofErr w:type="spellEnd"/>
      <w:r w:rsidRPr="00DB207B">
        <w:rPr>
          <w:szCs w:val="22"/>
        </w:rPr>
        <w:t xml:space="preserve">, </w:t>
      </w:r>
      <w:proofErr w:type="spellStart"/>
      <w:r w:rsidRPr="00DB207B">
        <w:rPr>
          <w:szCs w:val="22"/>
        </w:rPr>
        <w:t>které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nejsou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uvedeny</w:t>
      </w:r>
      <w:proofErr w:type="spellEnd"/>
      <w:r w:rsidRPr="00DB207B">
        <w:rPr>
          <w:szCs w:val="22"/>
        </w:rPr>
        <w:t xml:space="preserve"> v </w:t>
      </w:r>
      <w:proofErr w:type="spellStart"/>
      <w:r w:rsidRPr="00DB207B">
        <w:rPr>
          <w:szCs w:val="22"/>
        </w:rPr>
        <w:t>této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příbalové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lastRenderedPageBreak/>
        <w:t>informaci</w:t>
      </w:r>
      <w:proofErr w:type="spellEnd"/>
      <w:r w:rsidRPr="00DB207B">
        <w:rPr>
          <w:szCs w:val="22"/>
        </w:rPr>
        <w:t xml:space="preserve">. </w:t>
      </w:r>
      <w:proofErr w:type="spellStart"/>
      <w:r w:rsidRPr="00DB207B">
        <w:rPr>
          <w:szCs w:val="22"/>
        </w:rPr>
        <w:t>Nežádoucí</w:t>
      </w:r>
      <w:proofErr w:type="spellEnd"/>
      <w:r w:rsidRPr="00DB207B">
        <w:rPr>
          <w:szCs w:val="22"/>
        </w:rPr>
        <w:t xml:space="preserve"> účinky </w:t>
      </w:r>
      <w:proofErr w:type="spellStart"/>
      <w:r w:rsidRPr="00DB207B">
        <w:rPr>
          <w:szCs w:val="22"/>
        </w:rPr>
        <w:t>můžete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hlásit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prostřednictvím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formuláře</w:t>
      </w:r>
      <w:proofErr w:type="spellEnd"/>
      <w:r w:rsidRPr="00DB207B">
        <w:rPr>
          <w:szCs w:val="22"/>
        </w:rPr>
        <w:t xml:space="preserve"> na webových </w:t>
      </w:r>
      <w:proofErr w:type="spellStart"/>
      <w:r w:rsidRPr="00DB207B">
        <w:rPr>
          <w:szCs w:val="22"/>
        </w:rPr>
        <w:t>stránkách</w:t>
      </w:r>
      <w:proofErr w:type="spellEnd"/>
      <w:r w:rsidRPr="00DB207B">
        <w:rPr>
          <w:szCs w:val="22"/>
        </w:rPr>
        <w:t xml:space="preserve"> ÚSKVBL elektronicky, nebo také </w:t>
      </w:r>
      <w:proofErr w:type="spellStart"/>
      <w:r w:rsidRPr="00DB207B">
        <w:rPr>
          <w:szCs w:val="22"/>
        </w:rPr>
        <w:t>přímo</w:t>
      </w:r>
      <w:proofErr w:type="spellEnd"/>
      <w:r w:rsidRPr="00DB207B">
        <w:rPr>
          <w:szCs w:val="22"/>
        </w:rPr>
        <w:t xml:space="preserve"> na adresu: </w:t>
      </w:r>
    </w:p>
    <w:p w14:paraId="1BEC2E27" w14:textId="77777777" w:rsidR="00316F63" w:rsidRPr="00DB207B" w:rsidRDefault="00316F63" w:rsidP="00F44FD4">
      <w:pPr>
        <w:ind w:left="0" w:firstLine="0"/>
        <w:jc w:val="both"/>
        <w:rPr>
          <w:szCs w:val="22"/>
        </w:rPr>
      </w:pPr>
      <w:r w:rsidRPr="00DB207B">
        <w:rPr>
          <w:szCs w:val="22"/>
        </w:rPr>
        <w:t xml:space="preserve">Ústav pro </w:t>
      </w:r>
      <w:proofErr w:type="spellStart"/>
      <w:r w:rsidRPr="00DB207B">
        <w:rPr>
          <w:szCs w:val="22"/>
        </w:rPr>
        <w:t>státní</w:t>
      </w:r>
      <w:proofErr w:type="spellEnd"/>
      <w:r w:rsidRPr="00DB207B">
        <w:rPr>
          <w:szCs w:val="22"/>
        </w:rPr>
        <w:t xml:space="preserve"> kontrolu </w:t>
      </w:r>
      <w:proofErr w:type="spellStart"/>
      <w:r w:rsidRPr="00DB207B">
        <w:rPr>
          <w:szCs w:val="22"/>
        </w:rPr>
        <w:t>veterinárních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biopreparátů</w:t>
      </w:r>
      <w:proofErr w:type="spellEnd"/>
      <w:r w:rsidRPr="00DB207B">
        <w:rPr>
          <w:szCs w:val="22"/>
        </w:rPr>
        <w:t xml:space="preserve"> a </w:t>
      </w:r>
      <w:proofErr w:type="spellStart"/>
      <w:r w:rsidRPr="00DB207B">
        <w:rPr>
          <w:szCs w:val="22"/>
        </w:rPr>
        <w:t>léčiv</w:t>
      </w:r>
      <w:proofErr w:type="spellEnd"/>
      <w:r w:rsidRPr="00DB207B">
        <w:rPr>
          <w:szCs w:val="22"/>
        </w:rPr>
        <w:t xml:space="preserve"> </w:t>
      </w:r>
    </w:p>
    <w:p w14:paraId="4EB3526D" w14:textId="77777777" w:rsidR="00316F63" w:rsidRPr="00DB207B" w:rsidRDefault="00316F63" w:rsidP="00F44FD4">
      <w:pPr>
        <w:ind w:left="0" w:firstLine="0"/>
        <w:jc w:val="both"/>
        <w:rPr>
          <w:szCs w:val="22"/>
        </w:rPr>
      </w:pPr>
      <w:r w:rsidRPr="00DB207B">
        <w:rPr>
          <w:szCs w:val="22"/>
        </w:rPr>
        <w:t>Hudcova 56a</w:t>
      </w:r>
    </w:p>
    <w:p w14:paraId="506E0BA5" w14:textId="77777777" w:rsidR="00316F63" w:rsidRPr="00DB207B" w:rsidRDefault="00316F63" w:rsidP="00F44FD4">
      <w:pPr>
        <w:ind w:left="0" w:firstLine="0"/>
        <w:jc w:val="both"/>
        <w:rPr>
          <w:szCs w:val="22"/>
        </w:rPr>
      </w:pPr>
      <w:r w:rsidRPr="00DB207B">
        <w:rPr>
          <w:szCs w:val="22"/>
        </w:rPr>
        <w:t xml:space="preserve">621 00 Brno </w:t>
      </w:r>
    </w:p>
    <w:p w14:paraId="28C18FEF" w14:textId="77777777" w:rsidR="00316F63" w:rsidRPr="00DB207B" w:rsidRDefault="00316F63" w:rsidP="00F44FD4">
      <w:pPr>
        <w:ind w:left="0" w:firstLine="0"/>
        <w:jc w:val="both"/>
        <w:rPr>
          <w:szCs w:val="22"/>
        </w:rPr>
      </w:pPr>
      <w:r w:rsidRPr="00DB207B">
        <w:rPr>
          <w:szCs w:val="22"/>
        </w:rPr>
        <w:t>Mail: adr@uskvbl.cz</w:t>
      </w:r>
    </w:p>
    <w:p w14:paraId="24BB993F" w14:textId="77777777" w:rsidR="00316F63" w:rsidRPr="00DB207B" w:rsidRDefault="00316F63" w:rsidP="00F44FD4">
      <w:pPr>
        <w:ind w:left="0" w:firstLine="0"/>
        <w:jc w:val="both"/>
        <w:rPr>
          <w:szCs w:val="22"/>
        </w:rPr>
      </w:pPr>
      <w:r w:rsidRPr="00DB207B">
        <w:rPr>
          <w:szCs w:val="22"/>
        </w:rPr>
        <w:t xml:space="preserve">Webové stránky: </w:t>
      </w:r>
      <w:hyperlink r:id="rId6" w:history="1">
        <w:r w:rsidRPr="00DB207B">
          <w:rPr>
            <w:rStyle w:val="Hypertextovodkaz"/>
            <w:szCs w:val="22"/>
          </w:rPr>
          <w:t>http://www.uskvbl.cz/cs/farmakovigilance</w:t>
        </w:r>
      </w:hyperlink>
    </w:p>
    <w:p w14:paraId="4BF2BC0F" w14:textId="77777777" w:rsidR="00316F63" w:rsidRPr="00DB207B" w:rsidRDefault="00316F63" w:rsidP="00F44FD4">
      <w:pPr>
        <w:ind w:left="0" w:firstLine="0"/>
        <w:jc w:val="both"/>
        <w:rPr>
          <w:szCs w:val="22"/>
        </w:rPr>
      </w:pPr>
    </w:p>
    <w:p w14:paraId="3A2571CD" w14:textId="77777777" w:rsidR="00F94B7E" w:rsidRPr="00DB207B" w:rsidRDefault="00F94B7E" w:rsidP="00F44FD4">
      <w:pPr>
        <w:ind w:left="0" w:firstLine="0"/>
        <w:jc w:val="both"/>
        <w:rPr>
          <w:szCs w:val="22"/>
        </w:rPr>
      </w:pPr>
    </w:p>
    <w:p w14:paraId="498BA3F5" w14:textId="77777777" w:rsidR="00F94B7E" w:rsidRPr="00DB207B" w:rsidRDefault="00F94B7E" w:rsidP="00F44FD4">
      <w:pPr>
        <w:jc w:val="both"/>
        <w:rPr>
          <w:b/>
          <w:bCs/>
          <w:szCs w:val="22"/>
        </w:rPr>
      </w:pPr>
      <w:r w:rsidRPr="00DB207B">
        <w:rPr>
          <w:b/>
          <w:bCs/>
          <w:szCs w:val="22"/>
          <w:highlight w:val="lightGray"/>
        </w:rPr>
        <w:t>7.</w:t>
      </w:r>
      <w:r w:rsidRPr="00DB207B">
        <w:rPr>
          <w:b/>
          <w:bCs/>
          <w:szCs w:val="22"/>
        </w:rPr>
        <w:tab/>
        <w:t>CÍLOVÝ DRUH ZVÍŘAT</w:t>
      </w:r>
    </w:p>
    <w:p w14:paraId="0D1DC9B8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4AD057E8" w14:textId="180EFAEC" w:rsidR="00F94B7E" w:rsidRPr="00DB207B" w:rsidRDefault="001E0EE2" w:rsidP="00F44FD4">
      <w:pPr>
        <w:jc w:val="both"/>
        <w:rPr>
          <w:bCs/>
          <w:szCs w:val="22"/>
        </w:rPr>
      </w:pPr>
      <w:proofErr w:type="spellStart"/>
      <w:r w:rsidRPr="00DB207B">
        <w:rPr>
          <w:bCs/>
          <w:szCs w:val="22"/>
          <w:lang w:val="en-GB"/>
        </w:rPr>
        <w:t>Skot</w:t>
      </w:r>
      <w:proofErr w:type="spellEnd"/>
      <w:r w:rsidRPr="00DB207B">
        <w:rPr>
          <w:bCs/>
          <w:szCs w:val="22"/>
          <w:lang w:val="en-GB"/>
        </w:rPr>
        <w:t xml:space="preserve"> (</w:t>
      </w:r>
      <w:proofErr w:type="spellStart"/>
      <w:r w:rsidRPr="00DB207B">
        <w:rPr>
          <w:bCs/>
          <w:szCs w:val="22"/>
          <w:lang w:val="en-GB"/>
        </w:rPr>
        <w:t>t</w:t>
      </w:r>
      <w:r w:rsidR="00F94B7E" w:rsidRPr="00DB207B">
        <w:rPr>
          <w:bCs/>
          <w:szCs w:val="22"/>
          <w:lang w:val="en-GB"/>
        </w:rPr>
        <w:t>elata</w:t>
      </w:r>
      <w:proofErr w:type="spellEnd"/>
      <w:r w:rsidRPr="00DB207B">
        <w:rPr>
          <w:bCs/>
          <w:szCs w:val="22"/>
          <w:lang w:val="en-GB"/>
        </w:rPr>
        <w:t>)</w:t>
      </w:r>
      <w:r w:rsidR="00F94B7E" w:rsidRPr="00DB207B">
        <w:rPr>
          <w:bCs/>
          <w:szCs w:val="22"/>
          <w:lang w:val="pt-BR"/>
        </w:rPr>
        <w:t xml:space="preserve"> a prasata.</w:t>
      </w:r>
    </w:p>
    <w:p w14:paraId="35C944BC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055EB7E4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1DC16645" w14:textId="77777777" w:rsidR="00F94B7E" w:rsidRPr="00DB207B" w:rsidRDefault="00F94B7E" w:rsidP="00F44FD4">
      <w:pPr>
        <w:jc w:val="both"/>
        <w:rPr>
          <w:b/>
          <w:bCs/>
          <w:szCs w:val="22"/>
        </w:rPr>
      </w:pPr>
      <w:r w:rsidRPr="00DB207B">
        <w:rPr>
          <w:b/>
          <w:bCs/>
          <w:szCs w:val="22"/>
          <w:highlight w:val="lightGray"/>
        </w:rPr>
        <w:t>8.</w:t>
      </w:r>
      <w:r w:rsidRPr="00DB207B">
        <w:rPr>
          <w:b/>
          <w:bCs/>
          <w:szCs w:val="22"/>
        </w:rPr>
        <w:tab/>
        <w:t>DÁVKOVÁNÍ PRO KAŽDÝ DRUH, CESTA(Y) A ZPŮSOB PODÁNÍ</w:t>
      </w:r>
    </w:p>
    <w:p w14:paraId="1F7D20A3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1E59D034" w14:textId="77777777" w:rsidR="00F94B7E" w:rsidRPr="00DB207B" w:rsidRDefault="00F94B7E" w:rsidP="00DB207B">
      <w:pPr>
        <w:jc w:val="both"/>
        <w:rPr>
          <w:bCs/>
          <w:szCs w:val="22"/>
          <w:lang w:val="cs-CZ"/>
        </w:rPr>
      </w:pPr>
      <w:r w:rsidRPr="00DB207B">
        <w:rPr>
          <w:bCs/>
          <w:szCs w:val="22"/>
          <w:lang w:val="cs-CZ"/>
        </w:rPr>
        <w:t>Intramuskulární podání.</w:t>
      </w:r>
    </w:p>
    <w:p w14:paraId="76951D33" w14:textId="77777777" w:rsidR="00F94B7E" w:rsidRPr="00DB207B" w:rsidRDefault="00F94B7E" w:rsidP="00DB207B">
      <w:pPr>
        <w:jc w:val="both"/>
        <w:rPr>
          <w:bCs/>
          <w:szCs w:val="22"/>
          <w:u w:val="single"/>
          <w:lang w:val="cs-CZ"/>
        </w:rPr>
      </w:pPr>
    </w:p>
    <w:p w14:paraId="518E2437" w14:textId="77777777" w:rsidR="00F94B7E" w:rsidRPr="00DB207B" w:rsidRDefault="00F94B7E" w:rsidP="00DB207B">
      <w:pPr>
        <w:ind w:left="0" w:firstLine="0"/>
        <w:jc w:val="both"/>
        <w:rPr>
          <w:bCs/>
          <w:szCs w:val="22"/>
          <w:lang w:val="cs-CZ"/>
        </w:rPr>
      </w:pPr>
      <w:r w:rsidRPr="00DB207B">
        <w:rPr>
          <w:bCs/>
          <w:szCs w:val="22"/>
          <w:u w:val="single"/>
          <w:lang w:val="cs-CZ"/>
        </w:rPr>
        <w:t>Prasata</w:t>
      </w:r>
      <w:r w:rsidRPr="00DB207B">
        <w:rPr>
          <w:bCs/>
          <w:szCs w:val="22"/>
          <w:lang w:val="cs-CZ"/>
        </w:rPr>
        <w:t>: 2,5 mg enrofloxacinu/kg živé hmotnosti/den (což odpovídá 0,5 ml přípravku/ 10 kg živé hmotnosti/den) po dobu 3-5 po sobě jdoucích dnů.</w:t>
      </w:r>
    </w:p>
    <w:p w14:paraId="55102107" w14:textId="77777777" w:rsidR="00F94B7E" w:rsidRPr="00DB207B" w:rsidRDefault="00F94B7E" w:rsidP="00DB207B">
      <w:pPr>
        <w:ind w:left="0" w:firstLine="0"/>
        <w:jc w:val="both"/>
        <w:rPr>
          <w:bCs/>
          <w:szCs w:val="22"/>
          <w:u w:val="single"/>
          <w:lang w:val="cs-CZ"/>
        </w:rPr>
      </w:pPr>
    </w:p>
    <w:p w14:paraId="66CFFB95" w14:textId="11BCDECB" w:rsidR="00F94B7E" w:rsidRPr="00DB207B" w:rsidRDefault="008B479F" w:rsidP="00DB207B">
      <w:pPr>
        <w:ind w:left="0" w:firstLine="0"/>
        <w:jc w:val="both"/>
        <w:rPr>
          <w:bCs/>
          <w:szCs w:val="22"/>
          <w:lang w:val="cs-CZ"/>
        </w:rPr>
      </w:pPr>
      <w:r w:rsidRPr="00DB207B">
        <w:rPr>
          <w:bCs/>
          <w:szCs w:val="22"/>
          <w:u w:val="single"/>
          <w:lang w:val="cs-CZ"/>
        </w:rPr>
        <w:t>Skot (telata)</w:t>
      </w:r>
      <w:r w:rsidR="00F94B7E" w:rsidRPr="00DB207B">
        <w:rPr>
          <w:bCs/>
          <w:szCs w:val="22"/>
          <w:lang w:val="cs-CZ"/>
        </w:rPr>
        <w:t>: 2,5 mg enrofloxacinu/kg živé hmotnosti/den (což odpovídá 0,5 ml přípravku/ 10 kg živé hmotnosti/den) po dobu 3-5 po sobě jdoucích dnů.</w:t>
      </w:r>
    </w:p>
    <w:p w14:paraId="53F36E80" w14:textId="77777777" w:rsidR="00F94B7E" w:rsidRPr="00DB207B" w:rsidRDefault="00F94B7E" w:rsidP="00DB207B">
      <w:pPr>
        <w:jc w:val="both"/>
        <w:rPr>
          <w:bCs/>
          <w:szCs w:val="22"/>
          <w:lang w:val="cs-CZ"/>
        </w:rPr>
      </w:pPr>
    </w:p>
    <w:p w14:paraId="3CE30981" w14:textId="77777777" w:rsidR="00F94B7E" w:rsidRPr="00DB207B" w:rsidRDefault="00F94B7E" w:rsidP="00DB207B">
      <w:pPr>
        <w:jc w:val="both"/>
        <w:rPr>
          <w:bCs/>
          <w:szCs w:val="22"/>
          <w:lang w:val="cs-CZ"/>
        </w:rPr>
      </w:pPr>
      <w:r w:rsidRPr="00DB207B">
        <w:rPr>
          <w:bCs/>
          <w:szCs w:val="22"/>
          <w:lang w:val="cs-CZ"/>
        </w:rPr>
        <w:t>Maximální objem přípravku aplikovaný do jednoho místa injekčního podání je:</w:t>
      </w:r>
    </w:p>
    <w:p w14:paraId="6CF06E01" w14:textId="77777777" w:rsidR="00F94B7E" w:rsidRPr="00DB207B" w:rsidRDefault="00F94B7E" w:rsidP="00DB207B">
      <w:pPr>
        <w:jc w:val="both"/>
        <w:rPr>
          <w:bCs/>
          <w:szCs w:val="22"/>
          <w:lang w:val="cs-CZ"/>
        </w:rPr>
      </w:pPr>
    </w:p>
    <w:p w14:paraId="5EB91BE4" w14:textId="5FF168B9" w:rsidR="00F94B7E" w:rsidRPr="00DB207B" w:rsidRDefault="00CC7E82" w:rsidP="00DB207B">
      <w:pPr>
        <w:jc w:val="both"/>
        <w:rPr>
          <w:bCs/>
          <w:szCs w:val="22"/>
          <w:lang w:val="cs-CZ"/>
        </w:rPr>
      </w:pPr>
      <w:r w:rsidRPr="00DB207B">
        <w:rPr>
          <w:bCs/>
          <w:szCs w:val="22"/>
          <w:lang w:val="cs-CZ"/>
        </w:rPr>
        <w:t>Skot (t</w:t>
      </w:r>
      <w:r w:rsidR="00F94B7E" w:rsidRPr="00DB207B">
        <w:rPr>
          <w:bCs/>
          <w:szCs w:val="22"/>
          <w:lang w:val="cs-CZ"/>
        </w:rPr>
        <w:t>elata</w:t>
      </w:r>
      <w:r w:rsidRPr="00DB207B">
        <w:rPr>
          <w:bCs/>
          <w:szCs w:val="22"/>
          <w:lang w:val="cs-CZ"/>
        </w:rPr>
        <w:t>)</w:t>
      </w:r>
      <w:r w:rsidR="00F94B7E" w:rsidRPr="00DB207B">
        <w:rPr>
          <w:bCs/>
          <w:szCs w:val="22"/>
          <w:lang w:val="cs-CZ"/>
        </w:rPr>
        <w:t>: 1</w:t>
      </w:r>
      <w:r w:rsidR="00A6400C" w:rsidRPr="00DB207B">
        <w:rPr>
          <w:bCs/>
          <w:szCs w:val="22"/>
          <w:lang w:val="cs-CZ"/>
        </w:rPr>
        <w:t>3</w:t>
      </w:r>
      <w:r w:rsidRPr="00DB207B">
        <w:rPr>
          <w:bCs/>
          <w:szCs w:val="22"/>
          <w:lang w:val="cs-CZ"/>
        </w:rPr>
        <w:t>,5</w:t>
      </w:r>
      <w:r w:rsidR="00F94B7E" w:rsidRPr="00DB207B">
        <w:rPr>
          <w:bCs/>
          <w:szCs w:val="22"/>
          <w:lang w:val="cs-CZ"/>
        </w:rPr>
        <w:t xml:space="preserve"> ml</w:t>
      </w:r>
    </w:p>
    <w:p w14:paraId="7E6FD9A8" w14:textId="4B4B5FB1" w:rsidR="00F94B7E" w:rsidRPr="00DB207B" w:rsidRDefault="00F94B7E" w:rsidP="00DB207B">
      <w:pPr>
        <w:jc w:val="both"/>
        <w:rPr>
          <w:bCs/>
          <w:szCs w:val="22"/>
          <w:lang w:val="cs-CZ"/>
        </w:rPr>
      </w:pPr>
      <w:r w:rsidRPr="00DB207B">
        <w:rPr>
          <w:bCs/>
          <w:szCs w:val="22"/>
          <w:lang w:val="cs-CZ"/>
        </w:rPr>
        <w:t xml:space="preserve">Prasata: </w:t>
      </w:r>
      <w:r w:rsidR="00A6400C" w:rsidRPr="00DB207B">
        <w:rPr>
          <w:bCs/>
          <w:szCs w:val="22"/>
          <w:lang w:val="cs-CZ"/>
        </w:rPr>
        <w:t>2</w:t>
      </w:r>
      <w:r w:rsidR="00CC7E82" w:rsidRPr="00DB207B">
        <w:rPr>
          <w:bCs/>
          <w:szCs w:val="22"/>
          <w:lang w:val="cs-CZ"/>
        </w:rPr>
        <w:t>,5</w:t>
      </w:r>
      <w:r w:rsidRPr="00DB207B">
        <w:rPr>
          <w:bCs/>
          <w:szCs w:val="22"/>
          <w:lang w:val="cs-CZ"/>
        </w:rPr>
        <w:t xml:space="preserve"> ml</w:t>
      </w:r>
    </w:p>
    <w:p w14:paraId="2D89C5E7" w14:textId="77777777" w:rsidR="00F94B7E" w:rsidRPr="00DB207B" w:rsidRDefault="00F94B7E" w:rsidP="00F44FD4">
      <w:pPr>
        <w:ind w:left="0" w:firstLine="0"/>
        <w:jc w:val="both"/>
        <w:rPr>
          <w:bCs/>
          <w:szCs w:val="22"/>
        </w:rPr>
      </w:pPr>
    </w:p>
    <w:p w14:paraId="197A0B9B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7A1C073B" w14:textId="77777777" w:rsidR="00F94B7E" w:rsidRPr="00DB207B" w:rsidRDefault="00F94B7E" w:rsidP="00F44FD4">
      <w:pPr>
        <w:jc w:val="both"/>
        <w:rPr>
          <w:b/>
          <w:bCs/>
          <w:szCs w:val="22"/>
        </w:rPr>
      </w:pPr>
      <w:r w:rsidRPr="00DB207B">
        <w:rPr>
          <w:b/>
          <w:bCs/>
          <w:szCs w:val="22"/>
          <w:highlight w:val="lightGray"/>
        </w:rPr>
        <w:t>9.</w:t>
      </w:r>
      <w:r w:rsidRPr="00DB207B">
        <w:rPr>
          <w:b/>
          <w:bCs/>
          <w:szCs w:val="22"/>
        </w:rPr>
        <w:tab/>
        <w:t>POKYNY PRO SPRÁVNÉ PODÁNÍ</w:t>
      </w:r>
    </w:p>
    <w:p w14:paraId="204E5F0B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7E83126A" w14:textId="77777777" w:rsidR="008B479F" w:rsidRPr="00DB207B" w:rsidRDefault="008B479F" w:rsidP="00DB207B">
      <w:pPr>
        <w:jc w:val="both"/>
        <w:rPr>
          <w:bCs/>
          <w:szCs w:val="22"/>
          <w:lang w:val="cs-CZ"/>
        </w:rPr>
      </w:pPr>
      <w:r w:rsidRPr="00DB207B">
        <w:rPr>
          <w:bCs/>
          <w:szCs w:val="22"/>
          <w:lang w:val="cs-CZ"/>
        </w:rPr>
        <w:t>Aby se zabránilo poddávkování musí být co nejpřesněji stanovena živá hmotnost.</w:t>
      </w:r>
    </w:p>
    <w:p w14:paraId="142819B3" w14:textId="77777777" w:rsidR="000B2BCA" w:rsidRPr="00DB207B" w:rsidRDefault="000B2BCA" w:rsidP="00F44FD4">
      <w:pPr>
        <w:jc w:val="both"/>
        <w:rPr>
          <w:bCs/>
          <w:szCs w:val="22"/>
          <w:lang w:val="cs-CZ"/>
        </w:rPr>
      </w:pPr>
    </w:p>
    <w:p w14:paraId="616EB5CD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6F416824" w14:textId="77777777" w:rsidR="00F94B7E" w:rsidRPr="00DB207B" w:rsidRDefault="00F94B7E" w:rsidP="00F44FD4">
      <w:pPr>
        <w:jc w:val="both"/>
        <w:rPr>
          <w:b/>
          <w:bCs/>
          <w:szCs w:val="22"/>
        </w:rPr>
      </w:pPr>
      <w:r w:rsidRPr="00DB207B">
        <w:rPr>
          <w:b/>
          <w:bCs/>
          <w:szCs w:val="22"/>
          <w:highlight w:val="lightGray"/>
        </w:rPr>
        <w:t>10.</w:t>
      </w:r>
      <w:r w:rsidRPr="00DB207B">
        <w:rPr>
          <w:b/>
          <w:bCs/>
          <w:szCs w:val="22"/>
        </w:rPr>
        <w:tab/>
        <w:t>OCHRANNÁ</w:t>
      </w:r>
      <w:r w:rsidR="00A6400C" w:rsidRPr="00DB207B">
        <w:rPr>
          <w:b/>
          <w:bCs/>
          <w:szCs w:val="22"/>
        </w:rPr>
        <w:t>(É)</w:t>
      </w:r>
      <w:r w:rsidRPr="00DB207B">
        <w:rPr>
          <w:b/>
          <w:bCs/>
          <w:szCs w:val="22"/>
        </w:rPr>
        <w:t xml:space="preserve"> LHŮTA</w:t>
      </w:r>
      <w:r w:rsidR="00A6400C" w:rsidRPr="00DB207B">
        <w:rPr>
          <w:b/>
          <w:bCs/>
          <w:szCs w:val="22"/>
        </w:rPr>
        <w:t>(Y)</w:t>
      </w:r>
    </w:p>
    <w:p w14:paraId="3B4511C8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63C8044A" w14:textId="5F1B4927" w:rsidR="00F94B7E" w:rsidRPr="00DB207B" w:rsidRDefault="00CC7E82" w:rsidP="00DB207B">
      <w:pPr>
        <w:spacing w:line="253" w:lineRule="exact"/>
        <w:jc w:val="both"/>
        <w:textAlignment w:val="baseline"/>
        <w:rPr>
          <w:bCs/>
          <w:noProof/>
          <w:kern w:val="32"/>
          <w:szCs w:val="22"/>
        </w:rPr>
      </w:pPr>
      <w:r w:rsidRPr="00DB207B">
        <w:rPr>
          <w:bCs/>
          <w:noProof/>
          <w:kern w:val="32"/>
          <w:szCs w:val="22"/>
        </w:rPr>
        <w:t>Skot</w:t>
      </w:r>
      <w:r w:rsidR="00D2480D" w:rsidRPr="00DB207B">
        <w:rPr>
          <w:bCs/>
          <w:noProof/>
          <w:kern w:val="32"/>
          <w:szCs w:val="22"/>
        </w:rPr>
        <w:t xml:space="preserve"> </w:t>
      </w:r>
      <w:r w:rsidRPr="00DB207B">
        <w:rPr>
          <w:bCs/>
          <w:noProof/>
          <w:kern w:val="32"/>
          <w:szCs w:val="22"/>
        </w:rPr>
        <w:t>(t</w:t>
      </w:r>
      <w:r w:rsidR="00F94B7E" w:rsidRPr="00DB207B">
        <w:rPr>
          <w:bCs/>
          <w:noProof/>
          <w:kern w:val="32"/>
          <w:szCs w:val="22"/>
        </w:rPr>
        <w:t>elata</w:t>
      </w:r>
      <w:r w:rsidRPr="00DB207B">
        <w:rPr>
          <w:bCs/>
          <w:noProof/>
          <w:kern w:val="32"/>
          <w:szCs w:val="22"/>
        </w:rPr>
        <w:t>)</w:t>
      </w:r>
      <w:r w:rsidR="00F94B7E" w:rsidRPr="00DB207B">
        <w:rPr>
          <w:bCs/>
          <w:noProof/>
          <w:kern w:val="32"/>
          <w:szCs w:val="22"/>
        </w:rPr>
        <w:t>: maso: 12 dní</w:t>
      </w:r>
    </w:p>
    <w:p w14:paraId="0B597489" w14:textId="77777777" w:rsidR="00F94B7E" w:rsidRPr="00DB207B" w:rsidRDefault="00F94B7E" w:rsidP="00DB207B">
      <w:pPr>
        <w:spacing w:line="253" w:lineRule="exact"/>
        <w:jc w:val="both"/>
        <w:textAlignment w:val="baseline"/>
        <w:rPr>
          <w:bCs/>
          <w:noProof/>
          <w:kern w:val="32"/>
          <w:szCs w:val="22"/>
        </w:rPr>
      </w:pPr>
      <w:r w:rsidRPr="00DB207B">
        <w:rPr>
          <w:bCs/>
          <w:noProof/>
          <w:kern w:val="32"/>
          <w:szCs w:val="22"/>
        </w:rPr>
        <w:t>Prasata: maso: 8 dní</w:t>
      </w:r>
    </w:p>
    <w:p w14:paraId="01D86398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65717E0E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4DFDD600" w14:textId="77777777" w:rsidR="00F94B7E" w:rsidRPr="00DB207B" w:rsidRDefault="00F94B7E" w:rsidP="00F44FD4">
      <w:pPr>
        <w:jc w:val="both"/>
        <w:rPr>
          <w:b/>
          <w:bCs/>
          <w:szCs w:val="22"/>
        </w:rPr>
      </w:pPr>
      <w:r w:rsidRPr="00DB207B">
        <w:rPr>
          <w:b/>
          <w:bCs/>
          <w:szCs w:val="22"/>
          <w:highlight w:val="lightGray"/>
        </w:rPr>
        <w:t>11.</w:t>
      </w:r>
      <w:r w:rsidRPr="00DB207B">
        <w:rPr>
          <w:b/>
          <w:bCs/>
          <w:szCs w:val="22"/>
        </w:rPr>
        <w:tab/>
        <w:t>ZVLÁŠTNÍ OPATŘENÍ PRO UCHOVÁVÁNÍ</w:t>
      </w:r>
    </w:p>
    <w:p w14:paraId="1E079299" w14:textId="77777777" w:rsidR="00F94B7E" w:rsidRPr="00DB207B" w:rsidRDefault="00F94B7E" w:rsidP="00F44FD4">
      <w:pPr>
        <w:jc w:val="both"/>
        <w:rPr>
          <w:szCs w:val="22"/>
        </w:rPr>
      </w:pPr>
    </w:p>
    <w:p w14:paraId="238FADD5" w14:textId="3E6250F2" w:rsidR="00F94B7E" w:rsidRPr="00F44FD4" w:rsidRDefault="00F94B7E" w:rsidP="00DB207B">
      <w:pPr>
        <w:jc w:val="both"/>
        <w:rPr>
          <w:szCs w:val="22"/>
          <w:lang w:val="cs-CZ"/>
        </w:rPr>
      </w:pPr>
      <w:r w:rsidRPr="00F44FD4">
        <w:rPr>
          <w:szCs w:val="22"/>
          <w:lang w:val="cs-CZ"/>
        </w:rPr>
        <w:t>Uchováva</w:t>
      </w:r>
      <w:r w:rsidR="000B2BCA" w:rsidRPr="00F44FD4">
        <w:rPr>
          <w:szCs w:val="22"/>
          <w:lang w:val="cs-CZ"/>
        </w:rPr>
        <w:t>t</w:t>
      </w:r>
      <w:r w:rsidRPr="00F44FD4">
        <w:rPr>
          <w:szCs w:val="22"/>
          <w:lang w:val="cs-CZ"/>
        </w:rPr>
        <w:t xml:space="preserve"> mimo doh</w:t>
      </w:r>
      <w:r w:rsidR="000B2BCA" w:rsidRPr="00F44FD4">
        <w:rPr>
          <w:szCs w:val="22"/>
          <w:lang w:val="cs-CZ"/>
        </w:rPr>
        <w:t xml:space="preserve">led </w:t>
      </w:r>
      <w:r w:rsidRPr="00F44FD4">
        <w:rPr>
          <w:szCs w:val="22"/>
          <w:lang w:val="cs-CZ"/>
        </w:rPr>
        <w:t>a dosah d</w:t>
      </w:r>
      <w:r w:rsidR="000B2BCA" w:rsidRPr="00F44FD4">
        <w:rPr>
          <w:szCs w:val="22"/>
          <w:lang w:val="cs-CZ"/>
        </w:rPr>
        <w:t>ě</w:t>
      </w:r>
      <w:r w:rsidRPr="00F44FD4">
        <w:rPr>
          <w:szCs w:val="22"/>
          <w:lang w:val="cs-CZ"/>
        </w:rPr>
        <w:t>tí.</w:t>
      </w:r>
    </w:p>
    <w:p w14:paraId="5A0C8B56" w14:textId="77777777" w:rsidR="00F94B7E" w:rsidRPr="00DB207B" w:rsidRDefault="00F94B7E" w:rsidP="00DB207B">
      <w:pPr>
        <w:keepNext/>
        <w:jc w:val="both"/>
        <w:outlineLvl w:val="0"/>
        <w:rPr>
          <w:bCs/>
          <w:noProof/>
          <w:szCs w:val="22"/>
        </w:rPr>
      </w:pPr>
      <w:r w:rsidRPr="00DB207B">
        <w:rPr>
          <w:bCs/>
          <w:noProof/>
          <w:szCs w:val="22"/>
        </w:rPr>
        <w:t>Uchovávejte při teplotě do 25 °C.</w:t>
      </w:r>
    </w:p>
    <w:p w14:paraId="2E4A3C9B" w14:textId="77777777" w:rsidR="00F94B7E" w:rsidRPr="00DB207B" w:rsidRDefault="00F94B7E" w:rsidP="00DB207B">
      <w:pPr>
        <w:keepNext/>
        <w:jc w:val="both"/>
        <w:outlineLvl w:val="0"/>
        <w:rPr>
          <w:bCs/>
          <w:noProof/>
          <w:szCs w:val="22"/>
        </w:rPr>
      </w:pPr>
      <w:r w:rsidRPr="00DB207B">
        <w:rPr>
          <w:bCs/>
          <w:noProof/>
          <w:szCs w:val="22"/>
        </w:rPr>
        <w:t>Chraňte před světlem.</w:t>
      </w:r>
    </w:p>
    <w:p w14:paraId="7103E265" w14:textId="77777777" w:rsidR="00F94B7E" w:rsidRPr="00DB207B" w:rsidRDefault="00F94B7E" w:rsidP="00DB207B">
      <w:pPr>
        <w:jc w:val="both"/>
        <w:rPr>
          <w:bCs/>
          <w:noProof/>
          <w:kern w:val="32"/>
          <w:szCs w:val="22"/>
        </w:rPr>
      </w:pPr>
      <w:r w:rsidRPr="00DB207B">
        <w:rPr>
          <w:bCs/>
          <w:noProof/>
          <w:kern w:val="32"/>
          <w:szCs w:val="22"/>
        </w:rPr>
        <w:t>Doba použitelnosti po prvním otevření vnitřního obalu: 28 dní</w:t>
      </w:r>
      <w:r w:rsidR="00217D32" w:rsidRPr="00DB207B">
        <w:rPr>
          <w:bCs/>
          <w:noProof/>
          <w:kern w:val="32"/>
          <w:szCs w:val="22"/>
        </w:rPr>
        <w:t>.</w:t>
      </w:r>
    </w:p>
    <w:p w14:paraId="3D111F99" w14:textId="77777777" w:rsidR="00D65EDB" w:rsidRPr="00DB207B" w:rsidRDefault="00D65EDB" w:rsidP="00F44FD4">
      <w:pPr>
        <w:ind w:left="0" w:firstLine="0"/>
        <w:jc w:val="both"/>
        <w:rPr>
          <w:bCs/>
          <w:noProof/>
          <w:kern w:val="32"/>
          <w:szCs w:val="22"/>
        </w:rPr>
      </w:pPr>
      <w:r w:rsidRPr="00DB207B">
        <w:rPr>
          <w:bCs/>
          <w:noProof/>
          <w:szCs w:val="22"/>
        </w:rPr>
        <w:t>Nepoužívejte tento veterinární léčivý přípravek po uplynutí doby použitelnosti uvedené na obalu po EXP. Doba použitelnosti končí posledním dnem v uvedeném měsíci.</w:t>
      </w:r>
    </w:p>
    <w:p w14:paraId="54F6016E" w14:textId="77777777" w:rsidR="00F94B7E" w:rsidRPr="00DB207B" w:rsidRDefault="00F94B7E" w:rsidP="00F44FD4">
      <w:pPr>
        <w:jc w:val="both"/>
        <w:rPr>
          <w:szCs w:val="22"/>
        </w:rPr>
      </w:pPr>
    </w:p>
    <w:p w14:paraId="7CA1B26C" w14:textId="77777777" w:rsidR="00F94B7E" w:rsidRPr="00DB207B" w:rsidRDefault="00F94B7E" w:rsidP="00F44FD4">
      <w:pPr>
        <w:jc w:val="both"/>
        <w:rPr>
          <w:szCs w:val="22"/>
        </w:rPr>
      </w:pPr>
    </w:p>
    <w:p w14:paraId="6246D4CA" w14:textId="77777777" w:rsidR="00F94B7E" w:rsidRPr="00DB207B" w:rsidRDefault="00F94B7E" w:rsidP="00F44FD4">
      <w:pPr>
        <w:jc w:val="both"/>
        <w:rPr>
          <w:b/>
          <w:bCs/>
          <w:szCs w:val="22"/>
        </w:rPr>
      </w:pPr>
      <w:r w:rsidRPr="00DB207B">
        <w:rPr>
          <w:b/>
          <w:bCs/>
          <w:szCs w:val="22"/>
          <w:highlight w:val="lightGray"/>
        </w:rPr>
        <w:t>12.</w:t>
      </w:r>
      <w:r w:rsidRPr="00DB207B">
        <w:rPr>
          <w:b/>
          <w:bCs/>
          <w:szCs w:val="22"/>
        </w:rPr>
        <w:tab/>
        <w:t>ZVLÁŠTNÍ UPOZORNĚNÍ</w:t>
      </w:r>
    </w:p>
    <w:p w14:paraId="525E3774" w14:textId="77777777" w:rsidR="00F94B7E" w:rsidRPr="00DB207B" w:rsidRDefault="00F94B7E" w:rsidP="00F44FD4">
      <w:pPr>
        <w:jc w:val="both"/>
        <w:rPr>
          <w:szCs w:val="22"/>
        </w:rPr>
      </w:pPr>
    </w:p>
    <w:p w14:paraId="03823077" w14:textId="77777777" w:rsidR="00F94B7E" w:rsidRPr="00DB207B" w:rsidRDefault="00F94B7E" w:rsidP="00F44FD4">
      <w:pPr>
        <w:jc w:val="both"/>
        <w:rPr>
          <w:szCs w:val="22"/>
        </w:rPr>
      </w:pPr>
      <w:proofErr w:type="spellStart"/>
      <w:r w:rsidRPr="00DB207B">
        <w:rPr>
          <w:szCs w:val="22"/>
          <w:u w:val="single"/>
        </w:rPr>
        <w:t>Zvláštní</w:t>
      </w:r>
      <w:proofErr w:type="spellEnd"/>
      <w:r w:rsidRPr="00DB207B">
        <w:rPr>
          <w:szCs w:val="22"/>
          <w:u w:val="single"/>
        </w:rPr>
        <w:t xml:space="preserve"> </w:t>
      </w:r>
      <w:proofErr w:type="spellStart"/>
      <w:r w:rsidRPr="00DB207B">
        <w:rPr>
          <w:szCs w:val="22"/>
          <w:u w:val="single"/>
        </w:rPr>
        <w:t>opatření</w:t>
      </w:r>
      <w:proofErr w:type="spellEnd"/>
      <w:r w:rsidRPr="00DB207B">
        <w:rPr>
          <w:szCs w:val="22"/>
          <w:u w:val="single"/>
        </w:rPr>
        <w:t xml:space="preserve"> pro použití u </w:t>
      </w:r>
      <w:proofErr w:type="spellStart"/>
      <w:r w:rsidRPr="00DB207B">
        <w:rPr>
          <w:szCs w:val="22"/>
          <w:u w:val="single"/>
        </w:rPr>
        <w:t>zvířat</w:t>
      </w:r>
      <w:proofErr w:type="spellEnd"/>
      <w:r w:rsidRPr="00DB207B">
        <w:rPr>
          <w:szCs w:val="22"/>
          <w:u w:val="single"/>
        </w:rPr>
        <w:t>:</w:t>
      </w:r>
    </w:p>
    <w:p w14:paraId="3489F81C" w14:textId="77777777" w:rsidR="00F94B7E" w:rsidRPr="00DB207B" w:rsidRDefault="00F94B7E" w:rsidP="00DB207B">
      <w:pPr>
        <w:ind w:left="0" w:firstLine="0"/>
        <w:jc w:val="both"/>
        <w:rPr>
          <w:szCs w:val="22"/>
          <w:lang w:val="cs-CZ"/>
        </w:rPr>
      </w:pPr>
      <w:r w:rsidRPr="00DB207B">
        <w:rPr>
          <w:szCs w:val="22"/>
          <w:lang w:val="cs-CZ"/>
        </w:rPr>
        <w:t xml:space="preserve">Při použití přípravku je nutno vzít v úvahu oficiální a místní pravidla antibiotické politiky. </w:t>
      </w:r>
    </w:p>
    <w:p w14:paraId="2C000A76" w14:textId="77777777" w:rsidR="00F94B7E" w:rsidRPr="00DB207B" w:rsidRDefault="00F94B7E" w:rsidP="00DB207B">
      <w:pPr>
        <w:ind w:left="0" w:firstLine="0"/>
        <w:jc w:val="both"/>
        <w:rPr>
          <w:szCs w:val="22"/>
          <w:lang w:val="cs-CZ"/>
        </w:rPr>
      </w:pPr>
      <w:r w:rsidRPr="00DB207B">
        <w:rPr>
          <w:szCs w:val="22"/>
          <w:lang w:val="cs-CZ"/>
        </w:rPr>
        <w:t>Přípravek má indikační omezení, proto se doporučuje se rezervovat fluorochinolony na léčbu klinických stavů, které měly slabou odezvu, nebo se očekává slabá odezva na ostatní skupiny antibiotik.</w:t>
      </w:r>
    </w:p>
    <w:p w14:paraId="189E24DD" w14:textId="77777777" w:rsidR="00F94B7E" w:rsidRPr="00DB207B" w:rsidRDefault="00F94B7E" w:rsidP="00DB207B">
      <w:pPr>
        <w:ind w:left="0" w:firstLine="0"/>
        <w:jc w:val="both"/>
        <w:rPr>
          <w:szCs w:val="22"/>
          <w:lang w:val="cs-CZ"/>
        </w:rPr>
      </w:pPr>
      <w:r w:rsidRPr="00DB207B">
        <w:rPr>
          <w:szCs w:val="22"/>
          <w:lang w:val="cs-CZ"/>
        </w:rPr>
        <w:t xml:space="preserve">Použití </w:t>
      </w:r>
      <w:proofErr w:type="spellStart"/>
      <w:r w:rsidRPr="00DB207B">
        <w:rPr>
          <w:szCs w:val="22"/>
          <w:lang w:val="cs-CZ"/>
        </w:rPr>
        <w:t>fluorochinolonů</w:t>
      </w:r>
      <w:proofErr w:type="spellEnd"/>
      <w:r w:rsidRPr="00DB207B">
        <w:rPr>
          <w:szCs w:val="22"/>
          <w:lang w:val="cs-CZ"/>
        </w:rPr>
        <w:t xml:space="preserve"> by mělo být vždy, pokud je to možné, založeno na výsledku testu citlivosti. </w:t>
      </w:r>
    </w:p>
    <w:p w14:paraId="05F8FD84" w14:textId="5CC835FE" w:rsidR="00F94B7E" w:rsidRPr="00DB207B" w:rsidRDefault="00F94B7E" w:rsidP="00DB207B">
      <w:pPr>
        <w:ind w:left="0" w:firstLine="0"/>
        <w:jc w:val="both"/>
        <w:rPr>
          <w:szCs w:val="22"/>
          <w:lang w:val="cs-CZ"/>
        </w:rPr>
      </w:pPr>
      <w:r w:rsidRPr="00DB207B">
        <w:rPr>
          <w:szCs w:val="22"/>
          <w:lang w:val="cs-CZ"/>
        </w:rPr>
        <w:t xml:space="preserve">Použití přípravku, které je odlišné od pokynů uvedených v </w:t>
      </w:r>
      <w:r w:rsidR="00415E63" w:rsidRPr="00DB207B">
        <w:rPr>
          <w:szCs w:val="22"/>
          <w:lang w:val="cs-CZ"/>
        </w:rPr>
        <w:t>této příbalové informaci</w:t>
      </w:r>
      <w:r w:rsidRPr="00DB207B">
        <w:rPr>
          <w:szCs w:val="22"/>
          <w:lang w:val="cs-CZ"/>
        </w:rPr>
        <w:t xml:space="preserve">, může zvýšit prevalenci bakterií rezistentních na chinolony a snížit účinnost terapie ostatními (fluoro)chinolony z důvodu možné zkřížené rezistence.  </w:t>
      </w:r>
    </w:p>
    <w:p w14:paraId="3C227284" w14:textId="77777777" w:rsidR="00F94B7E" w:rsidRPr="00DB207B" w:rsidRDefault="00F94B7E" w:rsidP="00DB207B">
      <w:pPr>
        <w:ind w:left="0" w:firstLine="0"/>
        <w:jc w:val="both"/>
        <w:rPr>
          <w:szCs w:val="22"/>
          <w:lang w:val="cs-CZ"/>
        </w:rPr>
      </w:pPr>
      <w:r w:rsidRPr="00DB207B">
        <w:rPr>
          <w:szCs w:val="22"/>
          <w:lang w:val="cs-CZ"/>
        </w:rPr>
        <w:t>Pokud do tří dnů nedojde ke klinickému zlepšení, je vhodné přehodnotit diagnózu a v případě potřeby léčbu změnit.</w:t>
      </w:r>
    </w:p>
    <w:p w14:paraId="10900953" w14:textId="77777777" w:rsidR="00F94B7E" w:rsidRPr="00DB207B" w:rsidRDefault="00F94B7E" w:rsidP="00F44FD4">
      <w:pPr>
        <w:jc w:val="both"/>
        <w:rPr>
          <w:szCs w:val="22"/>
        </w:rPr>
      </w:pPr>
    </w:p>
    <w:p w14:paraId="00C260B1" w14:textId="77777777" w:rsidR="00F94B7E" w:rsidRPr="00F44FD4" w:rsidRDefault="00F94B7E" w:rsidP="00F44FD4">
      <w:pPr>
        <w:keepNext/>
        <w:jc w:val="both"/>
        <w:rPr>
          <w:szCs w:val="22"/>
          <w:u w:val="single"/>
          <w:lang w:val="cs-CZ"/>
        </w:rPr>
      </w:pPr>
      <w:r w:rsidRPr="00F44FD4">
        <w:rPr>
          <w:szCs w:val="22"/>
          <w:u w:val="single"/>
          <w:lang w:val="cs-CZ"/>
        </w:rPr>
        <w:t>Zvláštní opatření určené osobám, které podávají veterinární léčivý přípravek zvířatům:</w:t>
      </w:r>
    </w:p>
    <w:p w14:paraId="3C0407DF" w14:textId="77777777" w:rsidR="00F94B7E" w:rsidRPr="00DB207B" w:rsidRDefault="00F94B7E" w:rsidP="00DB207B">
      <w:pPr>
        <w:ind w:left="0" w:firstLine="0"/>
        <w:jc w:val="both"/>
        <w:rPr>
          <w:szCs w:val="22"/>
          <w:lang w:val="cs-CZ"/>
        </w:rPr>
      </w:pPr>
      <w:r w:rsidRPr="00DB207B">
        <w:rPr>
          <w:szCs w:val="22"/>
          <w:lang w:val="cs-CZ"/>
        </w:rPr>
        <w:t xml:space="preserve">Lidé se známou přecitlivělostí na (fluoro)chinolony by se měli vyhnout kontaktu s veterinárním léčivým přípravkem. </w:t>
      </w:r>
    </w:p>
    <w:p w14:paraId="01AEB7E1" w14:textId="77777777" w:rsidR="00F94B7E" w:rsidRPr="00DB207B" w:rsidRDefault="00F94B7E" w:rsidP="00DB207B">
      <w:pPr>
        <w:ind w:left="0" w:firstLine="0"/>
        <w:jc w:val="both"/>
        <w:rPr>
          <w:szCs w:val="22"/>
          <w:lang w:val="cs-CZ"/>
        </w:rPr>
      </w:pPr>
      <w:r w:rsidRPr="00DB207B">
        <w:rPr>
          <w:szCs w:val="22"/>
          <w:lang w:val="cs-CZ"/>
        </w:rPr>
        <w:t>Zabraňte kontaktu přípravku s kůží a očima. V případě kontaktu přípravku s kůží nebo očima opláchněte postižené místo ihned vodou.</w:t>
      </w:r>
    </w:p>
    <w:p w14:paraId="26D0E4B8" w14:textId="77777777" w:rsidR="00F94B7E" w:rsidRPr="00DB207B" w:rsidRDefault="00F94B7E" w:rsidP="00DB207B">
      <w:pPr>
        <w:ind w:left="0" w:firstLine="0"/>
        <w:jc w:val="both"/>
        <w:rPr>
          <w:szCs w:val="22"/>
          <w:lang w:val="cs-CZ"/>
        </w:rPr>
      </w:pPr>
      <w:r w:rsidRPr="00DB207B">
        <w:rPr>
          <w:szCs w:val="22"/>
          <w:lang w:val="cs-CZ"/>
        </w:rPr>
        <w:t>Po použití si umyjte ruce. Při manipulaci s přípravkem nejezte, nepijte ani nekuřte.</w:t>
      </w:r>
    </w:p>
    <w:p w14:paraId="36E3203E" w14:textId="77777777" w:rsidR="00F94B7E" w:rsidRPr="00DB207B" w:rsidRDefault="00F94B7E" w:rsidP="00DB207B">
      <w:pPr>
        <w:ind w:left="0" w:firstLine="0"/>
        <w:jc w:val="both"/>
        <w:rPr>
          <w:szCs w:val="22"/>
          <w:lang w:val="cs-CZ"/>
        </w:rPr>
      </w:pPr>
      <w:r w:rsidRPr="00DB207B">
        <w:rPr>
          <w:szCs w:val="22"/>
          <w:lang w:val="cs-CZ"/>
        </w:rPr>
        <w:t>Předcházejte náhodnému samopodání injekce. V případě náhodného sebepoškození injekčně aplikovaným přípravkem vyhledejte ihned lékařskou pomoc a ukažte příbalovou informaci nebo etiketu praktickému lékaři.</w:t>
      </w:r>
    </w:p>
    <w:p w14:paraId="4258BA3F" w14:textId="77777777" w:rsidR="00F94B7E" w:rsidRPr="00DB207B" w:rsidRDefault="00F94B7E" w:rsidP="00F44FD4">
      <w:pPr>
        <w:jc w:val="both"/>
        <w:rPr>
          <w:szCs w:val="22"/>
        </w:rPr>
      </w:pPr>
    </w:p>
    <w:p w14:paraId="60EDE6EA" w14:textId="77777777" w:rsidR="00F94B7E" w:rsidRPr="00DB207B" w:rsidRDefault="00F94B7E" w:rsidP="00F44FD4">
      <w:pPr>
        <w:jc w:val="both"/>
        <w:rPr>
          <w:szCs w:val="22"/>
        </w:rPr>
      </w:pPr>
      <w:proofErr w:type="spellStart"/>
      <w:r w:rsidRPr="00DB207B">
        <w:rPr>
          <w:szCs w:val="22"/>
          <w:u w:val="single"/>
        </w:rPr>
        <w:t>Březost</w:t>
      </w:r>
      <w:proofErr w:type="spellEnd"/>
      <w:r w:rsidRPr="00DB207B">
        <w:rPr>
          <w:szCs w:val="22"/>
          <w:u w:val="single"/>
        </w:rPr>
        <w:t xml:space="preserve"> a </w:t>
      </w:r>
      <w:proofErr w:type="spellStart"/>
      <w:r w:rsidRPr="00DB207B">
        <w:rPr>
          <w:szCs w:val="22"/>
          <w:u w:val="single"/>
        </w:rPr>
        <w:t>laktace</w:t>
      </w:r>
      <w:proofErr w:type="spellEnd"/>
      <w:r w:rsidRPr="00DB207B">
        <w:rPr>
          <w:szCs w:val="22"/>
        </w:rPr>
        <w:t xml:space="preserve">: </w:t>
      </w:r>
    </w:p>
    <w:p w14:paraId="21C08BA8" w14:textId="77777777" w:rsidR="00F94B7E" w:rsidRPr="00DB207B" w:rsidRDefault="00F94B7E" w:rsidP="00DB207B">
      <w:pPr>
        <w:jc w:val="both"/>
        <w:rPr>
          <w:bCs/>
          <w:szCs w:val="22"/>
          <w:lang w:val="cs-CZ"/>
        </w:rPr>
      </w:pPr>
      <w:r w:rsidRPr="00DB207B">
        <w:rPr>
          <w:bCs/>
          <w:szCs w:val="22"/>
          <w:lang w:val="cs-CZ"/>
        </w:rPr>
        <w:t>Prasata: nepoužívat v období gravidity a laktace</w:t>
      </w:r>
    </w:p>
    <w:p w14:paraId="72BA6E0A" w14:textId="07CC4890" w:rsidR="00F94B7E" w:rsidRPr="00DB207B" w:rsidRDefault="008B479F" w:rsidP="00DB207B">
      <w:pPr>
        <w:jc w:val="both"/>
        <w:rPr>
          <w:bCs/>
          <w:szCs w:val="22"/>
          <w:lang w:val="cs-CZ"/>
        </w:rPr>
      </w:pPr>
      <w:r w:rsidRPr="00DB207B">
        <w:rPr>
          <w:bCs/>
          <w:szCs w:val="22"/>
          <w:lang w:val="cs-CZ"/>
        </w:rPr>
        <w:t>Skot (telata)</w:t>
      </w:r>
      <w:r w:rsidR="00F94B7E" w:rsidRPr="00DB207B">
        <w:rPr>
          <w:bCs/>
          <w:szCs w:val="22"/>
          <w:lang w:val="cs-CZ"/>
        </w:rPr>
        <w:t>: neuplatňuje se</w:t>
      </w:r>
    </w:p>
    <w:p w14:paraId="751C76CE" w14:textId="77777777" w:rsidR="00F94B7E" w:rsidRPr="00DB207B" w:rsidRDefault="00F94B7E" w:rsidP="00F44FD4">
      <w:pPr>
        <w:jc w:val="both"/>
        <w:rPr>
          <w:szCs w:val="22"/>
        </w:rPr>
      </w:pPr>
    </w:p>
    <w:p w14:paraId="6006C2BB" w14:textId="77777777" w:rsidR="00F94B7E" w:rsidRPr="00DB207B" w:rsidRDefault="00F94B7E" w:rsidP="00F44FD4">
      <w:pPr>
        <w:jc w:val="both"/>
        <w:rPr>
          <w:szCs w:val="22"/>
          <w:u w:val="single"/>
        </w:rPr>
      </w:pPr>
      <w:proofErr w:type="spellStart"/>
      <w:r w:rsidRPr="00DB207B">
        <w:rPr>
          <w:szCs w:val="22"/>
          <w:u w:val="single"/>
        </w:rPr>
        <w:t>Interakce</w:t>
      </w:r>
      <w:proofErr w:type="spellEnd"/>
      <w:r w:rsidRPr="00DB207B">
        <w:rPr>
          <w:szCs w:val="22"/>
          <w:u w:val="single"/>
        </w:rPr>
        <w:t xml:space="preserve"> s </w:t>
      </w:r>
      <w:proofErr w:type="spellStart"/>
      <w:r w:rsidRPr="00DB207B">
        <w:rPr>
          <w:szCs w:val="22"/>
          <w:u w:val="single"/>
        </w:rPr>
        <w:t>dalšími</w:t>
      </w:r>
      <w:proofErr w:type="spellEnd"/>
      <w:r w:rsidRPr="00DB207B">
        <w:rPr>
          <w:szCs w:val="22"/>
          <w:u w:val="single"/>
        </w:rPr>
        <w:t xml:space="preserve"> </w:t>
      </w:r>
      <w:proofErr w:type="spellStart"/>
      <w:r w:rsidRPr="00DB207B">
        <w:rPr>
          <w:szCs w:val="22"/>
          <w:u w:val="single"/>
        </w:rPr>
        <w:t>léčivými</w:t>
      </w:r>
      <w:proofErr w:type="spellEnd"/>
      <w:r w:rsidRPr="00DB207B">
        <w:rPr>
          <w:szCs w:val="22"/>
          <w:u w:val="single"/>
        </w:rPr>
        <w:t xml:space="preserve"> </w:t>
      </w:r>
      <w:proofErr w:type="spellStart"/>
      <w:r w:rsidRPr="00DB207B">
        <w:rPr>
          <w:szCs w:val="22"/>
          <w:u w:val="single"/>
        </w:rPr>
        <w:t>přípravky</w:t>
      </w:r>
      <w:proofErr w:type="spellEnd"/>
      <w:r w:rsidRPr="00DB207B">
        <w:rPr>
          <w:szCs w:val="22"/>
          <w:u w:val="single"/>
        </w:rPr>
        <w:t xml:space="preserve"> a </w:t>
      </w:r>
      <w:proofErr w:type="spellStart"/>
      <w:r w:rsidRPr="00DB207B">
        <w:rPr>
          <w:szCs w:val="22"/>
          <w:u w:val="single"/>
        </w:rPr>
        <w:t>další</w:t>
      </w:r>
      <w:proofErr w:type="spellEnd"/>
      <w:r w:rsidRPr="00DB207B">
        <w:rPr>
          <w:szCs w:val="22"/>
          <w:u w:val="single"/>
        </w:rPr>
        <w:t xml:space="preserve"> formy </w:t>
      </w:r>
      <w:proofErr w:type="spellStart"/>
      <w:r w:rsidRPr="00DB207B">
        <w:rPr>
          <w:szCs w:val="22"/>
          <w:u w:val="single"/>
        </w:rPr>
        <w:t>interakce</w:t>
      </w:r>
      <w:proofErr w:type="spellEnd"/>
      <w:r w:rsidRPr="00DB207B">
        <w:rPr>
          <w:szCs w:val="22"/>
          <w:u w:val="single"/>
        </w:rPr>
        <w:t>:</w:t>
      </w:r>
    </w:p>
    <w:p w14:paraId="7E69708C" w14:textId="3C6455A4" w:rsidR="001C5CDC" w:rsidRPr="00F44FD4" w:rsidRDefault="001C5CDC" w:rsidP="00DB207B">
      <w:pPr>
        <w:ind w:left="0" w:firstLine="0"/>
        <w:jc w:val="both"/>
        <w:rPr>
          <w:szCs w:val="22"/>
          <w:lang w:val="cs-CZ"/>
        </w:rPr>
      </w:pPr>
      <w:r w:rsidRPr="00F44FD4">
        <w:rPr>
          <w:szCs w:val="22"/>
          <w:lang w:val="cs-CZ"/>
        </w:rPr>
        <w:t xml:space="preserve">Nepodávat společně s bakteristatickými antibiotiky (tetracyckliny a makrolidy) z důvodu antagonistického působení. </w:t>
      </w:r>
    </w:p>
    <w:p w14:paraId="2E0FAB4A" w14:textId="77777777" w:rsidR="001C5CDC" w:rsidRPr="00F44FD4" w:rsidRDefault="001C5CDC" w:rsidP="00DB207B">
      <w:pPr>
        <w:ind w:left="0" w:firstLine="0"/>
        <w:jc w:val="both"/>
        <w:rPr>
          <w:szCs w:val="22"/>
          <w:lang w:val="cs-CZ"/>
        </w:rPr>
      </w:pPr>
      <w:r w:rsidRPr="00F44FD4">
        <w:rPr>
          <w:szCs w:val="22"/>
          <w:lang w:val="cs-CZ"/>
        </w:rPr>
        <w:t>Nepodávat současně s nesteroidními antiflogistiky z důvodu možného vzniku křečí.</w:t>
      </w:r>
    </w:p>
    <w:p w14:paraId="2A2AF63F" w14:textId="77777777" w:rsidR="00F94B7E" w:rsidRPr="00DB207B" w:rsidRDefault="001C5CDC" w:rsidP="00F44FD4">
      <w:pPr>
        <w:jc w:val="both"/>
        <w:rPr>
          <w:szCs w:val="22"/>
          <w:u w:val="single"/>
        </w:rPr>
      </w:pPr>
      <w:r w:rsidRPr="00F44FD4">
        <w:rPr>
          <w:szCs w:val="22"/>
          <w:lang w:val="cs-CZ"/>
        </w:rPr>
        <w:t>Na hepatální úrovni se mohou objevit interakce s jinými léčivy, která jsou eliminována játry.</w:t>
      </w:r>
    </w:p>
    <w:p w14:paraId="4D35A9D9" w14:textId="77777777" w:rsidR="001C5CDC" w:rsidRPr="00DB207B" w:rsidRDefault="001C5CDC" w:rsidP="00F44FD4">
      <w:pPr>
        <w:jc w:val="both"/>
        <w:rPr>
          <w:szCs w:val="22"/>
          <w:u w:val="single"/>
        </w:rPr>
      </w:pPr>
    </w:p>
    <w:p w14:paraId="1EC1D74E" w14:textId="77777777" w:rsidR="00F94B7E" w:rsidRPr="00DB207B" w:rsidRDefault="00F94B7E" w:rsidP="00F44FD4">
      <w:pPr>
        <w:jc w:val="both"/>
        <w:rPr>
          <w:szCs w:val="22"/>
          <w:u w:val="single"/>
        </w:rPr>
      </w:pPr>
      <w:proofErr w:type="spellStart"/>
      <w:r w:rsidRPr="00DB207B">
        <w:rPr>
          <w:szCs w:val="22"/>
          <w:u w:val="single"/>
        </w:rPr>
        <w:t>Předávkování</w:t>
      </w:r>
      <w:proofErr w:type="spellEnd"/>
      <w:r w:rsidRPr="00DB207B">
        <w:rPr>
          <w:szCs w:val="22"/>
          <w:u w:val="single"/>
        </w:rPr>
        <w:t xml:space="preserve"> (</w:t>
      </w:r>
      <w:proofErr w:type="spellStart"/>
      <w:r w:rsidRPr="00DB207B">
        <w:rPr>
          <w:szCs w:val="22"/>
          <w:u w:val="single"/>
        </w:rPr>
        <w:t>symptomy</w:t>
      </w:r>
      <w:proofErr w:type="spellEnd"/>
      <w:r w:rsidRPr="00DB207B">
        <w:rPr>
          <w:szCs w:val="22"/>
          <w:u w:val="single"/>
        </w:rPr>
        <w:t xml:space="preserve">, </w:t>
      </w:r>
      <w:proofErr w:type="spellStart"/>
      <w:r w:rsidRPr="00DB207B">
        <w:rPr>
          <w:szCs w:val="22"/>
          <w:u w:val="single"/>
        </w:rPr>
        <w:t>první</w:t>
      </w:r>
      <w:proofErr w:type="spellEnd"/>
      <w:r w:rsidRPr="00DB207B">
        <w:rPr>
          <w:szCs w:val="22"/>
          <w:u w:val="single"/>
        </w:rPr>
        <w:t xml:space="preserve"> pomoc, antidota):</w:t>
      </w:r>
    </w:p>
    <w:p w14:paraId="0D6D8D47" w14:textId="43087662" w:rsidR="00F94B7E" w:rsidRPr="00DB207B" w:rsidRDefault="00F94B7E" w:rsidP="00DB207B">
      <w:pPr>
        <w:ind w:left="0" w:firstLine="0"/>
        <w:jc w:val="both"/>
        <w:rPr>
          <w:bCs/>
          <w:szCs w:val="22"/>
          <w:lang w:val="cs-CZ"/>
        </w:rPr>
      </w:pPr>
      <w:r w:rsidRPr="00DB207B">
        <w:rPr>
          <w:bCs/>
          <w:szCs w:val="22"/>
          <w:lang w:val="cs-CZ"/>
        </w:rPr>
        <w:t>V</w:t>
      </w:r>
      <w:r w:rsidR="00DB207B" w:rsidRPr="00DB207B">
        <w:rPr>
          <w:bCs/>
          <w:szCs w:val="22"/>
          <w:lang w:val="cs-CZ"/>
        </w:rPr>
        <w:t xml:space="preserve"> </w:t>
      </w:r>
      <w:r w:rsidRPr="00DB207B">
        <w:rPr>
          <w:bCs/>
          <w:szCs w:val="22"/>
          <w:lang w:val="cs-CZ"/>
        </w:rPr>
        <w:t>případech předávkování a projevech nervové stimulace je třeba léčbu ukončit a zahájit symptomatickou terapii.</w:t>
      </w:r>
    </w:p>
    <w:p w14:paraId="3ED18A46" w14:textId="77777777" w:rsidR="00F94B7E" w:rsidRPr="00DB207B" w:rsidRDefault="00F94B7E" w:rsidP="00F44FD4">
      <w:pPr>
        <w:jc w:val="both"/>
        <w:rPr>
          <w:szCs w:val="22"/>
        </w:rPr>
      </w:pPr>
      <w:bookmarkStart w:id="0" w:name="_GoBack"/>
      <w:bookmarkEnd w:id="0"/>
    </w:p>
    <w:p w14:paraId="07B28317" w14:textId="77777777" w:rsidR="00F94B7E" w:rsidRPr="00DB207B" w:rsidRDefault="00F94B7E" w:rsidP="00F44FD4">
      <w:pPr>
        <w:jc w:val="both"/>
        <w:rPr>
          <w:szCs w:val="22"/>
        </w:rPr>
      </w:pPr>
      <w:r w:rsidRPr="00DB207B">
        <w:rPr>
          <w:bCs/>
          <w:szCs w:val="22"/>
          <w:u w:val="single"/>
        </w:rPr>
        <w:t>Inkompatibility</w:t>
      </w:r>
      <w:r w:rsidRPr="00DB207B">
        <w:rPr>
          <w:szCs w:val="22"/>
          <w:u w:val="single"/>
        </w:rPr>
        <w:t xml:space="preserve">: </w:t>
      </w:r>
    </w:p>
    <w:p w14:paraId="665BACCB" w14:textId="77777777" w:rsidR="00F94B7E" w:rsidRPr="00DB207B" w:rsidRDefault="00F94B7E" w:rsidP="00DB207B">
      <w:pPr>
        <w:pStyle w:val="Zkladntext2"/>
        <w:jc w:val="both"/>
        <w:rPr>
          <w:bCs/>
          <w:szCs w:val="22"/>
          <w:lang w:val="cs-CZ"/>
        </w:rPr>
      </w:pPr>
      <w:r w:rsidRPr="00DB207B">
        <w:rPr>
          <w:bCs/>
          <w:szCs w:val="22"/>
          <w:lang w:val="cs-CZ"/>
        </w:rPr>
        <w:t>Studie kompatibility nejsou k dispozici, a proto tento veterinární léčivý přípravek nesmí být mísen s žádnými dalšími veterinárními léčivými přípravky.</w:t>
      </w:r>
    </w:p>
    <w:p w14:paraId="6600E4B9" w14:textId="77777777" w:rsidR="00F94B7E" w:rsidRPr="00DB207B" w:rsidRDefault="00F94B7E" w:rsidP="00F44FD4">
      <w:pPr>
        <w:jc w:val="both"/>
        <w:rPr>
          <w:szCs w:val="22"/>
        </w:rPr>
      </w:pPr>
    </w:p>
    <w:p w14:paraId="4B538C83" w14:textId="77777777" w:rsidR="00F94B7E" w:rsidRPr="00DB207B" w:rsidRDefault="00F94B7E" w:rsidP="00F44FD4">
      <w:pPr>
        <w:jc w:val="both"/>
        <w:rPr>
          <w:szCs w:val="22"/>
        </w:rPr>
      </w:pPr>
    </w:p>
    <w:p w14:paraId="5F42485E" w14:textId="77777777" w:rsidR="00F94B7E" w:rsidRPr="00DB207B" w:rsidRDefault="00F94B7E" w:rsidP="00F44FD4">
      <w:pPr>
        <w:jc w:val="both"/>
        <w:rPr>
          <w:b/>
          <w:bCs/>
          <w:szCs w:val="22"/>
        </w:rPr>
      </w:pPr>
      <w:r w:rsidRPr="00DB207B">
        <w:rPr>
          <w:b/>
          <w:bCs/>
          <w:szCs w:val="22"/>
          <w:highlight w:val="lightGray"/>
        </w:rPr>
        <w:t>13.</w:t>
      </w:r>
      <w:r w:rsidRPr="00DB207B">
        <w:rPr>
          <w:b/>
          <w:bCs/>
          <w:szCs w:val="22"/>
        </w:rPr>
        <w:tab/>
        <w:t>ZVLÁŠTNÍ OPATŘENÍ PRO ZNEŠKODŇOVÁNÍ NEPOUŽITÝCH PŘÍPRAVKŮ NEBO ODPADU, POKUD JE JICH TŘEBA</w:t>
      </w:r>
    </w:p>
    <w:p w14:paraId="0CDF22A1" w14:textId="77777777" w:rsidR="00F94B7E" w:rsidRPr="00DB207B" w:rsidRDefault="00F94B7E" w:rsidP="00F44FD4">
      <w:pPr>
        <w:jc w:val="both"/>
        <w:rPr>
          <w:bCs/>
          <w:szCs w:val="22"/>
        </w:rPr>
      </w:pPr>
    </w:p>
    <w:p w14:paraId="67404437" w14:textId="77777777" w:rsidR="000B2BCA" w:rsidRPr="00F44FD4" w:rsidRDefault="000B2BCA" w:rsidP="00F44FD4">
      <w:pPr>
        <w:ind w:left="0" w:firstLine="0"/>
        <w:jc w:val="both"/>
        <w:rPr>
          <w:szCs w:val="22"/>
          <w:lang w:val="cs-CZ"/>
        </w:rPr>
      </w:pPr>
      <w:r w:rsidRPr="00F44FD4">
        <w:rPr>
          <w:szCs w:val="22"/>
          <w:lang w:val="cs-CZ"/>
        </w:rPr>
        <w:t>Léčivé přípravky se nesmí likvidovat prostřednictvím odpadní vody či domovního odpadu.</w:t>
      </w:r>
    </w:p>
    <w:p w14:paraId="2785E7FF" w14:textId="77777777" w:rsidR="000B2BCA" w:rsidRPr="00F44FD4" w:rsidRDefault="000B2BCA" w:rsidP="00DB207B">
      <w:pPr>
        <w:ind w:left="0" w:firstLine="0"/>
        <w:jc w:val="both"/>
        <w:rPr>
          <w:szCs w:val="22"/>
          <w:lang w:val="cs-CZ"/>
        </w:rPr>
      </w:pPr>
      <w:r w:rsidRPr="00F44FD4">
        <w:rPr>
          <w:szCs w:val="22"/>
          <w:lang w:val="cs-CZ"/>
        </w:rPr>
        <w:t>Všechen nepoužitý veterinární léčivý přípravek nebo odpad, který pochází z tohoto přípravku, musí být likvidován podle místních právních předpisů.</w:t>
      </w:r>
    </w:p>
    <w:p w14:paraId="513212F1" w14:textId="77777777" w:rsidR="00F94B7E" w:rsidRPr="00DB207B" w:rsidRDefault="00F94B7E" w:rsidP="00F44FD4">
      <w:pPr>
        <w:jc w:val="both"/>
        <w:rPr>
          <w:szCs w:val="22"/>
        </w:rPr>
      </w:pPr>
    </w:p>
    <w:p w14:paraId="090D85E4" w14:textId="77777777" w:rsidR="00F94B7E" w:rsidRPr="00DB207B" w:rsidRDefault="00F94B7E" w:rsidP="00F44FD4">
      <w:pPr>
        <w:jc w:val="both"/>
        <w:rPr>
          <w:szCs w:val="22"/>
        </w:rPr>
      </w:pPr>
    </w:p>
    <w:p w14:paraId="66D6233D" w14:textId="77777777" w:rsidR="00F94B7E" w:rsidRPr="00DB207B" w:rsidRDefault="00F94B7E" w:rsidP="00F44FD4">
      <w:pPr>
        <w:jc w:val="both"/>
        <w:rPr>
          <w:b/>
          <w:szCs w:val="22"/>
        </w:rPr>
      </w:pPr>
      <w:r w:rsidRPr="00DB207B">
        <w:rPr>
          <w:b/>
          <w:szCs w:val="22"/>
          <w:highlight w:val="lightGray"/>
        </w:rPr>
        <w:t>14.</w:t>
      </w:r>
      <w:r w:rsidRPr="00DB207B">
        <w:rPr>
          <w:b/>
          <w:szCs w:val="22"/>
        </w:rPr>
        <w:tab/>
        <w:t>DATUM POSLEDNÍ REVIZE PŘÍBALOVÉ INFORMACE</w:t>
      </w:r>
    </w:p>
    <w:p w14:paraId="4012C9D4" w14:textId="77777777" w:rsidR="00F94B7E" w:rsidRPr="00DB207B" w:rsidRDefault="00F94B7E" w:rsidP="00F44FD4">
      <w:pPr>
        <w:jc w:val="both"/>
        <w:rPr>
          <w:szCs w:val="22"/>
        </w:rPr>
      </w:pPr>
    </w:p>
    <w:p w14:paraId="2BD5AEB9" w14:textId="6D91006F" w:rsidR="00F94B7E" w:rsidRPr="00F44FD4" w:rsidRDefault="00DB207B" w:rsidP="00F44FD4">
      <w:pPr>
        <w:ind w:left="0" w:firstLine="0"/>
        <w:jc w:val="both"/>
        <w:rPr>
          <w:szCs w:val="22"/>
          <w:lang w:val="cs-CZ"/>
        </w:rPr>
      </w:pPr>
      <w:r w:rsidRPr="00DB207B">
        <w:rPr>
          <w:szCs w:val="22"/>
          <w:lang w:val="cs-CZ"/>
        </w:rPr>
        <w:t>Říjen</w:t>
      </w:r>
      <w:r w:rsidR="00A94842" w:rsidRPr="00DB207B">
        <w:rPr>
          <w:szCs w:val="22"/>
          <w:lang w:val="cs-CZ"/>
        </w:rPr>
        <w:t xml:space="preserve"> 2021</w:t>
      </w:r>
    </w:p>
    <w:p w14:paraId="77D1DCF7" w14:textId="77777777" w:rsidR="00F94B7E" w:rsidRPr="00DB207B" w:rsidRDefault="00F94B7E" w:rsidP="00F44FD4">
      <w:pPr>
        <w:ind w:left="0" w:firstLine="0"/>
        <w:jc w:val="both"/>
        <w:rPr>
          <w:szCs w:val="22"/>
        </w:rPr>
      </w:pPr>
    </w:p>
    <w:p w14:paraId="4916F447" w14:textId="7E316C00" w:rsidR="00F94B7E" w:rsidRPr="00DB207B" w:rsidRDefault="00F94B7E" w:rsidP="00F44FD4">
      <w:pPr>
        <w:jc w:val="both"/>
        <w:rPr>
          <w:b/>
          <w:szCs w:val="22"/>
        </w:rPr>
      </w:pPr>
      <w:r w:rsidRPr="00DB207B">
        <w:rPr>
          <w:b/>
          <w:szCs w:val="22"/>
          <w:highlight w:val="lightGray"/>
        </w:rPr>
        <w:t>15.</w:t>
      </w:r>
      <w:r w:rsidRPr="00DB207B">
        <w:rPr>
          <w:b/>
          <w:szCs w:val="22"/>
        </w:rPr>
        <w:tab/>
        <w:t>DALŠÍ INFORMACE</w:t>
      </w:r>
    </w:p>
    <w:p w14:paraId="49092D5E" w14:textId="001E4240" w:rsidR="00A94842" w:rsidRPr="00DB207B" w:rsidRDefault="00A94842" w:rsidP="00F44FD4">
      <w:pPr>
        <w:jc w:val="both"/>
        <w:rPr>
          <w:szCs w:val="22"/>
        </w:rPr>
      </w:pPr>
    </w:p>
    <w:p w14:paraId="23E02F39" w14:textId="7AAAC252" w:rsidR="00A94842" w:rsidRPr="00DB207B" w:rsidRDefault="00A94842" w:rsidP="00F44FD4">
      <w:pPr>
        <w:jc w:val="both"/>
        <w:rPr>
          <w:szCs w:val="22"/>
        </w:rPr>
      </w:pPr>
      <w:proofErr w:type="spellStart"/>
      <w:r w:rsidRPr="00DB207B">
        <w:rPr>
          <w:szCs w:val="22"/>
        </w:rPr>
        <w:t>Pouze</w:t>
      </w:r>
      <w:proofErr w:type="spellEnd"/>
      <w:r w:rsidRPr="00DB207B">
        <w:rPr>
          <w:szCs w:val="22"/>
        </w:rPr>
        <w:t xml:space="preserve"> pro </w:t>
      </w:r>
      <w:proofErr w:type="spellStart"/>
      <w:r w:rsidRPr="00DB207B">
        <w:rPr>
          <w:szCs w:val="22"/>
        </w:rPr>
        <w:t>zvířata</w:t>
      </w:r>
      <w:proofErr w:type="spellEnd"/>
      <w:r w:rsidRPr="00DB207B">
        <w:rPr>
          <w:szCs w:val="22"/>
        </w:rPr>
        <w:t>.</w:t>
      </w:r>
    </w:p>
    <w:p w14:paraId="65654F94" w14:textId="67459623" w:rsidR="00A94842" w:rsidRPr="00DB207B" w:rsidRDefault="00A94842" w:rsidP="00F44FD4">
      <w:pPr>
        <w:jc w:val="both"/>
        <w:rPr>
          <w:szCs w:val="22"/>
        </w:rPr>
      </w:pPr>
      <w:proofErr w:type="spellStart"/>
      <w:r w:rsidRPr="00DB207B">
        <w:rPr>
          <w:szCs w:val="22"/>
        </w:rPr>
        <w:t>Veterinární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léčivý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přípravek</w:t>
      </w:r>
      <w:proofErr w:type="spellEnd"/>
      <w:r w:rsidRPr="00DB207B">
        <w:rPr>
          <w:szCs w:val="22"/>
        </w:rPr>
        <w:t xml:space="preserve"> je </w:t>
      </w:r>
      <w:proofErr w:type="spellStart"/>
      <w:r w:rsidRPr="00DB207B">
        <w:rPr>
          <w:szCs w:val="22"/>
        </w:rPr>
        <w:t>vydáván</w:t>
      </w:r>
      <w:proofErr w:type="spellEnd"/>
      <w:r w:rsidRPr="00DB207B">
        <w:rPr>
          <w:szCs w:val="22"/>
        </w:rPr>
        <w:t xml:space="preserve"> </w:t>
      </w:r>
      <w:proofErr w:type="spellStart"/>
      <w:r w:rsidRPr="00DB207B">
        <w:rPr>
          <w:szCs w:val="22"/>
        </w:rPr>
        <w:t>pouze</w:t>
      </w:r>
      <w:proofErr w:type="spellEnd"/>
      <w:r w:rsidRPr="00DB207B">
        <w:rPr>
          <w:szCs w:val="22"/>
        </w:rPr>
        <w:t xml:space="preserve"> na </w:t>
      </w:r>
      <w:proofErr w:type="spellStart"/>
      <w:r w:rsidRPr="00DB207B">
        <w:rPr>
          <w:szCs w:val="22"/>
        </w:rPr>
        <w:t>předpis</w:t>
      </w:r>
      <w:proofErr w:type="spellEnd"/>
      <w:r w:rsidRPr="00DB207B">
        <w:rPr>
          <w:szCs w:val="22"/>
        </w:rPr>
        <w:t>.</w:t>
      </w:r>
    </w:p>
    <w:p w14:paraId="10A62E13" w14:textId="77777777" w:rsidR="00F94B7E" w:rsidRPr="00DB207B" w:rsidRDefault="00F94B7E" w:rsidP="00F44FD4">
      <w:pPr>
        <w:jc w:val="both"/>
        <w:rPr>
          <w:szCs w:val="22"/>
        </w:rPr>
      </w:pPr>
    </w:p>
    <w:p w14:paraId="5242400E" w14:textId="6ECA8A19" w:rsidR="00F94B7E" w:rsidRPr="00F44FD4" w:rsidRDefault="005D56DE" w:rsidP="00DB207B">
      <w:pPr>
        <w:jc w:val="both"/>
        <w:rPr>
          <w:b/>
          <w:szCs w:val="22"/>
          <w:lang w:val="en-GB"/>
        </w:rPr>
      </w:pPr>
      <w:r w:rsidRPr="00DB207B">
        <w:rPr>
          <w:szCs w:val="22"/>
          <w:lang w:val="es-ES"/>
        </w:rPr>
        <w:t>Velikost balení</w:t>
      </w:r>
      <w:r w:rsidR="00F94B7E" w:rsidRPr="00DB207B">
        <w:rPr>
          <w:szCs w:val="22"/>
          <w:lang w:val="es-ES"/>
        </w:rPr>
        <w:t>: 1 x 100 ml</w:t>
      </w:r>
    </w:p>
    <w:p w14:paraId="52A038EB" w14:textId="77777777" w:rsidR="004079C7" w:rsidRPr="00DB207B" w:rsidRDefault="004079C7" w:rsidP="00F44FD4">
      <w:pPr>
        <w:jc w:val="both"/>
        <w:rPr>
          <w:szCs w:val="22"/>
        </w:rPr>
      </w:pPr>
    </w:p>
    <w:sectPr w:rsidR="004079C7" w:rsidRPr="00DB207B" w:rsidSect="0096181E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37" w:footer="737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FA1E5" w14:textId="77777777" w:rsidR="004C0B35" w:rsidRDefault="004C0B35">
      <w:r>
        <w:separator/>
      </w:r>
    </w:p>
  </w:endnote>
  <w:endnote w:type="continuationSeparator" w:id="0">
    <w:p w14:paraId="2C31C0E2" w14:textId="77777777" w:rsidR="004C0B35" w:rsidRDefault="004C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D652" w14:textId="77777777" w:rsidR="001C4575" w:rsidRDefault="00F94B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C9F389" w14:textId="77777777" w:rsidR="001C4575" w:rsidRDefault="00F44F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2CE4" w14:textId="77777777" w:rsidR="001C4575" w:rsidRPr="00FA1E89" w:rsidRDefault="00F44FD4">
    <w:pPr>
      <w:pStyle w:val="Zpat"/>
      <w:rPr>
        <w:sz w:val="16"/>
        <w:szCs w:val="16"/>
        <w:lang w:val="en-GB"/>
      </w:rPr>
    </w:pPr>
  </w:p>
  <w:p w14:paraId="1EE31FFD" w14:textId="77777777" w:rsidR="001C4575" w:rsidRDefault="00F94B7E">
    <w:pPr>
      <w:pStyle w:val="Zpat"/>
      <w:jc w:val="center"/>
      <w:rPr>
        <w:rFonts w:ascii="Helvetica" w:hAnsi="Helvetica"/>
        <w:sz w:val="16"/>
        <w:lang w:val="en-GB"/>
      </w:rPr>
    </w:pPr>
    <w:r w:rsidRPr="00FA1E89">
      <w:rPr>
        <w:rStyle w:val="slostrnky"/>
        <w:sz w:val="16"/>
      </w:rPr>
      <w:fldChar w:fldCharType="begin"/>
    </w:r>
    <w:r w:rsidRPr="00FA1E89">
      <w:rPr>
        <w:rStyle w:val="slostrnky"/>
        <w:sz w:val="16"/>
      </w:rPr>
      <w:instrText xml:space="preserve"> PAGE </w:instrText>
    </w:r>
    <w:r w:rsidRPr="00FA1E89">
      <w:rPr>
        <w:rStyle w:val="slostrnky"/>
        <w:sz w:val="16"/>
      </w:rPr>
      <w:fldChar w:fldCharType="separate"/>
    </w:r>
    <w:r w:rsidR="00217D32">
      <w:rPr>
        <w:rStyle w:val="slostrnky"/>
        <w:noProof/>
        <w:sz w:val="16"/>
      </w:rPr>
      <w:t>4</w:t>
    </w:r>
    <w:r w:rsidRPr="00FA1E89"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ED03" w14:textId="77777777" w:rsidR="004C0B35" w:rsidRDefault="004C0B35">
      <w:r>
        <w:separator/>
      </w:r>
    </w:p>
  </w:footnote>
  <w:footnote w:type="continuationSeparator" w:id="0">
    <w:p w14:paraId="7B48706F" w14:textId="77777777" w:rsidR="004C0B35" w:rsidRDefault="004C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840D" w14:textId="584AA795" w:rsidR="00C11514" w:rsidRDefault="00C11514" w:rsidP="00C11514">
    <w:pPr>
      <w:pStyle w:val="Zhlav"/>
    </w:pPr>
    <w:r>
      <w:t xml:space="preserve"> </w:t>
    </w:r>
  </w:p>
  <w:p w14:paraId="6D6EA4FC" w14:textId="77777777" w:rsidR="001C4575" w:rsidRDefault="00F44F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7E"/>
    <w:rsid w:val="00043586"/>
    <w:rsid w:val="000B2BCA"/>
    <w:rsid w:val="000B60DF"/>
    <w:rsid w:val="000F3348"/>
    <w:rsid w:val="001554A2"/>
    <w:rsid w:val="001579A5"/>
    <w:rsid w:val="001C5CDC"/>
    <w:rsid w:val="001E0EE2"/>
    <w:rsid w:val="00217D32"/>
    <w:rsid w:val="00266A7C"/>
    <w:rsid w:val="00316F63"/>
    <w:rsid w:val="004079C7"/>
    <w:rsid w:val="00415E63"/>
    <w:rsid w:val="004C0B35"/>
    <w:rsid w:val="005D56DE"/>
    <w:rsid w:val="00674D41"/>
    <w:rsid w:val="007E57BC"/>
    <w:rsid w:val="008A3E4D"/>
    <w:rsid w:val="008B479F"/>
    <w:rsid w:val="00A6400C"/>
    <w:rsid w:val="00A94842"/>
    <w:rsid w:val="00AE1FF7"/>
    <w:rsid w:val="00C11514"/>
    <w:rsid w:val="00C27565"/>
    <w:rsid w:val="00CC7E82"/>
    <w:rsid w:val="00D2480D"/>
    <w:rsid w:val="00D65EDB"/>
    <w:rsid w:val="00D725BF"/>
    <w:rsid w:val="00DB207B"/>
    <w:rsid w:val="00DD1E4A"/>
    <w:rsid w:val="00E27C51"/>
    <w:rsid w:val="00EC2811"/>
    <w:rsid w:val="00F44FD4"/>
    <w:rsid w:val="00F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4F8A"/>
  <w15:docId w15:val="{CC3A5D1A-9FD0-4791-8929-CA1B6D04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B7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94B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4B7E"/>
    <w:rPr>
      <w:rFonts w:ascii="Times New Roman" w:eastAsia="Times New Roman" w:hAnsi="Times New Roman" w:cs="Times New Roman"/>
      <w:szCs w:val="24"/>
      <w:lang w:val="sk-SK" w:eastAsia="cs-CZ"/>
    </w:rPr>
  </w:style>
  <w:style w:type="character" w:styleId="slostrnky">
    <w:name w:val="page number"/>
    <w:basedOn w:val="Standardnpsmoodstavce"/>
    <w:rsid w:val="00F94B7E"/>
  </w:style>
  <w:style w:type="paragraph" w:styleId="Zhlav">
    <w:name w:val="header"/>
    <w:basedOn w:val="Normln"/>
    <w:link w:val="ZhlavChar"/>
    <w:uiPriority w:val="99"/>
    <w:rsid w:val="00F94B7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B7E"/>
    <w:rPr>
      <w:rFonts w:ascii="Times New Roman" w:eastAsia="Times New Roman" w:hAnsi="Times New Roman" w:cs="Times New Roman"/>
      <w:szCs w:val="24"/>
      <w:lang w:val="sk-SK" w:eastAsia="cs-CZ"/>
    </w:rPr>
  </w:style>
  <w:style w:type="paragraph" w:styleId="Zkladntext2">
    <w:name w:val="Body Text 2"/>
    <w:basedOn w:val="Normln"/>
    <w:link w:val="Zkladntext2Char"/>
    <w:rsid w:val="00F94B7E"/>
    <w:pPr>
      <w:ind w:left="0" w:firstLine="0"/>
    </w:pPr>
  </w:style>
  <w:style w:type="character" w:customStyle="1" w:styleId="Zkladntext2Char">
    <w:name w:val="Základní text 2 Char"/>
    <w:basedOn w:val="Standardnpsmoodstavce"/>
    <w:link w:val="Zkladntext2"/>
    <w:rsid w:val="00F94B7E"/>
    <w:rPr>
      <w:rFonts w:ascii="Times New Roman" w:eastAsia="Times New Roman" w:hAnsi="Times New Roman" w:cs="Times New Roman"/>
      <w:szCs w:val="24"/>
      <w:lang w:val="sk-SK" w:eastAsia="cs-CZ"/>
    </w:rPr>
  </w:style>
  <w:style w:type="paragraph" w:styleId="Textkomente">
    <w:name w:val="annotation text"/>
    <w:basedOn w:val="Normln"/>
    <w:link w:val="TextkomenteChar"/>
    <w:rsid w:val="00F94B7E"/>
    <w:pPr>
      <w:ind w:left="0" w:firstLine="0"/>
    </w:pPr>
    <w:rPr>
      <w:sz w:val="20"/>
      <w:szCs w:val="20"/>
      <w:lang w:val="es-ES_tradnl" w:eastAsia="es-ES"/>
    </w:rPr>
  </w:style>
  <w:style w:type="character" w:customStyle="1" w:styleId="TextkomenteChar">
    <w:name w:val="Text komentáře Char"/>
    <w:basedOn w:val="Standardnpsmoodstavce"/>
    <w:link w:val="Textkomente"/>
    <w:rsid w:val="00F94B7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Odkaznakoment">
    <w:name w:val="annotation reference"/>
    <w:basedOn w:val="Standardnpsmoodstavce"/>
    <w:rsid w:val="00F94B7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B7E"/>
    <w:rPr>
      <w:rFonts w:ascii="Tahoma" w:eastAsia="Times New Roman" w:hAnsi="Tahoma" w:cs="Tahoma"/>
      <w:sz w:val="16"/>
      <w:szCs w:val="16"/>
      <w:lang w:val="sk-SK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F63"/>
    <w:pPr>
      <w:ind w:left="567" w:hanging="567"/>
    </w:pPr>
    <w:rPr>
      <w:b/>
      <w:bCs/>
      <w:lang w:val="sk-SK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F63"/>
    <w:rPr>
      <w:rFonts w:ascii="Times New Roman" w:eastAsia="Times New Roman" w:hAnsi="Times New Roman" w:cs="Times New Roman"/>
      <w:b/>
      <w:bCs/>
      <w:sz w:val="20"/>
      <w:szCs w:val="20"/>
      <w:lang w:val="sk-SK" w:eastAsia="cs-CZ"/>
    </w:rPr>
  </w:style>
  <w:style w:type="character" w:styleId="Hypertextovodkaz">
    <w:name w:val="Hyperlink"/>
    <w:basedOn w:val="Standardnpsmoodstavce"/>
    <w:uiPriority w:val="99"/>
    <w:unhideWhenUsed/>
    <w:rsid w:val="00316F63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B479F"/>
    <w:pPr>
      <w:spacing w:after="0" w:line="240" w:lineRule="auto"/>
    </w:pPr>
    <w:rPr>
      <w:rFonts w:ascii="Times New Roman" w:eastAsia="Times New Roman" w:hAnsi="Times New Roman" w:cs="Times New Roman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kvbl.cz/cs/farmakovigilan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Mašková Zdenka</cp:lastModifiedBy>
  <cp:revision>3</cp:revision>
  <dcterms:created xsi:type="dcterms:W3CDTF">2021-10-20T08:32:00Z</dcterms:created>
  <dcterms:modified xsi:type="dcterms:W3CDTF">2021-10-20T08:37:00Z</dcterms:modified>
</cp:coreProperties>
</file>