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7F" w:rsidRDefault="00F5217F" w:rsidP="00F5217F">
      <w:pPr>
        <w:rPr>
          <w:rFonts w:ascii="Times New Roman" w:hAnsi="Times New Roman"/>
          <w:szCs w:val="22"/>
        </w:rPr>
      </w:pPr>
    </w:p>
    <w:p w:rsidR="00E614BF" w:rsidRDefault="00E614B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Pr="00F5217F" w:rsidRDefault="00F5217F" w:rsidP="00F5217F">
      <w:pPr>
        <w:rPr>
          <w:rFonts w:ascii="Times New Roman" w:hAnsi="Times New Roman"/>
          <w:szCs w:val="22"/>
        </w:rPr>
      </w:pPr>
    </w:p>
    <w:p w:rsidR="00F5217F" w:rsidRPr="00F5217F" w:rsidRDefault="00F5217F" w:rsidP="00F5217F">
      <w:pPr>
        <w:rPr>
          <w:rFonts w:ascii="Times New Roman" w:hAnsi="Times New Roman"/>
          <w:szCs w:val="22"/>
        </w:rPr>
      </w:pPr>
    </w:p>
    <w:p w:rsidR="00F5217F" w:rsidRPr="00F5217F" w:rsidRDefault="00F5217F" w:rsidP="00F5217F">
      <w:pPr>
        <w:jc w:val="center"/>
        <w:rPr>
          <w:rFonts w:ascii="Times New Roman" w:hAnsi="Times New Roman"/>
          <w:b/>
          <w:szCs w:val="22"/>
        </w:rPr>
      </w:pPr>
      <w:r>
        <w:rPr>
          <w:rFonts w:ascii="Times New Roman" w:hAnsi="Times New Roman"/>
          <w:b/>
        </w:rPr>
        <w:t>PŘÍLOHA I</w:t>
      </w:r>
    </w:p>
    <w:p w:rsidR="00F5217F" w:rsidRPr="00F5217F" w:rsidRDefault="00F5217F" w:rsidP="00F5217F">
      <w:pPr>
        <w:rPr>
          <w:rFonts w:ascii="Times New Roman" w:hAnsi="Times New Roman"/>
          <w:szCs w:val="22"/>
        </w:rPr>
      </w:pPr>
    </w:p>
    <w:p w:rsidR="00F5217F" w:rsidRPr="00F5217F" w:rsidRDefault="00F5217F" w:rsidP="00F5217F">
      <w:pPr>
        <w:jc w:val="center"/>
        <w:rPr>
          <w:rFonts w:ascii="Times New Roman" w:hAnsi="Times New Roman"/>
          <w:b/>
          <w:szCs w:val="22"/>
        </w:rPr>
      </w:pPr>
      <w:r>
        <w:rPr>
          <w:rFonts w:ascii="Times New Roman" w:hAnsi="Times New Roman"/>
          <w:b/>
        </w:rPr>
        <w:t>SOUHRN ÚDAJŮ O PŘÍPRAVKU</w:t>
      </w:r>
    </w:p>
    <w:p w:rsidR="00323C1A" w:rsidRPr="00AE6044" w:rsidRDefault="00F5217F" w:rsidP="00F5217F">
      <w:pPr>
        <w:tabs>
          <w:tab w:val="left" w:pos="567"/>
          <w:tab w:val="left" w:pos="1134"/>
        </w:tabs>
        <w:jc w:val="center"/>
        <w:rPr>
          <w:rFonts w:ascii="Times New Roman" w:hAnsi="Times New Roman"/>
          <w:sz w:val="24"/>
        </w:rPr>
      </w:pPr>
      <w:r>
        <w:br w:type="page"/>
      </w:r>
    </w:p>
    <w:p w:rsidR="00323C1A" w:rsidRPr="00AE6044" w:rsidRDefault="00323C1A" w:rsidP="00323C1A">
      <w:pPr>
        <w:tabs>
          <w:tab w:val="left" w:pos="567"/>
        </w:tabs>
        <w:rPr>
          <w:rFonts w:ascii="Times New Roman" w:hAnsi="Times New Roman"/>
          <w:sz w:val="24"/>
        </w:rPr>
      </w:pPr>
      <w:r>
        <w:rPr>
          <w:rFonts w:ascii="Times New Roman" w:hAnsi="Times New Roman"/>
          <w:b/>
          <w:sz w:val="24"/>
        </w:rPr>
        <w:lastRenderedPageBreak/>
        <w:t>1.</w:t>
      </w:r>
      <w:r>
        <w:rPr>
          <w:rFonts w:ascii="Times New Roman" w:hAnsi="Times New Roman"/>
          <w:b/>
          <w:sz w:val="24"/>
        </w:rPr>
        <w:tab/>
        <w:t>NÁZEV VETERINÁRNÍHO LÉČIVÉHO PŘÍPRAVKU</w:t>
      </w:r>
    </w:p>
    <w:p w:rsidR="00CD2CBD" w:rsidRPr="00AE6044" w:rsidRDefault="00CD2CBD" w:rsidP="00323C1A">
      <w:pPr>
        <w:tabs>
          <w:tab w:val="left" w:pos="567"/>
        </w:tabs>
        <w:ind w:left="567"/>
        <w:rPr>
          <w:rFonts w:ascii="Times New Roman" w:hAnsi="Times New Roman"/>
          <w:sz w:val="24"/>
        </w:rPr>
      </w:pPr>
    </w:p>
    <w:p w:rsidR="00323C1A" w:rsidRDefault="00F777AF" w:rsidP="00323C1A">
      <w:pPr>
        <w:tabs>
          <w:tab w:val="left" w:pos="567"/>
        </w:tabs>
        <w:ind w:left="567"/>
        <w:rPr>
          <w:rFonts w:ascii="Times New Roman" w:hAnsi="Times New Roman"/>
          <w:sz w:val="24"/>
        </w:rPr>
      </w:pPr>
      <w:bookmarkStart w:id="0" w:name="_GoBack"/>
      <w:r>
        <w:rPr>
          <w:rFonts w:ascii="Times New Roman" w:hAnsi="Times New Roman"/>
          <w:sz w:val="24"/>
        </w:rPr>
        <w:t xml:space="preserve">AMPHEN </w:t>
      </w:r>
      <w:bookmarkStart w:id="1" w:name="_Hlk129869433"/>
      <w:r>
        <w:rPr>
          <w:rFonts w:ascii="Times New Roman" w:hAnsi="Times New Roman"/>
          <w:sz w:val="24"/>
        </w:rPr>
        <w:t>200 mg/</w:t>
      </w:r>
      <w:r w:rsidR="00C80FA7">
        <w:rPr>
          <w:rFonts w:ascii="Times New Roman" w:hAnsi="Times New Roman"/>
          <w:sz w:val="24"/>
        </w:rPr>
        <w:t>ml</w:t>
      </w:r>
      <w:r>
        <w:rPr>
          <w:rFonts w:ascii="Times New Roman" w:hAnsi="Times New Roman"/>
          <w:sz w:val="24"/>
        </w:rPr>
        <w:t xml:space="preserve"> suspenze pro podání v pitné vodě pro prasata</w:t>
      </w:r>
      <w:bookmarkEnd w:id="1"/>
      <w:r>
        <w:rPr>
          <w:rFonts w:ascii="Times New Roman" w:hAnsi="Times New Roman"/>
          <w:sz w:val="24"/>
        </w:rPr>
        <w:t xml:space="preserve"> </w:t>
      </w:r>
    </w:p>
    <w:bookmarkEnd w:id="0"/>
    <w:p w:rsidR="00E23B30" w:rsidRDefault="00E23B30" w:rsidP="00323C1A">
      <w:pPr>
        <w:tabs>
          <w:tab w:val="left" w:pos="567"/>
        </w:tabs>
        <w:ind w:left="567"/>
        <w:rPr>
          <w:rFonts w:ascii="Times New Roman" w:hAnsi="Times New Roman"/>
          <w:sz w:val="24"/>
        </w:rPr>
      </w:pPr>
    </w:p>
    <w:p w:rsidR="00882F99" w:rsidRPr="00AE6044" w:rsidRDefault="00882F99" w:rsidP="0088605F">
      <w:pPr>
        <w:tabs>
          <w:tab w:val="left" w:pos="567"/>
        </w:tabs>
        <w:rPr>
          <w:rFonts w:ascii="Times New Roman" w:hAnsi="Times New Roman"/>
          <w:sz w:val="24"/>
        </w:rPr>
      </w:pPr>
    </w:p>
    <w:p w:rsidR="00323C1A" w:rsidRPr="00AE6044" w:rsidRDefault="00323C1A" w:rsidP="00323C1A">
      <w:pPr>
        <w:tabs>
          <w:tab w:val="left" w:pos="567"/>
        </w:tabs>
        <w:rPr>
          <w:rFonts w:ascii="Times New Roman" w:hAnsi="Times New Roman"/>
          <w:sz w:val="24"/>
        </w:rPr>
      </w:pPr>
      <w:r>
        <w:rPr>
          <w:rFonts w:ascii="Times New Roman" w:hAnsi="Times New Roman"/>
          <w:b/>
          <w:sz w:val="24"/>
        </w:rPr>
        <w:t>2.</w:t>
      </w:r>
      <w:r>
        <w:rPr>
          <w:rFonts w:ascii="Times New Roman" w:hAnsi="Times New Roman"/>
          <w:b/>
          <w:sz w:val="24"/>
        </w:rPr>
        <w:tab/>
        <w:t>KVALITATIVNÍ A KVANTITATIVNÍ SLOŽENÍ</w:t>
      </w:r>
    </w:p>
    <w:p w:rsidR="00323C1A" w:rsidRDefault="00323C1A" w:rsidP="00323C1A">
      <w:pPr>
        <w:tabs>
          <w:tab w:val="left" w:pos="567"/>
        </w:tabs>
        <w:ind w:left="567"/>
        <w:rPr>
          <w:rFonts w:ascii="Times New Roman" w:hAnsi="Times New Roman"/>
          <w:sz w:val="24"/>
        </w:rPr>
      </w:pPr>
    </w:p>
    <w:p w:rsidR="007212D7" w:rsidRDefault="007212D7" w:rsidP="007212D7">
      <w:pPr>
        <w:tabs>
          <w:tab w:val="left" w:pos="567"/>
        </w:tabs>
        <w:ind w:left="567"/>
        <w:rPr>
          <w:rFonts w:ascii="Times New Roman" w:hAnsi="Times New Roman"/>
          <w:sz w:val="24"/>
        </w:rPr>
      </w:pPr>
      <w:r>
        <w:rPr>
          <w:rFonts w:ascii="Times New Roman" w:hAnsi="Times New Roman"/>
          <w:sz w:val="24"/>
        </w:rPr>
        <w:t>Každý ml obsahuje:</w:t>
      </w:r>
    </w:p>
    <w:p w:rsidR="003F0D20" w:rsidRPr="003F0D20" w:rsidRDefault="003F0D20" w:rsidP="007212D7">
      <w:pPr>
        <w:tabs>
          <w:tab w:val="left" w:pos="567"/>
        </w:tabs>
        <w:ind w:left="567"/>
        <w:rPr>
          <w:rFonts w:ascii="Times New Roman" w:hAnsi="Times New Roman"/>
          <w:sz w:val="24"/>
        </w:rPr>
      </w:pPr>
    </w:p>
    <w:p w:rsidR="00F5217F" w:rsidRPr="003F0D20" w:rsidRDefault="00F5217F" w:rsidP="00F5217F">
      <w:pPr>
        <w:tabs>
          <w:tab w:val="left" w:pos="567"/>
        </w:tabs>
        <w:ind w:left="567"/>
        <w:rPr>
          <w:rFonts w:ascii="Times New Roman" w:hAnsi="Times New Roman"/>
          <w:sz w:val="24"/>
        </w:rPr>
      </w:pPr>
      <w:r>
        <w:rPr>
          <w:rFonts w:ascii="Times New Roman" w:hAnsi="Times New Roman"/>
          <w:b/>
          <w:sz w:val="24"/>
        </w:rPr>
        <w:t>Léčivá látka</w:t>
      </w:r>
      <w:r>
        <w:rPr>
          <w:rFonts w:ascii="Times New Roman" w:hAnsi="Times New Roman"/>
          <w:sz w:val="24"/>
        </w:rPr>
        <w:t>:</w:t>
      </w:r>
    </w:p>
    <w:p w:rsidR="00F5217F" w:rsidRDefault="00F5217F" w:rsidP="00F5217F">
      <w:pPr>
        <w:tabs>
          <w:tab w:val="left" w:pos="567"/>
        </w:tabs>
        <w:ind w:left="567"/>
        <w:rPr>
          <w:rFonts w:ascii="Times New Roman" w:hAnsi="Times New Roman"/>
          <w:sz w:val="24"/>
        </w:rPr>
      </w:pPr>
      <w:r>
        <w:rPr>
          <w:rFonts w:ascii="Times New Roman" w:hAnsi="Times New Roman"/>
          <w:sz w:val="24"/>
        </w:rPr>
        <w:t>Florfenicolum                                                 200,0 mg</w:t>
      </w:r>
    </w:p>
    <w:p w:rsidR="00F5217F" w:rsidRDefault="00F5217F" w:rsidP="00F5217F">
      <w:pPr>
        <w:tabs>
          <w:tab w:val="left" w:pos="567"/>
        </w:tabs>
        <w:ind w:left="567"/>
        <w:rPr>
          <w:rFonts w:ascii="Times New Roman" w:hAnsi="Times New Roman"/>
          <w:sz w:val="24"/>
        </w:rPr>
      </w:pPr>
    </w:p>
    <w:p w:rsidR="00F5217F" w:rsidRDefault="00F5217F" w:rsidP="00F5217F">
      <w:pPr>
        <w:tabs>
          <w:tab w:val="left" w:pos="567"/>
        </w:tabs>
        <w:ind w:left="567"/>
        <w:rPr>
          <w:rFonts w:ascii="Times New Roman" w:hAnsi="Times New Roman"/>
          <w:b/>
          <w:sz w:val="24"/>
        </w:rPr>
      </w:pPr>
      <w:r>
        <w:rPr>
          <w:rFonts w:ascii="Times New Roman" w:hAnsi="Times New Roman"/>
          <w:b/>
          <w:sz w:val="24"/>
        </w:rPr>
        <w:t>Pomocné látky: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122"/>
      </w:tblGrid>
      <w:tr w:rsidR="00182F1A" w:rsidRPr="00F5217F" w:rsidTr="00DA1A87">
        <w:tc>
          <w:tcPr>
            <w:tcW w:w="4547" w:type="dxa"/>
            <w:shd w:val="clear" w:color="auto" w:fill="auto"/>
            <w:vAlign w:val="center"/>
          </w:tcPr>
          <w:p w:rsidR="00182F1A" w:rsidRPr="00F5217F" w:rsidRDefault="00182F1A" w:rsidP="00F5217F">
            <w:pPr>
              <w:tabs>
                <w:tab w:val="left" w:pos="567"/>
              </w:tabs>
              <w:spacing w:before="60" w:after="60" w:line="260" w:lineRule="exact"/>
              <w:rPr>
                <w:rFonts w:ascii="Times New Roman" w:hAnsi="Times New Roman"/>
                <w:b/>
                <w:bCs/>
                <w:szCs w:val="20"/>
              </w:rPr>
            </w:pPr>
            <w:r>
              <w:rPr>
                <w:rFonts w:ascii="Times New Roman" w:hAnsi="Times New Roman"/>
                <w:b/>
              </w:rPr>
              <w:t>Kvalitativní složení pomocných látek a dalších složek</w:t>
            </w:r>
          </w:p>
        </w:tc>
        <w:tc>
          <w:tcPr>
            <w:tcW w:w="4122" w:type="dxa"/>
          </w:tcPr>
          <w:p w:rsidR="00182F1A" w:rsidRDefault="00182F1A" w:rsidP="00F5217F">
            <w:pPr>
              <w:tabs>
                <w:tab w:val="left" w:pos="567"/>
              </w:tabs>
              <w:spacing w:before="60" w:after="60" w:line="260" w:lineRule="exact"/>
              <w:rPr>
                <w:rFonts w:ascii="Times New Roman" w:hAnsi="Times New Roman"/>
                <w:b/>
                <w:bCs/>
                <w:szCs w:val="20"/>
              </w:rPr>
            </w:pPr>
            <w:r>
              <w:rPr>
                <w:rFonts w:ascii="Times New Roman" w:hAnsi="Times New Roman"/>
                <w:b/>
              </w:rPr>
              <w:t>Kvantitativní složení, pokud je tato informace nezbytná pro řádné podání veterinárního léčivého přípravku</w:t>
            </w: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proofErr w:type="spellStart"/>
            <w:r>
              <w:rPr>
                <w:rFonts w:ascii="Times New Roman" w:hAnsi="Times New Roman"/>
              </w:rPr>
              <w:t>Hypromelosa</w:t>
            </w:r>
            <w:proofErr w:type="spellEnd"/>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 xml:space="preserve">Sodná sůl </w:t>
            </w:r>
            <w:proofErr w:type="spellStart"/>
            <w:r>
              <w:rPr>
                <w:rFonts w:ascii="Times New Roman" w:hAnsi="Times New Roman"/>
              </w:rPr>
              <w:t>d</w:t>
            </w:r>
            <w:r w:rsidR="00182F1A">
              <w:rPr>
                <w:rFonts w:ascii="Times New Roman" w:hAnsi="Times New Roman"/>
              </w:rPr>
              <w:t>okusát</w:t>
            </w:r>
            <w:r>
              <w:rPr>
                <w:rFonts w:ascii="Times New Roman" w:hAnsi="Times New Roman"/>
              </w:rPr>
              <w:t>u</w:t>
            </w:r>
            <w:proofErr w:type="spellEnd"/>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Natrium-b</w:t>
            </w:r>
            <w:r w:rsidR="00182F1A">
              <w:rPr>
                <w:rFonts w:ascii="Times New Roman" w:hAnsi="Times New Roman"/>
              </w:rPr>
              <w:t xml:space="preserve">enzoát </w:t>
            </w:r>
          </w:p>
        </w:tc>
        <w:tc>
          <w:tcPr>
            <w:tcW w:w="4122" w:type="dxa"/>
          </w:tcPr>
          <w:p w:rsidR="00182F1A" w:rsidRDefault="00182F1A" w:rsidP="00F5217F">
            <w:pPr>
              <w:jc w:val="both"/>
              <w:rPr>
                <w:rFonts w:ascii="Times New Roman" w:hAnsi="Times New Roman"/>
                <w:szCs w:val="22"/>
              </w:rPr>
            </w:pPr>
            <w:r>
              <w:rPr>
                <w:rFonts w:ascii="Times New Roman" w:hAnsi="Times New Roman"/>
              </w:rPr>
              <w:t>3,0 mg</w:t>
            </w:r>
          </w:p>
        </w:tc>
      </w:tr>
      <w:tr w:rsidR="00182F1A" w:rsidRPr="00F5217F" w:rsidTr="00DA1A87">
        <w:tc>
          <w:tcPr>
            <w:tcW w:w="4547" w:type="dxa"/>
            <w:shd w:val="clear" w:color="auto" w:fill="auto"/>
          </w:tcPr>
          <w:p w:rsidR="00182F1A" w:rsidRPr="00F5217F" w:rsidRDefault="00182F1A" w:rsidP="008E779F">
            <w:pPr>
              <w:rPr>
                <w:rFonts w:ascii="Times New Roman" w:hAnsi="Times New Roman"/>
                <w:szCs w:val="22"/>
              </w:rPr>
            </w:pPr>
            <w:r>
              <w:rPr>
                <w:rFonts w:ascii="Times New Roman" w:hAnsi="Times New Roman"/>
              </w:rPr>
              <w:t>Koncentrovaná kyselina chlorovodíková (pro úpravu pH)</w:t>
            </w:r>
          </w:p>
        </w:tc>
        <w:tc>
          <w:tcPr>
            <w:tcW w:w="4122" w:type="dxa"/>
          </w:tcPr>
          <w:p w:rsidR="00182F1A" w:rsidRPr="00DB152B" w:rsidRDefault="00182F1A" w:rsidP="00F5217F">
            <w:pPr>
              <w:jc w:val="both"/>
              <w:rPr>
                <w:rFonts w:ascii="Times New Roman" w:hAnsi="Times New Roman"/>
                <w:szCs w:val="22"/>
                <w:lang w:val="en-GB"/>
              </w:rPr>
            </w:pPr>
          </w:p>
        </w:tc>
      </w:tr>
      <w:tr w:rsidR="00182F1A" w:rsidRPr="00F5217F" w:rsidTr="00DA1A87">
        <w:tc>
          <w:tcPr>
            <w:tcW w:w="4547" w:type="dxa"/>
            <w:shd w:val="clear" w:color="auto" w:fill="auto"/>
          </w:tcPr>
          <w:p w:rsidR="00182F1A" w:rsidRPr="00F5217F" w:rsidRDefault="00182F1A" w:rsidP="00F5217F">
            <w:pPr>
              <w:jc w:val="both"/>
              <w:rPr>
                <w:rFonts w:ascii="Times New Roman" w:hAnsi="Times New Roman"/>
                <w:szCs w:val="22"/>
              </w:rPr>
            </w:pPr>
            <w:proofErr w:type="spellStart"/>
            <w:r>
              <w:rPr>
                <w:rFonts w:ascii="Times New Roman" w:hAnsi="Times New Roman"/>
              </w:rPr>
              <w:t>Simetikonová</w:t>
            </w:r>
            <w:proofErr w:type="spellEnd"/>
            <w:r>
              <w:rPr>
                <w:rFonts w:ascii="Times New Roman" w:hAnsi="Times New Roman"/>
              </w:rPr>
              <w:t xml:space="preserve"> emulze</w:t>
            </w:r>
            <w:r w:rsidR="009D4177">
              <w:rPr>
                <w:rFonts w:ascii="Times New Roman" w:hAnsi="Times New Roman"/>
              </w:rPr>
              <w:t xml:space="preserve"> </w:t>
            </w:r>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Čištěná v</w:t>
            </w:r>
            <w:r w:rsidR="00182F1A">
              <w:rPr>
                <w:rFonts w:ascii="Times New Roman" w:hAnsi="Times New Roman"/>
              </w:rPr>
              <w:t xml:space="preserve">oda </w:t>
            </w:r>
          </w:p>
        </w:tc>
        <w:tc>
          <w:tcPr>
            <w:tcW w:w="4122" w:type="dxa"/>
          </w:tcPr>
          <w:p w:rsidR="00182F1A" w:rsidRPr="00F5217F" w:rsidRDefault="00182F1A" w:rsidP="00F5217F">
            <w:pPr>
              <w:jc w:val="both"/>
              <w:rPr>
                <w:rFonts w:ascii="Times New Roman" w:hAnsi="Times New Roman"/>
                <w:szCs w:val="22"/>
              </w:rPr>
            </w:pPr>
          </w:p>
        </w:tc>
      </w:tr>
    </w:tbl>
    <w:p w:rsidR="00F5217F" w:rsidRDefault="00F5217F" w:rsidP="00F5217F">
      <w:pPr>
        <w:tabs>
          <w:tab w:val="left" w:pos="567"/>
        </w:tabs>
        <w:ind w:left="567"/>
        <w:rPr>
          <w:rFonts w:ascii="Times New Roman" w:hAnsi="Times New Roman"/>
          <w:sz w:val="24"/>
          <w:lang w:val="de-DE"/>
        </w:rPr>
      </w:pPr>
    </w:p>
    <w:p w:rsidR="00882F99" w:rsidRDefault="00CD2109" w:rsidP="00323C1A">
      <w:pPr>
        <w:tabs>
          <w:tab w:val="left" w:pos="567"/>
        </w:tabs>
        <w:ind w:left="567"/>
        <w:rPr>
          <w:rFonts w:ascii="Times New Roman" w:hAnsi="Times New Roman"/>
          <w:sz w:val="24"/>
        </w:rPr>
      </w:pPr>
      <w:r>
        <w:rPr>
          <w:rFonts w:ascii="Times New Roman" w:hAnsi="Times New Roman"/>
          <w:sz w:val="24"/>
        </w:rPr>
        <w:t xml:space="preserve">Bílá až </w:t>
      </w:r>
      <w:r w:rsidR="009D4177">
        <w:rPr>
          <w:rFonts w:ascii="Times New Roman" w:hAnsi="Times New Roman"/>
          <w:sz w:val="24"/>
        </w:rPr>
        <w:t xml:space="preserve">téměř bílá </w:t>
      </w:r>
      <w:r>
        <w:rPr>
          <w:rFonts w:ascii="Times New Roman" w:hAnsi="Times New Roman"/>
          <w:sz w:val="24"/>
        </w:rPr>
        <w:t>suspenze pro podání v pitné vodě.</w:t>
      </w:r>
    </w:p>
    <w:p w:rsidR="007212D7" w:rsidRDefault="007212D7" w:rsidP="00323C1A">
      <w:pPr>
        <w:tabs>
          <w:tab w:val="left" w:pos="567"/>
        </w:tabs>
        <w:ind w:left="567"/>
        <w:rPr>
          <w:rFonts w:ascii="Times New Roman" w:hAnsi="Times New Roman"/>
          <w:sz w:val="24"/>
        </w:rPr>
      </w:pPr>
    </w:p>
    <w:p w:rsidR="00D41C04" w:rsidRPr="00AE6044" w:rsidRDefault="00D41C04"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w:t>
      </w:r>
      <w:r>
        <w:rPr>
          <w:rFonts w:ascii="Times New Roman" w:hAnsi="Times New Roman"/>
          <w:b/>
          <w:sz w:val="24"/>
        </w:rPr>
        <w:tab/>
        <w:t xml:space="preserve">KLINICKÉ </w:t>
      </w:r>
      <w:r>
        <w:rPr>
          <w:rFonts w:ascii="Times New Roman" w:hAnsi="Times New Roman"/>
          <w:b/>
          <w:caps/>
          <w:sz w:val="24"/>
        </w:rPr>
        <w:t>informace</w:t>
      </w:r>
    </w:p>
    <w:p w:rsidR="00323C1A" w:rsidRPr="00AE6044" w:rsidRDefault="00323C1A" w:rsidP="00323C1A">
      <w:pPr>
        <w:tabs>
          <w:tab w:val="left" w:pos="567"/>
        </w:tabs>
        <w:ind w:left="567"/>
        <w:rPr>
          <w:rFonts w:ascii="Times New Roman" w:hAnsi="Times New Roman"/>
          <w:sz w:val="24"/>
        </w:rPr>
      </w:pPr>
    </w:p>
    <w:p w:rsidR="00323C1A" w:rsidRPr="00AE6044" w:rsidRDefault="00F5217F" w:rsidP="00323C1A">
      <w:pPr>
        <w:tabs>
          <w:tab w:val="left" w:pos="567"/>
        </w:tabs>
        <w:rPr>
          <w:rFonts w:ascii="Times New Roman" w:hAnsi="Times New Roman"/>
          <w:sz w:val="24"/>
        </w:rPr>
      </w:pPr>
      <w:r>
        <w:rPr>
          <w:rFonts w:ascii="Times New Roman" w:hAnsi="Times New Roman"/>
          <w:b/>
          <w:sz w:val="24"/>
        </w:rPr>
        <w:t>3.1</w:t>
      </w:r>
      <w:r>
        <w:rPr>
          <w:rFonts w:ascii="Times New Roman" w:hAnsi="Times New Roman"/>
          <w:sz w:val="24"/>
        </w:rPr>
        <w:tab/>
      </w:r>
      <w:r>
        <w:rPr>
          <w:rFonts w:ascii="Times New Roman" w:hAnsi="Times New Roman"/>
          <w:b/>
          <w:sz w:val="24"/>
        </w:rPr>
        <w:t>Cílové druhy zvířat</w:t>
      </w:r>
    </w:p>
    <w:p w:rsidR="00323C1A" w:rsidRPr="00AE6044" w:rsidRDefault="00323C1A" w:rsidP="00323C1A">
      <w:pPr>
        <w:tabs>
          <w:tab w:val="left" w:pos="567"/>
        </w:tabs>
        <w:ind w:left="567"/>
        <w:rPr>
          <w:rFonts w:ascii="Times New Roman" w:hAnsi="Times New Roman"/>
          <w:sz w:val="24"/>
        </w:rPr>
      </w:pPr>
    </w:p>
    <w:p w:rsidR="00323C1A" w:rsidRPr="00AE6044" w:rsidRDefault="00F5217F" w:rsidP="00323C1A">
      <w:pPr>
        <w:tabs>
          <w:tab w:val="left" w:pos="567"/>
        </w:tabs>
        <w:ind w:left="567"/>
        <w:rPr>
          <w:rFonts w:ascii="Times New Roman" w:hAnsi="Times New Roman"/>
          <w:sz w:val="24"/>
        </w:rPr>
      </w:pPr>
      <w:r>
        <w:rPr>
          <w:rFonts w:ascii="Times New Roman" w:hAnsi="Times New Roman"/>
          <w:sz w:val="24"/>
        </w:rPr>
        <w:t>Prasata.</w:t>
      </w:r>
    </w:p>
    <w:p w:rsidR="00882F99" w:rsidRPr="00AE6044" w:rsidRDefault="00882F99"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3.2</w:t>
      </w:r>
      <w:r>
        <w:rPr>
          <w:rFonts w:ascii="Times New Roman" w:hAnsi="Times New Roman"/>
          <w:b/>
          <w:sz w:val="24"/>
        </w:rPr>
        <w:tab/>
        <w:t>Indikace pro použití pro každý cílový druh zvířat</w:t>
      </w:r>
    </w:p>
    <w:p w:rsidR="00323C1A" w:rsidRPr="00AE6044" w:rsidRDefault="00323C1A" w:rsidP="00323C1A">
      <w:pPr>
        <w:tabs>
          <w:tab w:val="left" w:pos="567"/>
        </w:tabs>
        <w:ind w:left="567"/>
        <w:rPr>
          <w:rFonts w:ascii="Times New Roman" w:hAnsi="Times New Roman"/>
          <w:sz w:val="24"/>
        </w:rPr>
      </w:pPr>
    </w:p>
    <w:p w:rsidR="00F5217F" w:rsidRPr="00F5217F" w:rsidRDefault="00F5217F" w:rsidP="00082824">
      <w:pPr>
        <w:tabs>
          <w:tab w:val="left" w:pos="567"/>
        </w:tabs>
        <w:ind w:left="567"/>
        <w:jc w:val="both"/>
        <w:rPr>
          <w:rFonts w:ascii="Times New Roman" w:hAnsi="Times New Roman"/>
          <w:sz w:val="24"/>
        </w:rPr>
      </w:pPr>
      <w:r>
        <w:rPr>
          <w:rFonts w:ascii="Times New Roman" w:hAnsi="Times New Roman"/>
          <w:sz w:val="24"/>
        </w:rPr>
        <w:t xml:space="preserve">Léčba a </w:t>
      </w:r>
      <w:proofErr w:type="spellStart"/>
      <w:r>
        <w:rPr>
          <w:rFonts w:ascii="Times New Roman" w:hAnsi="Times New Roman"/>
          <w:sz w:val="24"/>
        </w:rPr>
        <w:t>metafylaxe</w:t>
      </w:r>
      <w:proofErr w:type="spellEnd"/>
      <w:r>
        <w:rPr>
          <w:rFonts w:ascii="Times New Roman" w:hAnsi="Times New Roman"/>
          <w:sz w:val="24"/>
        </w:rPr>
        <w:t xml:space="preserve"> respiračních onemocnění </w:t>
      </w:r>
      <w:r w:rsidR="00C5512A">
        <w:rPr>
          <w:rFonts w:ascii="Times New Roman" w:hAnsi="Times New Roman"/>
          <w:sz w:val="24"/>
        </w:rPr>
        <w:t xml:space="preserve">na úrovni skupiny </w:t>
      </w:r>
      <w:r>
        <w:rPr>
          <w:rFonts w:ascii="Times New Roman" w:hAnsi="Times New Roman"/>
          <w:sz w:val="24"/>
        </w:rPr>
        <w:t xml:space="preserve">prasat spojených s </w:t>
      </w:r>
      <w:proofErr w:type="spellStart"/>
      <w:r>
        <w:rPr>
          <w:rFonts w:ascii="Times New Roman" w:hAnsi="Times New Roman"/>
          <w:i/>
          <w:sz w:val="24"/>
        </w:rPr>
        <w:t>Actinobacillus</w:t>
      </w:r>
      <w:proofErr w:type="spellEnd"/>
      <w:r>
        <w:rPr>
          <w:rFonts w:ascii="Times New Roman" w:hAnsi="Times New Roman"/>
          <w:i/>
          <w:sz w:val="24"/>
        </w:rPr>
        <w:t xml:space="preserve"> </w:t>
      </w:r>
      <w:proofErr w:type="spellStart"/>
      <w:r>
        <w:rPr>
          <w:rFonts w:ascii="Times New Roman" w:hAnsi="Times New Roman"/>
          <w:i/>
          <w:sz w:val="24"/>
        </w:rPr>
        <w:t>pleuropneumoniae</w:t>
      </w:r>
      <w:proofErr w:type="spellEnd"/>
      <w:r>
        <w:rPr>
          <w:rFonts w:ascii="Times New Roman" w:hAnsi="Times New Roman"/>
          <w:sz w:val="24"/>
        </w:rPr>
        <w:t xml:space="preserve"> a </w:t>
      </w:r>
      <w:proofErr w:type="spellStart"/>
      <w:r>
        <w:rPr>
          <w:rFonts w:ascii="Times New Roman" w:hAnsi="Times New Roman"/>
          <w:i/>
          <w:sz w:val="24"/>
        </w:rPr>
        <w:t>Pasteurella</w:t>
      </w:r>
      <w:proofErr w:type="spellEnd"/>
      <w:r>
        <w:rPr>
          <w:rFonts w:ascii="Times New Roman" w:hAnsi="Times New Roman"/>
          <w:i/>
          <w:sz w:val="24"/>
        </w:rPr>
        <w:t xml:space="preserve"> </w:t>
      </w:r>
      <w:proofErr w:type="spellStart"/>
      <w:r>
        <w:rPr>
          <w:rFonts w:ascii="Times New Roman" w:hAnsi="Times New Roman"/>
          <w:i/>
          <w:sz w:val="24"/>
        </w:rPr>
        <w:t>multocida</w:t>
      </w:r>
      <w:proofErr w:type="spellEnd"/>
      <w:r>
        <w:rPr>
          <w:rFonts w:ascii="Times New Roman" w:hAnsi="Times New Roman"/>
          <w:sz w:val="24"/>
        </w:rPr>
        <w:t>.</w:t>
      </w:r>
    </w:p>
    <w:p w:rsidR="002067F0" w:rsidRPr="00F5217F" w:rsidRDefault="00F5217F" w:rsidP="00B3750A">
      <w:pPr>
        <w:tabs>
          <w:tab w:val="left" w:pos="567"/>
        </w:tabs>
        <w:ind w:left="567"/>
        <w:jc w:val="both"/>
        <w:rPr>
          <w:rFonts w:ascii="Times New Roman" w:hAnsi="Times New Roman"/>
          <w:sz w:val="24"/>
        </w:rPr>
      </w:pPr>
      <w:r>
        <w:rPr>
          <w:rFonts w:ascii="Times New Roman" w:hAnsi="Times New Roman"/>
          <w:sz w:val="24"/>
        </w:rPr>
        <w:t xml:space="preserve">Před použitím musí být ve skupině </w:t>
      </w:r>
      <w:r w:rsidR="002067F0">
        <w:rPr>
          <w:rFonts w:ascii="Times New Roman" w:hAnsi="Times New Roman"/>
          <w:sz w:val="24"/>
        </w:rPr>
        <w:t xml:space="preserve">zvířat potvrzena </w:t>
      </w:r>
      <w:r>
        <w:rPr>
          <w:rFonts w:ascii="Times New Roman" w:hAnsi="Times New Roman"/>
          <w:sz w:val="24"/>
        </w:rPr>
        <w:t>přítomnost onemocnění.</w:t>
      </w:r>
    </w:p>
    <w:p w:rsidR="00105491" w:rsidRPr="00AE6044" w:rsidRDefault="00105491" w:rsidP="00323C1A">
      <w:pPr>
        <w:tabs>
          <w:tab w:val="left" w:pos="567"/>
        </w:tabs>
        <w:ind w:left="567"/>
        <w:rPr>
          <w:rFonts w:ascii="Times New Roman" w:hAnsi="Times New Roman"/>
          <w:sz w:val="24"/>
        </w:rPr>
      </w:pPr>
    </w:p>
    <w:p w:rsidR="00323C1A" w:rsidRPr="00AE6044" w:rsidRDefault="00F5217F" w:rsidP="00323C1A">
      <w:pPr>
        <w:tabs>
          <w:tab w:val="left" w:pos="567"/>
        </w:tabs>
        <w:rPr>
          <w:rFonts w:ascii="Times New Roman" w:hAnsi="Times New Roman"/>
          <w:sz w:val="24"/>
        </w:rPr>
      </w:pPr>
      <w:r>
        <w:rPr>
          <w:rFonts w:ascii="Times New Roman" w:hAnsi="Times New Roman"/>
          <w:b/>
          <w:sz w:val="24"/>
        </w:rPr>
        <w:t>3.3</w:t>
      </w:r>
      <w:r>
        <w:rPr>
          <w:rFonts w:ascii="Times New Roman" w:hAnsi="Times New Roman"/>
          <w:b/>
          <w:sz w:val="24"/>
        </w:rPr>
        <w:tab/>
        <w:t>Kontraindikace</w:t>
      </w:r>
    </w:p>
    <w:p w:rsidR="00323C1A" w:rsidRPr="00AE6044" w:rsidRDefault="00323C1A" w:rsidP="00323C1A">
      <w:pPr>
        <w:tabs>
          <w:tab w:val="left" w:pos="567"/>
        </w:tabs>
        <w:ind w:left="567"/>
        <w:rPr>
          <w:rFonts w:ascii="Times New Roman" w:hAnsi="Times New Roman"/>
          <w:sz w:val="24"/>
        </w:rPr>
      </w:pPr>
    </w:p>
    <w:p w:rsidR="005E5F67" w:rsidRDefault="00060A93" w:rsidP="005E5F67">
      <w:pPr>
        <w:tabs>
          <w:tab w:val="left" w:pos="567"/>
        </w:tabs>
        <w:ind w:left="567"/>
        <w:rPr>
          <w:rFonts w:ascii="Times New Roman" w:hAnsi="Times New Roman"/>
          <w:sz w:val="24"/>
        </w:rPr>
      </w:pPr>
      <w:r>
        <w:rPr>
          <w:rFonts w:ascii="Times New Roman" w:hAnsi="Times New Roman"/>
          <w:sz w:val="24"/>
        </w:rPr>
        <w:t>Nepoužívat v případech přecitlivělosti na léčivou látku nebo na některou z pomocných látek.</w:t>
      </w:r>
    </w:p>
    <w:p w:rsidR="008D5766" w:rsidRDefault="008D5766" w:rsidP="005E5F67">
      <w:pPr>
        <w:tabs>
          <w:tab w:val="left" w:pos="567"/>
        </w:tabs>
        <w:ind w:left="567"/>
        <w:rPr>
          <w:rFonts w:ascii="Times New Roman" w:hAnsi="Times New Roman"/>
          <w:sz w:val="24"/>
        </w:rPr>
      </w:pPr>
    </w:p>
    <w:p w:rsidR="00BF3F06" w:rsidRDefault="00BF3F06" w:rsidP="005E5F67">
      <w:pPr>
        <w:tabs>
          <w:tab w:val="left" w:pos="567"/>
        </w:tabs>
        <w:ind w:left="567"/>
        <w:rPr>
          <w:rFonts w:ascii="Times New Roman" w:hAnsi="Times New Roman"/>
          <w:sz w:val="24"/>
        </w:rPr>
      </w:pPr>
      <w:r>
        <w:rPr>
          <w:rFonts w:ascii="Times New Roman" w:hAnsi="Times New Roman"/>
          <w:sz w:val="24"/>
        </w:rPr>
        <w:t>Další informace naleznete také v bodě 3.7.</w:t>
      </w:r>
    </w:p>
    <w:p w:rsidR="002E1247" w:rsidRPr="00AE6044" w:rsidRDefault="002E1247"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3.4</w:t>
      </w:r>
      <w:r>
        <w:rPr>
          <w:rFonts w:ascii="Times New Roman" w:hAnsi="Times New Roman"/>
          <w:b/>
          <w:sz w:val="24"/>
        </w:rPr>
        <w:tab/>
        <w:t xml:space="preserve">Zvláštní upozornění </w:t>
      </w:r>
    </w:p>
    <w:p w:rsidR="005A002B" w:rsidRDefault="005A002B" w:rsidP="00EB7E50">
      <w:pPr>
        <w:tabs>
          <w:tab w:val="left" w:pos="567"/>
        </w:tabs>
        <w:ind w:left="567"/>
        <w:rPr>
          <w:rFonts w:ascii="Times New Roman" w:hAnsi="Times New Roman"/>
          <w:bCs/>
          <w:sz w:val="24"/>
        </w:rPr>
      </w:pPr>
    </w:p>
    <w:p w:rsidR="00021A25" w:rsidRDefault="00021A25" w:rsidP="00021A25">
      <w:pPr>
        <w:tabs>
          <w:tab w:val="left" w:pos="567"/>
        </w:tabs>
        <w:ind w:left="567"/>
        <w:rPr>
          <w:rFonts w:ascii="Times New Roman" w:hAnsi="Times New Roman"/>
          <w:sz w:val="24"/>
        </w:rPr>
      </w:pPr>
      <w:r>
        <w:rPr>
          <w:rFonts w:ascii="Times New Roman" w:hAnsi="Times New Roman"/>
          <w:sz w:val="24"/>
        </w:rPr>
        <w:t>Nepoužívejte přípravek s chlorovanou vodou.</w:t>
      </w:r>
    </w:p>
    <w:p w:rsidR="00021A25" w:rsidRDefault="00021A25" w:rsidP="00EB7E50">
      <w:pPr>
        <w:tabs>
          <w:tab w:val="left" w:pos="567"/>
        </w:tabs>
        <w:ind w:left="567"/>
        <w:rPr>
          <w:rFonts w:ascii="Times New Roman" w:hAnsi="Times New Roman"/>
          <w:bCs/>
          <w:sz w:val="24"/>
        </w:rPr>
      </w:pPr>
    </w:p>
    <w:p w:rsidR="00A14594" w:rsidRDefault="005A002B" w:rsidP="00EB7E50">
      <w:pPr>
        <w:tabs>
          <w:tab w:val="left" w:pos="567"/>
        </w:tabs>
        <w:ind w:left="567"/>
        <w:rPr>
          <w:rFonts w:ascii="Times New Roman" w:hAnsi="Times New Roman"/>
          <w:bCs/>
          <w:sz w:val="24"/>
        </w:rPr>
      </w:pPr>
      <w:r>
        <w:rPr>
          <w:rFonts w:ascii="Times New Roman" w:hAnsi="Times New Roman"/>
          <w:sz w:val="24"/>
        </w:rPr>
        <w:t xml:space="preserve">V důsledku nemoci může dojít </w:t>
      </w:r>
      <w:r w:rsidR="007637CA">
        <w:rPr>
          <w:rFonts w:ascii="Times New Roman" w:hAnsi="Times New Roman"/>
          <w:sz w:val="24"/>
        </w:rPr>
        <w:t>k ovlivnění</w:t>
      </w:r>
      <w:r>
        <w:rPr>
          <w:rFonts w:ascii="Times New Roman" w:hAnsi="Times New Roman"/>
          <w:sz w:val="24"/>
        </w:rPr>
        <w:t xml:space="preserve"> příjmu </w:t>
      </w:r>
      <w:r w:rsidR="007637CA">
        <w:rPr>
          <w:rFonts w:ascii="Times New Roman" w:hAnsi="Times New Roman"/>
          <w:sz w:val="24"/>
        </w:rPr>
        <w:t>přípravk</w:t>
      </w:r>
      <w:r w:rsidR="00771E70">
        <w:rPr>
          <w:rFonts w:ascii="Times New Roman" w:hAnsi="Times New Roman"/>
          <w:sz w:val="24"/>
        </w:rPr>
        <w:t>ů</w:t>
      </w:r>
      <w:r w:rsidR="007637CA">
        <w:rPr>
          <w:rFonts w:ascii="Times New Roman" w:hAnsi="Times New Roman"/>
          <w:sz w:val="24"/>
        </w:rPr>
        <w:t xml:space="preserve"> </w:t>
      </w:r>
      <w:r>
        <w:rPr>
          <w:rFonts w:ascii="Times New Roman" w:hAnsi="Times New Roman"/>
          <w:sz w:val="24"/>
        </w:rPr>
        <w:t>zvířaty. V případě nedostatečného příjmu vody by měla být zvířata ošetřena parenterálně pomocí vhodného injekčního přípravku, který předepíše veterinární lékař.</w:t>
      </w:r>
    </w:p>
    <w:p w:rsidR="007029BD" w:rsidRDefault="007029BD">
      <w:pPr>
        <w:rPr>
          <w:rFonts w:ascii="Times New Roman" w:hAnsi="Times New Roman"/>
          <w:bCs/>
          <w:sz w:val="24"/>
        </w:rPr>
      </w:pPr>
    </w:p>
    <w:p w:rsidR="00323C1A" w:rsidRPr="00AE6044" w:rsidRDefault="00917F81" w:rsidP="00323C1A">
      <w:pPr>
        <w:tabs>
          <w:tab w:val="left" w:pos="567"/>
        </w:tabs>
        <w:rPr>
          <w:rFonts w:ascii="Times New Roman" w:hAnsi="Times New Roman"/>
          <w:b/>
          <w:bCs/>
          <w:sz w:val="24"/>
        </w:rPr>
      </w:pPr>
      <w:r>
        <w:rPr>
          <w:rFonts w:ascii="Times New Roman" w:hAnsi="Times New Roman"/>
          <w:b/>
          <w:sz w:val="24"/>
        </w:rPr>
        <w:t>3.5</w:t>
      </w:r>
      <w:r>
        <w:rPr>
          <w:rFonts w:ascii="Times New Roman" w:hAnsi="Times New Roman"/>
          <w:b/>
          <w:sz w:val="24"/>
        </w:rPr>
        <w:tab/>
        <w:t>Zvláštní opatření pro použití</w:t>
      </w:r>
    </w:p>
    <w:p w:rsidR="00323C1A" w:rsidRPr="00AE6044" w:rsidRDefault="00323C1A" w:rsidP="00323C1A">
      <w:pPr>
        <w:tabs>
          <w:tab w:val="right" w:pos="993"/>
          <w:tab w:val="left" w:pos="1276"/>
        </w:tabs>
        <w:ind w:left="567"/>
        <w:rPr>
          <w:rFonts w:ascii="Times New Roman" w:hAnsi="Times New Roman"/>
          <w:sz w:val="24"/>
        </w:rPr>
      </w:pPr>
    </w:p>
    <w:p w:rsidR="00323C1A" w:rsidRPr="00A44AB4" w:rsidRDefault="00A44AB4" w:rsidP="00A44AB4">
      <w:pPr>
        <w:tabs>
          <w:tab w:val="right" w:pos="993"/>
          <w:tab w:val="left" w:pos="1276"/>
        </w:tabs>
        <w:ind w:left="567"/>
        <w:rPr>
          <w:rFonts w:ascii="Times New Roman" w:hAnsi="Times New Roman"/>
          <w:sz w:val="24"/>
          <w:u w:val="single"/>
        </w:rPr>
      </w:pPr>
      <w:r>
        <w:rPr>
          <w:rFonts w:ascii="Times New Roman" w:hAnsi="Times New Roman"/>
          <w:sz w:val="24"/>
          <w:u w:val="single"/>
        </w:rPr>
        <w:tab/>
        <w:t>Zvláštní opatření pro bezpečné použití u cílových druhů zvířat:</w:t>
      </w:r>
    </w:p>
    <w:p w:rsidR="003029B9" w:rsidRPr="003029B9" w:rsidRDefault="00DA4EE5" w:rsidP="003029B9">
      <w:pPr>
        <w:autoSpaceDE w:val="0"/>
        <w:autoSpaceDN w:val="0"/>
        <w:adjustRightInd w:val="0"/>
        <w:ind w:left="567"/>
        <w:jc w:val="both"/>
        <w:rPr>
          <w:rFonts w:ascii="Times New Roman" w:hAnsi="Times New Roman"/>
          <w:bCs/>
          <w:sz w:val="24"/>
        </w:rPr>
      </w:pPr>
      <w:r>
        <w:rPr>
          <w:rFonts w:ascii="Times New Roman" w:hAnsi="Times New Roman"/>
          <w:sz w:val="24"/>
        </w:rPr>
        <w:t xml:space="preserve">Kromě </w:t>
      </w:r>
      <w:r w:rsidR="004368C3">
        <w:rPr>
          <w:rFonts w:ascii="Times New Roman" w:hAnsi="Times New Roman"/>
          <w:sz w:val="24"/>
        </w:rPr>
        <w:t xml:space="preserve">podávání veterinárního léčivého přípravku </w:t>
      </w:r>
      <w:r>
        <w:rPr>
          <w:rFonts w:ascii="Times New Roman" w:hAnsi="Times New Roman"/>
          <w:sz w:val="24"/>
        </w:rPr>
        <w:t xml:space="preserve">je důležité zajistit správné podmínky chovu, včetně dobré hygieny, řádného větrání a </w:t>
      </w:r>
      <w:r w:rsidR="00FD0484" w:rsidRPr="00DB152B">
        <w:rPr>
          <w:rFonts w:ascii="Times New Roman" w:hAnsi="Times New Roman"/>
          <w:sz w:val="24"/>
        </w:rPr>
        <w:t>dostate</w:t>
      </w:r>
      <w:r w:rsidR="00754184" w:rsidRPr="00DB152B">
        <w:rPr>
          <w:rFonts w:ascii="Times New Roman" w:hAnsi="Times New Roman"/>
          <w:sz w:val="24"/>
        </w:rPr>
        <w:t>čného</w:t>
      </w:r>
      <w:r w:rsidR="00FD0484" w:rsidRPr="00DB152B">
        <w:rPr>
          <w:rFonts w:ascii="Times New Roman" w:hAnsi="Times New Roman"/>
          <w:sz w:val="24"/>
        </w:rPr>
        <w:t xml:space="preserve"> </w:t>
      </w:r>
      <w:r w:rsidR="00754184" w:rsidRPr="00DB152B">
        <w:rPr>
          <w:rFonts w:ascii="Times New Roman" w:hAnsi="Times New Roman"/>
          <w:sz w:val="24"/>
        </w:rPr>
        <w:t xml:space="preserve">prostoru pro </w:t>
      </w:r>
      <w:r w:rsidR="00DE43DB">
        <w:rPr>
          <w:rFonts w:ascii="Times New Roman" w:hAnsi="Times New Roman"/>
          <w:sz w:val="24"/>
        </w:rPr>
        <w:t xml:space="preserve">ustájení </w:t>
      </w:r>
      <w:r w:rsidR="00754184" w:rsidRPr="00DB152B">
        <w:rPr>
          <w:rFonts w:ascii="Times New Roman" w:hAnsi="Times New Roman"/>
          <w:sz w:val="24"/>
        </w:rPr>
        <w:t>zvířat</w:t>
      </w:r>
      <w:r w:rsidRPr="00B3750A">
        <w:rPr>
          <w:rFonts w:ascii="Times New Roman" w:hAnsi="Times New Roman"/>
          <w:sz w:val="24"/>
        </w:rPr>
        <w:t>.</w:t>
      </w:r>
    </w:p>
    <w:p w:rsidR="003029B9" w:rsidRDefault="003029B9" w:rsidP="003029B9">
      <w:pPr>
        <w:autoSpaceDE w:val="0"/>
        <w:autoSpaceDN w:val="0"/>
        <w:adjustRightInd w:val="0"/>
        <w:ind w:left="567"/>
        <w:jc w:val="both"/>
        <w:rPr>
          <w:rFonts w:ascii="Times New Roman" w:hAnsi="Times New Roman"/>
          <w:bCs/>
          <w:sz w:val="24"/>
        </w:rPr>
      </w:pPr>
    </w:p>
    <w:p w:rsidR="00A54CEB" w:rsidRPr="003029B9" w:rsidRDefault="00A54CEB" w:rsidP="00A54CEB">
      <w:pPr>
        <w:autoSpaceDE w:val="0"/>
        <w:autoSpaceDN w:val="0"/>
        <w:adjustRightInd w:val="0"/>
        <w:ind w:left="567"/>
        <w:jc w:val="both"/>
        <w:rPr>
          <w:rFonts w:ascii="Times New Roman" w:hAnsi="Times New Roman"/>
          <w:bCs/>
          <w:sz w:val="24"/>
        </w:rPr>
      </w:pPr>
      <w:r>
        <w:rPr>
          <w:rFonts w:ascii="Times New Roman" w:hAnsi="Times New Roman"/>
          <w:sz w:val="24"/>
        </w:rPr>
        <w:t>Použití přípravku by mělo být založeno na identifikaci a testování citlivosti cílových patogenů. Pokud to není možné, měla by být léčba založena na epidemiologických informacích a znalosti citlivosti cílových patogenů na úrovni farmy nebo na místní/regionální úrovni.</w:t>
      </w:r>
    </w:p>
    <w:p w:rsidR="00A54CEB" w:rsidRPr="003029B9" w:rsidRDefault="00A54CEB" w:rsidP="00A54CEB">
      <w:pPr>
        <w:autoSpaceDE w:val="0"/>
        <w:autoSpaceDN w:val="0"/>
        <w:adjustRightInd w:val="0"/>
        <w:ind w:left="567"/>
        <w:jc w:val="both"/>
        <w:rPr>
          <w:rFonts w:ascii="Times New Roman" w:hAnsi="Times New Roman"/>
          <w:bCs/>
          <w:sz w:val="24"/>
        </w:rPr>
      </w:pPr>
    </w:p>
    <w:p w:rsidR="00A54CEB" w:rsidRDefault="00A54CEB" w:rsidP="00A54CEB">
      <w:pPr>
        <w:autoSpaceDE w:val="0"/>
        <w:autoSpaceDN w:val="0"/>
        <w:adjustRightInd w:val="0"/>
        <w:ind w:left="567"/>
        <w:jc w:val="both"/>
        <w:rPr>
          <w:rFonts w:ascii="Times New Roman" w:hAnsi="Times New Roman"/>
          <w:bCs/>
          <w:sz w:val="24"/>
        </w:rPr>
      </w:pPr>
      <w:r>
        <w:rPr>
          <w:rFonts w:ascii="Times New Roman" w:hAnsi="Times New Roman"/>
          <w:sz w:val="24"/>
        </w:rPr>
        <w:t xml:space="preserve">Použití přípravku by mělo být v souladu s oficiální národní a regionální </w:t>
      </w:r>
      <w:r w:rsidR="00FC7B41">
        <w:rPr>
          <w:rFonts w:ascii="Times New Roman" w:hAnsi="Times New Roman"/>
          <w:sz w:val="24"/>
        </w:rPr>
        <w:t xml:space="preserve">antibiotickou </w:t>
      </w:r>
      <w:r>
        <w:rPr>
          <w:rFonts w:ascii="Times New Roman" w:hAnsi="Times New Roman"/>
          <w:sz w:val="24"/>
        </w:rPr>
        <w:t>politik</w:t>
      </w:r>
      <w:r w:rsidR="00FC7B41">
        <w:rPr>
          <w:rFonts w:ascii="Times New Roman" w:hAnsi="Times New Roman"/>
          <w:sz w:val="24"/>
        </w:rPr>
        <w:t>ou</w:t>
      </w:r>
      <w:r>
        <w:rPr>
          <w:rFonts w:ascii="Times New Roman" w:hAnsi="Times New Roman"/>
          <w:sz w:val="24"/>
        </w:rPr>
        <w:t xml:space="preserve">. </w:t>
      </w:r>
    </w:p>
    <w:p w:rsidR="00A54CEB" w:rsidRPr="003029B9" w:rsidRDefault="00A54CEB" w:rsidP="003029B9">
      <w:pPr>
        <w:autoSpaceDE w:val="0"/>
        <w:autoSpaceDN w:val="0"/>
        <w:adjustRightInd w:val="0"/>
        <w:ind w:left="567"/>
        <w:jc w:val="both"/>
        <w:rPr>
          <w:rFonts w:ascii="Times New Roman" w:hAnsi="Times New Roman"/>
          <w:bCs/>
          <w:sz w:val="24"/>
        </w:rPr>
      </w:pPr>
    </w:p>
    <w:p w:rsidR="003029B9" w:rsidRPr="003029B9" w:rsidRDefault="00120F78" w:rsidP="003029B9">
      <w:pPr>
        <w:autoSpaceDE w:val="0"/>
        <w:autoSpaceDN w:val="0"/>
        <w:adjustRightInd w:val="0"/>
        <w:ind w:left="567"/>
        <w:jc w:val="both"/>
        <w:rPr>
          <w:rFonts w:ascii="Times New Roman" w:hAnsi="Times New Roman"/>
          <w:bCs/>
          <w:sz w:val="24"/>
        </w:rPr>
      </w:pPr>
      <w:bookmarkStart w:id="2" w:name="_Hlk161911714"/>
      <w:r>
        <w:rPr>
          <w:rFonts w:ascii="Times New Roman" w:hAnsi="Times New Roman"/>
          <w:sz w:val="24"/>
        </w:rPr>
        <w:t>Jako lék první volby</w:t>
      </w:r>
      <w:r w:rsidR="003029B9">
        <w:rPr>
          <w:rFonts w:ascii="Times New Roman" w:hAnsi="Times New Roman"/>
          <w:sz w:val="24"/>
        </w:rPr>
        <w:t xml:space="preserve"> </w:t>
      </w:r>
      <w:bookmarkEnd w:id="2"/>
      <w:r w:rsidR="003029B9">
        <w:rPr>
          <w:rFonts w:ascii="Times New Roman" w:hAnsi="Times New Roman"/>
          <w:sz w:val="24"/>
        </w:rPr>
        <w:t>by mělo být použito antibiotikum s nižším rizikem selekce antimikrobiální rezistence (nižší kategorie AMEG</w:t>
      </w:r>
      <w:r w:rsidR="00895F7D">
        <w:rPr>
          <w:rStyle w:val="Znakapoznpodarou"/>
          <w:rFonts w:ascii="Times New Roman" w:hAnsi="Times New Roman"/>
          <w:bCs/>
          <w:sz w:val="24"/>
        </w:rPr>
        <w:footnoteReference w:id="1"/>
      </w:r>
      <w:r w:rsidR="003029B9">
        <w:rPr>
          <w:rFonts w:ascii="Times New Roman" w:hAnsi="Times New Roman"/>
          <w:sz w:val="24"/>
        </w:rPr>
        <w:t>), pokud testování citlivosti naznačuje pravděpodobnou účinnost tohoto postupu.</w:t>
      </w:r>
    </w:p>
    <w:p w:rsidR="003029B9" w:rsidRPr="003029B9" w:rsidRDefault="003029B9" w:rsidP="003029B9">
      <w:pPr>
        <w:autoSpaceDE w:val="0"/>
        <w:autoSpaceDN w:val="0"/>
        <w:adjustRightInd w:val="0"/>
        <w:ind w:left="567"/>
        <w:jc w:val="both"/>
        <w:rPr>
          <w:rFonts w:ascii="Times New Roman" w:hAnsi="Times New Roman"/>
          <w:bCs/>
          <w:sz w:val="24"/>
        </w:rPr>
      </w:pPr>
    </w:p>
    <w:p w:rsidR="00DA4EE5" w:rsidRDefault="003029B9" w:rsidP="003029B9">
      <w:pPr>
        <w:autoSpaceDE w:val="0"/>
        <w:autoSpaceDN w:val="0"/>
        <w:adjustRightInd w:val="0"/>
        <w:ind w:left="567"/>
        <w:jc w:val="both"/>
        <w:rPr>
          <w:rFonts w:ascii="Times New Roman" w:hAnsi="Times New Roman"/>
          <w:bCs/>
          <w:sz w:val="24"/>
        </w:rPr>
      </w:pPr>
      <w:r>
        <w:rPr>
          <w:rFonts w:ascii="Times New Roman" w:hAnsi="Times New Roman"/>
          <w:sz w:val="24"/>
        </w:rPr>
        <w:t>Není určeno k profylaxi.</w:t>
      </w:r>
    </w:p>
    <w:p w:rsidR="00DA4EE5" w:rsidRDefault="00DA4EE5" w:rsidP="003029B9">
      <w:pPr>
        <w:autoSpaceDE w:val="0"/>
        <w:autoSpaceDN w:val="0"/>
        <w:adjustRightInd w:val="0"/>
        <w:ind w:left="567"/>
        <w:jc w:val="both"/>
        <w:rPr>
          <w:rFonts w:ascii="Times New Roman" w:hAnsi="Times New Roman"/>
          <w:bCs/>
          <w:sz w:val="24"/>
        </w:rPr>
      </w:pPr>
    </w:p>
    <w:p w:rsidR="00917F81" w:rsidRPr="00917F81" w:rsidRDefault="00917F81" w:rsidP="00A44AB4">
      <w:pPr>
        <w:autoSpaceDE w:val="0"/>
        <w:autoSpaceDN w:val="0"/>
        <w:adjustRightInd w:val="0"/>
        <w:ind w:left="567"/>
        <w:jc w:val="both"/>
        <w:rPr>
          <w:rFonts w:ascii="Times New Roman" w:hAnsi="Times New Roman"/>
          <w:bCs/>
          <w:sz w:val="24"/>
        </w:rPr>
      </w:pPr>
      <w:r>
        <w:rPr>
          <w:rFonts w:ascii="Times New Roman" w:hAnsi="Times New Roman"/>
          <w:sz w:val="24"/>
        </w:rPr>
        <w:t>Délka trvání léčby by neměla překročit 5 dnů.</w:t>
      </w:r>
    </w:p>
    <w:p w:rsidR="00323C1A" w:rsidRPr="00AE6044" w:rsidRDefault="00323C1A" w:rsidP="00323C1A">
      <w:pPr>
        <w:tabs>
          <w:tab w:val="right" w:pos="993"/>
          <w:tab w:val="left" w:pos="1276"/>
          <w:tab w:val="left" w:pos="1560"/>
        </w:tabs>
        <w:ind w:left="1276"/>
        <w:rPr>
          <w:rFonts w:ascii="Times New Roman" w:hAnsi="Times New Roman"/>
          <w:sz w:val="24"/>
        </w:rPr>
      </w:pPr>
    </w:p>
    <w:p w:rsidR="00323C1A" w:rsidRPr="00A44AB4" w:rsidRDefault="00A44AB4" w:rsidP="00F15084">
      <w:pPr>
        <w:keepNext/>
        <w:tabs>
          <w:tab w:val="right" w:pos="993"/>
          <w:tab w:val="left" w:pos="1276"/>
        </w:tabs>
        <w:ind w:left="567"/>
        <w:rPr>
          <w:rFonts w:ascii="Times New Roman" w:hAnsi="Times New Roman"/>
          <w:sz w:val="24"/>
          <w:u w:val="single"/>
        </w:rPr>
      </w:pPr>
      <w:r>
        <w:rPr>
          <w:rFonts w:ascii="Times New Roman" w:hAnsi="Times New Roman"/>
          <w:sz w:val="24"/>
          <w:u w:val="single"/>
        </w:rPr>
        <w:tab/>
        <w:t>Zvláštní opatření pro osobu, která podává veterinární léčivý přípravek zvířatům:</w:t>
      </w:r>
    </w:p>
    <w:p w:rsidR="001F4C2B" w:rsidRPr="001F4C2B" w:rsidRDefault="001F4C2B" w:rsidP="001F4C2B">
      <w:pPr>
        <w:autoSpaceDE w:val="0"/>
        <w:autoSpaceDN w:val="0"/>
        <w:adjustRightInd w:val="0"/>
        <w:ind w:left="567"/>
        <w:jc w:val="both"/>
        <w:rPr>
          <w:rFonts w:ascii="Times New Roman" w:hAnsi="Times New Roman"/>
          <w:bCs/>
          <w:sz w:val="24"/>
        </w:rPr>
      </w:pPr>
      <w:r>
        <w:rPr>
          <w:rFonts w:ascii="Times New Roman" w:hAnsi="Times New Roman"/>
          <w:sz w:val="24"/>
        </w:rPr>
        <w:t>Tento veterinární léčivý přípravek může vyvolat reakce z přecitlivělosti.</w:t>
      </w:r>
    </w:p>
    <w:p w:rsidR="001F4C2B" w:rsidRPr="001F4C2B" w:rsidRDefault="00784D47" w:rsidP="001F4C2B">
      <w:pPr>
        <w:autoSpaceDE w:val="0"/>
        <w:autoSpaceDN w:val="0"/>
        <w:adjustRightInd w:val="0"/>
        <w:ind w:left="567"/>
        <w:jc w:val="both"/>
        <w:rPr>
          <w:rFonts w:ascii="Times New Roman" w:hAnsi="Times New Roman"/>
          <w:bCs/>
          <w:sz w:val="24"/>
        </w:rPr>
      </w:pPr>
      <w:r>
        <w:rPr>
          <w:rFonts w:ascii="Times New Roman" w:hAnsi="Times New Roman"/>
          <w:sz w:val="24"/>
        </w:rPr>
        <w:t>Lidé se známou přecitlivělostí na florfenikol nebo benzoan sodný by se měli vyhnout kontaktu s veterinárním léčivým přípravkem.</w:t>
      </w:r>
    </w:p>
    <w:p w:rsidR="001F4C2B" w:rsidRPr="001F4C2B" w:rsidRDefault="001F4C2B" w:rsidP="001F4C2B">
      <w:pPr>
        <w:autoSpaceDE w:val="0"/>
        <w:autoSpaceDN w:val="0"/>
        <w:adjustRightInd w:val="0"/>
        <w:ind w:left="567"/>
        <w:jc w:val="both"/>
        <w:rPr>
          <w:rFonts w:ascii="Times New Roman" w:hAnsi="Times New Roman"/>
          <w:bCs/>
          <w:sz w:val="24"/>
        </w:rPr>
      </w:pPr>
    </w:p>
    <w:p w:rsidR="001F4C2B" w:rsidRPr="001F4C2B" w:rsidRDefault="001F4C2B" w:rsidP="001F4C2B">
      <w:pPr>
        <w:autoSpaceDE w:val="0"/>
        <w:autoSpaceDN w:val="0"/>
        <w:adjustRightInd w:val="0"/>
        <w:ind w:left="567"/>
        <w:jc w:val="both"/>
        <w:rPr>
          <w:rFonts w:ascii="Times New Roman" w:hAnsi="Times New Roman"/>
          <w:bCs/>
          <w:sz w:val="24"/>
        </w:rPr>
      </w:pPr>
      <w:r>
        <w:rPr>
          <w:rFonts w:ascii="Times New Roman" w:hAnsi="Times New Roman"/>
          <w:sz w:val="24"/>
        </w:rPr>
        <w:t>Tento veterinární léčivý přípravek může mírně dráždit kůži a oči.</w:t>
      </w:r>
    </w:p>
    <w:p w:rsidR="001F4C2B" w:rsidRPr="001F4C2B" w:rsidRDefault="0080146C" w:rsidP="001F4C2B">
      <w:pPr>
        <w:autoSpaceDE w:val="0"/>
        <w:autoSpaceDN w:val="0"/>
        <w:adjustRightInd w:val="0"/>
        <w:ind w:left="567"/>
        <w:jc w:val="both"/>
        <w:rPr>
          <w:rFonts w:ascii="Times New Roman" w:hAnsi="Times New Roman"/>
          <w:bCs/>
          <w:sz w:val="24"/>
        </w:rPr>
      </w:pPr>
      <w:r>
        <w:rPr>
          <w:rFonts w:ascii="Times New Roman" w:hAnsi="Times New Roman"/>
          <w:sz w:val="24"/>
        </w:rPr>
        <w:t>Zabraňte</w:t>
      </w:r>
      <w:r w:rsidR="001F4C2B">
        <w:rPr>
          <w:rFonts w:ascii="Times New Roman" w:hAnsi="Times New Roman"/>
          <w:sz w:val="24"/>
        </w:rPr>
        <w:t xml:space="preserve"> kontaktu s kůží nebo očima, včetně kontaktu rukou s očima.</w:t>
      </w:r>
    </w:p>
    <w:p w:rsidR="00784D47" w:rsidRDefault="00784D47" w:rsidP="007A5DBA">
      <w:pPr>
        <w:autoSpaceDE w:val="0"/>
        <w:autoSpaceDN w:val="0"/>
        <w:adjustRightInd w:val="0"/>
        <w:ind w:left="567"/>
        <w:jc w:val="both"/>
        <w:rPr>
          <w:rFonts w:ascii="Times New Roman" w:hAnsi="Times New Roman"/>
          <w:bCs/>
          <w:sz w:val="24"/>
        </w:rPr>
      </w:pPr>
    </w:p>
    <w:p w:rsidR="00877A22" w:rsidRPr="00AA0FCD" w:rsidRDefault="00877A22" w:rsidP="00877A22">
      <w:pPr>
        <w:autoSpaceDE w:val="0"/>
        <w:autoSpaceDN w:val="0"/>
        <w:adjustRightInd w:val="0"/>
        <w:ind w:left="567"/>
        <w:jc w:val="both"/>
        <w:rPr>
          <w:rFonts w:ascii="Times New Roman" w:hAnsi="Times New Roman"/>
          <w:bCs/>
          <w:sz w:val="24"/>
        </w:rPr>
      </w:pPr>
      <w:r>
        <w:rPr>
          <w:rFonts w:ascii="Times New Roman" w:hAnsi="Times New Roman"/>
          <w:sz w:val="24"/>
        </w:rPr>
        <w:t xml:space="preserve">Tento veterinární léčivý přípravek může být při požití škodlivý, včetně účinků na plodnost samců. </w:t>
      </w:r>
      <w:r w:rsidR="0080146C">
        <w:rPr>
          <w:rFonts w:ascii="Times New Roman" w:hAnsi="Times New Roman"/>
          <w:sz w:val="24"/>
        </w:rPr>
        <w:t xml:space="preserve">Zabraňte </w:t>
      </w:r>
      <w:r>
        <w:rPr>
          <w:rFonts w:ascii="Times New Roman" w:hAnsi="Times New Roman"/>
          <w:sz w:val="24"/>
        </w:rPr>
        <w:t>perorálnímu požití, včetně kontaktu rukou s ústy při přípravě přípravku. Při nakládání s tímto přípravkem nejezte, nepijte a nekuřte.</w:t>
      </w:r>
    </w:p>
    <w:p w:rsidR="00877A22" w:rsidRDefault="00877A22" w:rsidP="007A5DBA">
      <w:pPr>
        <w:autoSpaceDE w:val="0"/>
        <w:autoSpaceDN w:val="0"/>
        <w:adjustRightInd w:val="0"/>
        <w:ind w:left="567"/>
        <w:jc w:val="both"/>
        <w:rPr>
          <w:rFonts w:ascii="Times New Roman" w:hAnsi="Times New Roman"/>
          <w:bCs/>
          <w:sz w:val="24"/>
        </w:rPr>
      </w:pPr>
    </w:p>
    <w:p w:rsidR="00784D47" w:rsidRDefault="00784D47" w:rsidP="007A5DBA">
      <w:pPr>
        <w:autoSpaceDE w:val="0"/>
        <w:autoSpaceDN w:val="0"/>
        <w:adjustRightInd w:val="0"/>
        <w:ind w:left="567"/>
        <w:jc w:val="both"/>
        <w:rPr>
          <w:rFonts w:ascii="Times New Roman" w:hAnsi="Times New Roman"/>
          <w:bCs/>
          <w:sz w:val="24"/>
        </w:rPr>
      </w:pPr>
      <w:r>
        <w:rPr>
          <w:rFonts w:ascii="Times New Roman" w:hAnsi="Times New Roman"/>
          <w:sz w:val="24"/>
        </w:rPr>
        <w:t>Při nakládání s veterinárním léčivým přípravkem a jeho míchání by se měly používat osobní ochranné prostředky skládající se z rukavic, oděvu a ochranných brýlí.</w:t>
      </w:r>
    </w:p>
    <w:p w:rsidR="008424DF" w:rsidRDefault="008424DF" w:rsidP="007A5DBA">
      <w:pPr>
        <w:autoSpaceDE w:val="0"/>
        <w:autoSpaceDN w:val="0"/>
        <w:adjustRightInd w:val="0"/>
        <w:ind w:left="567"/>
        <w:jc w:val="both"/>
        <w:rPr>
          <w:rFonts w:ascii="Times New Roman" w:hAnsi="Times New Roman"/>
          <w:bCs/>
          <w:sz w:val="24"/>
        </w:rPr>
      </w:pPr>
    </w:p>
    <w:p w:rsidR="00F348E0" w:rsidRDefault="0042091B" w:rsidP="007A5DBA">
      <w:pPr>
        <w:autoSpaceDE w:val="0"/>
        <w:autoSpaceDN w:val="0"/>
        <w:adjustRightInd w:val="0"/>
        <w:ind w:left="567"/>
        <w:jc w:val="both"/>
        <w:rPr>
          <w:rFonts w:ascii="Times New Roman" w:hAnsi="Times New Roman"/>
          <w:bCs/>
          <w:sz w:val="24"/>
        </w:rPr>
      </w:pPr>
      <w:r>
        <w:rPr>
          <w:rFonts w:ascii="Times New Roman" w:hAnsi="Times New Roman"/>
          <w:sz w:val="24"/>
        </w:rPr>
        <w:t>V případě náhodného potřísnění očí je ihned vypláchněte vodou. V případě náhodného potřísnění kůže ihned omyjte zasažené místo a svlékněte kontaminovaný oděv.</w:t>
      </w:r>
    </w:p>
    <w:p w:rsidR="0042706D" w:rsidRDefault="0042706D" w:rsidP="0042706D">
      <w:pPr>
        <w:autoSpaceDE w:val="0"/>
        <w:autoSpaceDN w:val="0"/>
        <w:adjustRightInd w:val="0"/>
        <w:ind w:left="567"/>
        <w:jc w:val="both"/>
        <w:rPr>
          <w:rFonts w:ascii="Times New Roman" w:hAnsi="Times New Roman"/>
          <w:bCs/>
          <w:sz w:val="24"/>
        </w:rPr>
      </w:pPr>
    </w:p>
    <w:p w:rsidR="0042706D" w:rsidRDefault="0042706D" w:rsidP="0042706D">
      <w:pPr>
        <w:autoSpaceDE w:val="0"/>
        <w:autoSpaceDN w:val="0"/>
        <w:adjustRightInd w:val="0"/>
        <w:ind w:left="567"/>
        <w:jc w:val="both"/>
        <w:rPr>
          <w:rFonts w:ascii="Times New Roman" w:hAnsi="Times New Roman"/>
          <w:bCs/>
          <w:sz w:val="24"/>
        </w:rPr>
      </w:pPr>
      <w:r>
        <w:rPr>
          <w:rFonts w:ascii="Times New Roman" w:hAnsi="Times New Roman"/>
          <w:sz w:val="24"/>
        </w:rPr>
        <w:t>Po použití si umyjte ruce.</w:t>
      </w:r>
    </w:p>
    <w:p w:rsidR="0042091B" w:rsidRDefault="0042091B" w:rsidP="007A5DBA">
      <w:pPr>
        <w:autoSpaceDE w:val="0"/>
        <w:autoSpaceDN w:val="0"/>
        <w:adjustRightInd w:val="0"/>
        <w:ind w:left="567"/>
        <w:jc w:val="both"/>
        <w:rPr>
          <w:rFonts w:ascii="Times New Roman" w:hAnsi="Times New Roman"/>
          <w:bCs/>
          <w:sz w:val="24"/>
        </w:rPr>
      </w:pPr>
    </w:p>
    <w:p w:rsidR="00433EDF" w:rsidRDefault="00784D47" w:rsidP="00DB152B">
      <w:pPr>
        <w:autoSpaceDE w:val="0"/>
        <w:autoSpaceDN w:val="0"/>
        <w:adjustRightInd w:val="0"/>
        <w:ind w:left="567"/>
        <w:jc w:val="both"/>
        <w:rPr>
          <w:rFonts w:ascii="Times New Roman" w:hAnsi="Times New Roman"/>
          <w:sz w:val="24"/>
          <w:u w:val="single"/>
        </w:rPr>
      </w:pPr>
      <w:r>
        <w:rPr>
          <w:rFonts w:ascii="Times New Roman" w:hAnsi="Times New Roman"/>
          <w:sz w:val="24"/>
        </w:rPr>
        <w:t>Pokud se u vás po expozici objeví příznaky, jako je kožní vyrážka,</w:t>
      </w:r>
      <w:r w:rsidR="0080146C">
        <w:rPr>
          <w:rFonts w:ascii="Times New Roman" w:hAnsi="Times New Roman"/>
          <w:sz w:val="24"/>
        </w:rPr>
        <w:t xml:space="preserve"> </w:t>
      </w:r>
      <w:r>
        <w:rPr>
          <w:rFonts w:ascii="Times New Roman" w:hAnsi="Times New Roman"/>
          <w:sz w:val="24"/>
        </w:rPr>
        <w:t xml:space="preserve">vyhledejte </w:t>
      </w:r>
      <w:r w:rsidR="0080146C">
        <w:rPr>
          <w:rFonts w:ascii="Times New Roman" w:hAnsi="Times New Roman"/>
          <w:sz w:val="24"/>
        </w:rPr>
        <w:t xml:space="preserve">ihned </w:t>
      </w:r>
      <w:r>
        <w:rPr>
          <w:rFonts w:ascii="Times New Roman" w:hAnsi="Times New Roman"/>
          <w:sz w:val="24"/>
        </w:rPr>
        <w:t>lékařskou pomoc a ukažte příbalovou informaci nebo etiketu</w:t>
      </w:r>
      <w:r w:rsidR="0080146C">
        <w:rPr>
          <w:rFonts w:ascii="Times New Roman" w:hAnsi="Times New Roman"/>
          <w:sz w:val="24"/>
        </w:rPr>
        <w:t xml:space="preserve"> praktickému lékaři.</w:t>
      </w:r>
      <w:r w:rsidR="00433EDF">
        <w:br w:type="page"/>
      </w:r>
    </w:p>
    <w:p w:rsidR="00A44AB4" w:rsidRDefault="00A44AB4" w:rsidP="00D41C04">
      <w:pPr>
        <w:keepNext/>
        <w:tabs>
          <w:tab w:val="right" w:pos="993"/>
          <w:tab w:val="left" w:pos="1276"/>
        </w:tabs>
        <w:ind w:left="567"/>
        <w:jc w:val="both"/>
        <w:rPr>
          <w:rFonts w:ascii="Times New Roman" w:hAnsi="Times New Roman"/>
          <w:sz w:val="24"/>
          <w:u w:val="single"/>
        </w:rPr>
      </w:pPr>
      <w:r>
        <w:rPr>
          <w:rFonts w:ascii="Times New Roman" w:hAnsi="Times New Roman"/>
          <w:sz w:val="24"/>
          <w:u w:val="single"/>
        </w:rPr>
        <w:lastRenderedPageBreak/>
        <w:t>Zvláštní opatření pro ochranu životního prostředí:</w:t>
      </w:r>
    </w:p>
    <w:p w:rsidR="00EA344D" w:rsidRDefault="00EA344D" w:rsidP="00D41C04">
      <w:pPr>
        <w:tabs>
          <w:tab w:val="left" w:pos="1276"/>
        </w:tabs>
        <w:ind w:left="567"/>
        <w:jc w:val="both"/>
        <w:rPr>
          <w:rFonts w:ascii="Times New Roman" w:hAnsi="Times New Roman"/>
          <w:bCs/>
          <w:sz w:val="24"/>
        </w:rPr>
      </w:pPr>
      <w:bookmarkStart w:id="4" w:name="_Hlk150509109"/>
      <w:r>
        <w:rPr>
          <w:rFonts w:ascii="Times New Roman" w:hAnsi="Times New Roman"/>
          <w:sz w:val="24"/>
        </w:rPr>
        <w:t xml:space="preserve">Použití veterinárního léčivého přípravku představuje riziko </w:t>
      </w:r>
      <w:bookmarkStart w:id="5" w:name="_Hlk152772033"/>
      <w:r>
        <w:rPr>
          <w:rFonts w:ascii="Times New Roman" w:hAnsi="Times New Roman"/>
          <w:sz w:val="24"/>
        </w:rPr>
        <w:t>pro suchozemské organismy (rostliny)</w:t>
      </w:r>
      <w:bookmarkEnd w:id="5"/>
      <w:r>
        <w:rPr>
          <w:rFonts w:ascii="Times New Roman" w:hAnsi="Times New Roman"/>
          <w:sz w:val="24"/>
        </w:rPr>
        <w:t xml:space="preserve"> a vodní organismy (sinice), včetně organismů v podzemních vodách. </w:t>
      </w:r>
      <w:bookmarkEnd w:id="4"/>
    </w:p>
    <w:p w:rsidR="00362C19" w:rsidRDefault="007342CE" w:rsidP="00D41C04">
      <w:pPr>
        <w:tabs>
          <w:tab w:val="left" w:pos="1276"/>
        </w:tabs>
        <w:ind w:left="567"/>
        <w:jc w:val="both"/>
        <w:rPr>
          <w:rFonts w:ascii="Times New Roman" w:hAnsi="Times New Roman"/>
          <w:bCs/>
          <w:sz w:val="24"/>
        </w:rPr>
      </w:pPr>
      <w:r>
        <w:rPr>
          <w:rFonts w:ascii="Times New Roman" w:hAnsi="Times New Roman"/>
          <w:sz w:val="24"/>
        </w:rPr>
        <w:t>Aby se zabránilo případným nepříznivým účinkům na suchozemské rostliny a řasy</w:t>
      </w:r>
      <w:r w:rsidR="00590DF7">
        <w:rPr>
          <w:rFonts w:ascii="Times New Roman" w:hAnsi="Times New Roman"/>
          <w:sz w:val="24"/>
        </w:rPr>
        <w:t xml:space="preserve"> </w:t>
      </w:r>
      <w:r w:rsidR="00D41C04">
        <w:rPr>
          <w:rFonts w:ascii="Times New Roman" w:hAnsi="Times New Roman"/>
          <w:sz w:val="24"/>
        </w:rPr>
        <w:t>a </w:t>
      </w:r>
      <w:r>
        <w:rPr>
          <w:rFonts w:ascii="Times New Roman" w:hAnsi="Times New Roman"/>
          <w:sz w:val="24"/>
        </w:rPr>
        <w:t xml:space="preserve">možné kontaminaci podzemních vod, nesmí se hnůj </w:t>
      </w:r>
      <w:r w:rsidR="007F11C2">
        <w:rPr>
          <w:rFonts w:ascii="Times New Roman" w:hAnsi="Times New Roman"/>
          <w:sz w:val="24"/>
        </w:rPr>
        <w:t xml:space="preserve">od </w:t>
      </w:r>
      <w:r>
        <w:rPr>
          <w:rFonts w:ascii="Times New Roman" w:hAnsi="Times New Roman"/>
          <w:sz w:val="24"/>
        </w:rPr>
        <w:t xml:space="preserve">ošetřených prasat rozmetat na půdu bez zředění hnojem </w:t>
      </w:r>
      <w:r w:rsidR="007F11C2">
        <w:rPr>
          <w:rFonts w:ascii="Times New Roman" w:hAnsi="Times New Roman"/>
          <w:sz w:val="24"/>
        </w:rPr>
        <w:t xml:space="preserve">od </w:t>
      </w:r>
      <w:r>
        <w:rPr>
          <w:rFonts w:ascii="Times New Roman" w:hAnsi="Times New Roman"/>
          <w:sz w:val="24"/>
        </w:rPr>
        <w:t xml:space="preserve">neošetřených prasat. Hnůj </w:t>
      </w:r>
      <w:r w:rsidR="007F11C2">
        <w:rPr>
          <w:rFonts w:ascii="Times New Roman" w:hAnsi="Times New Roman"/>
          <w:sz w:val="24"/>
        </w:rPr>
        <w:t xml:space="preserve">od </w:t>
      </w:r>
      <w:r>
        <w:rPr>
          <w:rFonts w:ascii="Times New Roman" w:hAnsi="Times New Roman"/>
          <w:sz w:val="24"/>
        </w:rPr>
        <w:t xml:space="preserve">ošetřených prasat musí být před rozmetáním na ornou půdu nebo před obchodováním s hnojem zředěn nejméně pětinásobkem hmotnosti hnoje </w:t>
      </w:r>
      <w:r w:rsidR="007F11C2">
        <w:rPr>
          <w:rFonts w:ascii="Times New Roman" w:hAnsi="Times New Roman"/>
          <w:sz w:val="24"/>
        </w:rPr>
        <w:t xml:space="preserve">od </w:t>
      </w:r>
      <w:r>
        <w:rPr>
          <w:rFonts w:ascii="Times New Roman" w:hAnsi="Times New Roman"/>
          <w:sz w:val="24"/>
        </w:rPr>
        <w:t>neošetřených prasat.</w:t>
      </w:r>
    </w:p>
    <w:p w:rsidR="009972F5" w:rsidRPr="00AE6044" w:rsidRDefault="009972F5" w:rsidP="00323C1A">
      <w:pPr>
        <w:tabs>
          <w:tab w:val="left" w:pos="1276"/>
        </w:tabs>
        <w:ind w:left="1276"/>
        <w:rPr>
          <w:rFonts w:ascii="Times New Roman" w:hAnsi="Times New Roman"/>
          <w:sz w:val="24"/>
        </w:rPr>
      </w:pPr>
    </w:p>
    <w:p w:rsidR="00323C1A" w:rsidRPr="00AE6044" w:rsidRDefault="00A44AB4" w:rsidP="00A44AB4">
      <w:pPr>
        <w:tabs>
          <w:tab w:val="left" w:pos="567"/>
        </w:tabs>
        <w:rPr>
          <w:rFonts w:ascii="Times New Roman" w:hAnsi="Times New Roman"/>
          <w:sz w:val="24"/>
        </w:rPr>
      </w:pPr>
      <w:r>
        <w:rPr>
          <w:rFonts w:ascii="Times New Roman" w:hAnsi="Times New Roman"/>
          <w:b/>
          <w:sz w:val="24"/>
        </w:rPr>
        <w:t>3.6</w:t>
      </w:r>
      <w:r>
        <w:rPr>
          <w:rFonts w:ascii="Times New Roman" w:hAnsi="Times New Roman"/>
          <w:b/>
          <w:sz w:val="24"/>
        </w:rPr>
        <w:tab/>
        <w:t>Nežádoucí účinky</w:t>
      </w:r>
    </w:p>
    <w:p w:rsidR="00574DBF" w:rsidRPr="00AE6044" w:rsidRDefault="00574DBF" w:rsidP="00323C1A">
      <w:pPr>
        <w:tabs>
          <w:tab w:val="left" w:pos="567"/>
        </w:tabs>
        <w:ind w:left="567"/>
        <w:rPr>
          <w:rFonts w:ascii="Times New Roman" w:hAnsi="Times New Roman"/>
          <w:sz w:val="24"/>
        </w:rPr>
      </w:pPr>
    </w:p>
    <w:p w:rsidR="00E22F66" w:rsidRDefault="00E22F66" w:rsidP="00A44AB4">
      <w:pPr>
        <w:tabs>
          <w:tab w:val="left" w:pos="567"/>
        </w:tabs>
        <w:ind w:left="567"/>
        <w:jc w:val="both"/>
        <w:rPr>
          <w:rFonts w:ascii="Times New Roman" w:hAnsi="Times New Roman"/>
          <w:sz w:val="24"/>
        </w:rPr>
      </w:pPr>
      <w:r>
        <w:rPr>
          <w:rFonts w:ascii="Times New Roman" w:hAnsi="Times New Roman"/>
          <w:sz w:val="24"/>
        </w:rPr>
        <w:t>Prasata: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337"/>
      </w:tblGrid>
      <w:tr w:rsidR="00CF49E7" w:rsidRPr="006D1C7C" w:rsidTr="00E51625">
        <w:tc>
          <w:tcPr>
            <w:tcW w:w="4440" w:type="dxa"/>
            <w:shd w:val="clear" w:color="auto" w:fill="auto"/>
          </w:tcPr>
          <w:p w:rsidR="00673AC0" w:rsidRDefault="00577B23" w:rsidP="006D1C7C">
            <w:pPr>
              <w:tabs>
                <w:tab w:val="left" w:pos="567"/>
              </w:tabs>
              <w:jc w:val="both"/>
              <w:rPr>
                <w:rFonts w:ascii="Times New Roman" w:hAnsi="Times New Roman"/>
                <w:sz w:val="24"/>
              </w:rPr>
            </w:pPr>
            <w:r>
              <w:rPr>
                <w:rFonts w:ascii="Times New Roman" w:hAnsi="Times New Roman"/>
                <w:sz w:val="24"/>
              </w:rPr>
              <w:t xml:space="preserve">Velmi časté </w:t>
            </w:r>
          </w:p>
          <w:p w:rsidR="00577B23" w:rsidRPr="006D1C7C" w:rsidRDefault="00577B23" w:rsidP="006D1C7C">
            <w:pPr>
              <w:tabs>
                <w:tab w:val="left" w:pos="567"/>
              </w:tabs>
              <w:jc w:val="both"/>
              <w:rPr>
                <w:rFonts w:ascii="Times New Roman" w:hAnsi="Times New Roman"/>
                <w:sz w:val="24"/>
              </w:rPr>
            </w:pPr>
            <w:r>
              <w:rPr>
                <w:rFonts w:ascii="Times New Roman" w:hAnsi="Times New Roman"/>
                <w:sz w:val="24"/>
              </w:rPr>
              <w:t>(&gt; 1 zvíře / 10 ošetřených zvířat)</w:t>
            </w:r>
            <w:r w:rsidR="004B26BC">
              <w:rPr>
                <w:rFonts w:ascii="Times New Roman" w:hAnsi="Times New Roman"/>
                <w:sz w:val="24"/>
              </w:rPr>
              <w:t>:</w:t>
            </w:r>
          </w:p>
          <w:p w:rsidR="00E06268" w:rsidRPr="006D1C7C" w:rsidRDefault="00E06268" w:rsidP="006D1C7C">
            <w:pPr>
              <w:tabs>
                <w:tab w:val="left" w:pos="567"/>
              </w:tabs>
              <w:jc w:val="both"/>
              <w:rPr>
                <w:rFonts w:ascii="Times New Roman" w:hAnsi="Times New Roman"/>
                <w:sz w:val="24"/>
              </w:rPr>
            </w:pPr>
          </w:p>
        </w:tc>
        <w:tc>
          <w:tcPr>
            <w:tcW w:w="4337" w:type="dxa"/>
            <w:shd w:val="clear" w:color="auto" w:fill="auto"/>
          </w:tcPr>
          <w:p w:rsidR="00CF49E7" w:rsidRPr="006D1C7C" w:rsidRDefault="00CF49E7" w:rsidP="006D1C7C">
            <w:pPr>
              <w:tabs>
                <w:tab w:val="left" w:pos="567"/>
              </w:tabs>
              <w:jc w:val="both"/>
              <w:rPr>
                <w:rFonts w:ascii="Times New Roman" w:hAnsi="Times New Roman"/>
                <w:sz w:val="24"/>
              </w:rPr>
            </w:pPr>
            <w:r>
              <w:rPr>
                <w:rFonts w:ascii="Times New Roman" w:hAnsi="Times New Roman"/>
                <w:sz w:val="24"/>
              </w:rPr>
              <w:t>Průjem</w:t>
            </w:r>
          </w:p>
          <w:p w:rsidR="00577B23" w:rsidRPr="006D1C7C" w:rsidRDefault="0060216F" w:rsidP="006D1C7C">
            <w:pPr>
              <w:tabs>
                <w:tab w:val="left" w:pos="567"/>
              </w:tabs>
              <w:jc w:val="both"/>
              <w:rPr>
                <w:rFonts w:ascii="Times New Roman" w:hAnsi="Times New Roman"/>
                <w:sz w:val="24"/>
              </w:rPr>
            </w:pPr>
            <w:r>
              <w:rPr>
                <w:rFonts w:ascii="Times New Roman" w:hAnsi="Times New Roman"/>
                <w:sz w:val="24"/>
              </w:rPr>
              <w:t>Erytém</w:t>
            </w:r>
            <w:r>
              <w:rPr>
                <w:rFonts w:ascii="Times New Roman" w:hAnsi="Times New Roman"/>
                <w:sz w:val="24"/>
                <w:vertAlign w:val="superscript"/>
              </w:rPr>
              <w:t>1</w:t>
            </w:r>
            <w:r>
              <w:rPr>
                <w:rFonts w:ascii="Times New Roman" w:hAnsi="Times New Roman"/>
                <w:sz w:val="24"/>
              </w:rPr>
              <w:t xml:space="preserve"> </w:t>
            </w:r>
          </w:p>
          <w:p w:rsidR="00CF49E7" w:rsidRPr="00DA1A87" w:rsidRDefault="0060216F" w:rsidP="006D1C7C">
            <w:pPr>
              <w:tabs>
                <w:tab w:val="left" w:pos="567"/>
              </w:tabs>
              <w:jc w:val="both"/>
              <w:rPr>
                <w:rFonts w:ascii="Times New Roman" w:hAnsi="Times New Roman"/>
                <w:sz w:val="24"/>
                <w:vertAlign w:val="superscript"/>
              </w:rPr>
            </w:pPr>
            <w:r>
              <w:rPr>
                <w:rFonts w:ascii="Times New Roman" w:hAnsi="Times New Roman"/>
                <w:sz w:val="24"/>
              </w:rPr>
              <w:t>Edém</w:t>
            </w:r>
            <w:r>
              <w:rPr>
                <w:rFonts w:ascii="Times New Roman" w:hAnsi="Times New Roman"/>
                <w:sz w:val="24"/>
                <w:vertAlign w:val="superscript"/>
              </w:rPr>
              <w:t>1</w:t>
            </w:r>
          </w:p>
        </w:tc>
      </w:tr>
      <w:tr w:rsidR="00CF49E7" w:rsidRPr="006D1C7C" w:rsidTr="00E51625">
        <w:tc>
          <w:tcPr>
            <w:tcW w:w="4440" w:type="dxa"/>
            <w:shd w:val="clear" w:color="auto" w:fill="auto"/>
          </w:tcPr>
          <w:p w:rsidR="00BE2483" w:rsidRPr="00BE2483" w:rsidRDefault="00BE2483" w:rsidP="00BE2483">
            <w:pPr>
              <w:tabs>
                <w:tab w:val="left" w:pos="567"/>
              </w:tabs>
              <w:jc w:val="both"/>
              <w:rPr>
                <w:rFonts w:ascii="Times New Roman" w:hAnsi="Times New Roman"/>
                <w:sz w:val="24"/>
              </w:rPr>
            </w:pPr>
            <w:r w:rsidRPr="00BE2483">
              <w:rPr>
                <w:rFonts w:ascii="Times New Roman" w:hAnsi="Times New Roman"/>
                <w:sz w:val="24"/>
              </w:rPr>
              <w:t>Neznámá četnost</w:t>
            </w:r>
          </w:p>
          <w:p w:rsidR="00E06268" w:rsidRPr="006D1C7C" w:rsidRDefault="00BE2483" w:rsidP="006D1C7C">
            <w:pPr>
              <w:tabs>
                <w:tab w:val="left" w:pos="567"/>
              </w:tabs>
              <w:jc w:val="both"/>
              <w:rPr>
                <w:rFonts w:ascii="Times New Roman" w:hAnsi="Times New Roman"/>
                <w:sz w:val="24"/>
              </w:rPr>
            </w:pPr>
            <w:r w:rsidRPr="00BE2483">
              <w:rPr>
                <w:rFonts w:ascii="Times New Roman" w:hAnsi="Times New Roman"/>
                <w:sz w:val="24"/>
              </w:rPr>
              <w:t>(z dostupných údajů nelze určit)</w:t>
            </w:r>
            <w:r w:rsidR="004B26BC">
              <w:rPr>
                <w:rFonts w:ascii="Times New Roman" w:hAnsi="Times New Roman"/>
                <w:sz w:val="24"/>
              </w:rPr>
              <w:t>:</w:t>
            </w:r>
          </w:p>
        </w:tc>
        <w:tc>
          <w:tcPr>
            <w:tcW w:w="4337" w:type="dxa"/>
            <w:shd w:val="clear" w:color="auto" w:fill="auto"/>
          </w:tcPr>
          <w:p w:rsidR="00E51625" w:rsidRPr="006D1C7C" w:rsidRDefault="005E1EC3" w:rsidP="00E51625">
            <w:pPr>
              <w:tabs>
                <w:tab w:val="left" w:pos="567"/>
              </w:tabs>
              <w:jc w:val="both"/>
              <w:rPr>
                <w:rFonts w:ascii="Times New Roman" w:hAnsi="Times New Roman"/>
                <w:sz w:val="24"/>
              </w:rPr>
            </w:pPr>
            <w:r>
              <w:rPr>
                <w:rFonts w:ascii="Times New Roman" w:hAnsi="Times New Roman"/>
                <w:sz w:val="24"/>
              </w:rPr>
              <w:t>Snížený příjem vody</w:t>
            </w:r>
          </w:p>
          <w:p w:rsidR="00E51625" w:rsidRPr="006D1C7C" w:rsidRDefault="004B26BC" w:rsidP="00E51625">
            <w:pPr>
              <w:tabs>
                <w:tab w:val="left" w:pos="567"/>
              </w:tabs>
              <w:jc w:val="both"/>
              <w:rPr>
                <w:rFonts w:ascii="Times New Roman" w:hAnsi="Times New Roman"/>
                <w:sz w:val="24"/>
              </w:rPr>
            </w:pPr>
            <w:r>
              <w:rPr>
                <w:rFonts w:ascii="Times New Roman" w:hAnsi="Times New Roman"/>
                <w:sz w:val="24"/>
              </w:rPr>
              <w:t>Konstipace</w:t>
            </w:r>
          </w:p>
          <w:p w:rsidR="00E51625" w:rsidRPr="00DA1A87" w:rsidRDefault="00E51625" w:rsidP="00E51625">
            <w:pPr>
              <w:tabs>
                <w:tab w:val="left" w:pos="567"/>
              </w:tabs>
              <w:jc w:val="both"/>
              <w:rPr>
                <w:rFonts w:ascii="Times New Roman" w:hAnsi="Times New Roman"/>
                <w:sz w:val="24"/>
                <w:vertAlign w:val="superscript"/>
              </w:rPr>
            </w:pPr>
            <w:r>
              <w:rPr>
                <w:rFonts w:ascii="Times New Roman" w:hAnsi="Times New Roman"/>
                <w:sz w:val="24"/>
              </w:rPr>
              <w:t xml:space="preserve">Abnormální zbarvení </w:t>
            </w:r>
            <w:r w:rsidR="00BE2483">
              <w:rPr>
                <w:rFonts w:ascii="Times New Roman" w:hAnsi="Times New Roman"/>
                <w:sz w:val="24"/>
              </w:rPr>
              <w:t>trusu</w:t>
            </w:r>
            <w:r w:rsidR="00BE2483">
              <w:rPr>
                <w:rFonts w:ascii="Times New Roman" w:hAnsi="Times New Roman"/>
                <w:sz w:val="24"/>
                <w:vertAlign w:val="superscript"/>
              </w:rPr>
              <w:t>2</w:t>
            </w:r>
          </w:p>
          <w:p w:rsidR="00577B23" w:rsidRPr="006D1C7C" w:rsidRDefault="00577B23" w:rsidP="006D1C7C">
            <w:pPr>
              <w:tabs>
                <w:tab w:val="left" w:pos="567"/>
              </w:tabs>
              <w:jc w:val="both"/>
              <w:rPr>
                <w:rFonts w:ascii="Times New Roman" w:hAnsi="Times New Roman"/>
                <w:sz w:val="24"/>
              </w:rPr>
            </w:pPr>
            <w:r>
              <w:rPr>
                <w:rFonts w:ascii="Times New Roman" w:hAnsi="Times New Roman"/>
                <w:sz w:val="24"/>
              </w:rPr>
              <w:t>Prolaps rekta</w:t>
            </w:r>
            <w:r>
              <w:rPr>
                <w:rFonts w:ascii="Times New Roman" w:hAnsi="Times New Roman"/>
                <w:sz w:val="24"/>
                <w:vertAlign w:val="superscript"/>
              </w:rPr>
              <w:t>3</w:t>
            </w:r>
            <w:r>
              <w:rPr>
                <w:rFonts w:ascii="Times New Roman" w:hAnsi="Times New Roman"/>
                <w:sz w:val="24"/>
              </w:rPr>
              <w:t xml:space="preserve"> </w:t>
            </w:r>
          </w:p>
        </w:tc>
      </w:tr>
    </w:tbl>
    <w:p w:rsidR="0060216F" w:rsidRDefault="0060216F" w:rsidP="00A44AB4">
      <w:pPr>
        <w:tabs>
          <w:tab w:val="left" w:pos="567"/>
        </w:tabs>
        <w:ind w:left="567"/>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perianální nebo rektální</w:t>
      </w:r>
    </w:p>
    <w:p w:rsidR="0060216F" w:rsidRDefault="0060216F" w:rsidP="00A44AB4">
      <w:pPr>
        <w:tabs>
          <w:tab w:val="left" w:pos="567"/>
        </w:tabs>
        <w:ind w:left="567"/>
        <w:jc w:val="both"/>
        <w:rPr>
          <w:rFonts w:ascii="Times New Roman" w:hAnsi="Times New Roman"/>
          <w:sz w:val="24"/>
        </w:rPr>
      </w:pPr>
      <w:r>
        <w:rPr>
          <w:rFonts w:ascii="Times New Roman" w:hAnsi="Times New Roman"/>
          <w:sz w:val="24"/>
          <w:vertAlign w:val="superscript"/>
        </w:rPr>
        <w:t>2</w:t>
      </w:r>
      <w:r>
        <w:rPr>
          <w:rFonts w:ascii="Times New Roman" w:hAnsi="Times New Roman"/>
          <w:sz w:val="24"/>
        </w:rPr>
        <w:t>tmavě hnědá</w:t>
      </w:r>
    </w:p>
    <w:p w:rsidR="00D0368B" w:rsidRDefault="0060216F" w:rsidP="00A44AB4">
      <w:pPr>
        <w:tabs>
          <w:tab w:val="left" w:pos="567"/>
        </w:tabs>
        <w:ind w:left="567"/>
        <w:jc w:val="both"/>
        <w:rPr>
          <w:rFonts w:ascii="Times New Roman" w:hAnsi="Times New Roman"/>
          <w:color w:val="000000"/>
          <w:sz w:val="24"/>
        </w:rPr>
      </w:pPr>
      <w:r>
        <w:rPr>
          <w:rFonts w:ascii="Times New Roman" w:hAnsi="Times New Roman"/>
          <w:sz w:val="24"/>
          <w:vertAlign w:val="superscript"/>
        </w:rPr>
        <w:t>3</w:t>
      </w:r>
      <w:r>
        <w:rPr>
          <w:rFonts w:ascii="Times New Roman" w:hAnsi="Times New Roman"/>
          <w:sz w:val="24"/>
        </w:rPr>
        <w:t>ustoupí bez léčby</w:t>
      </w:r>
    </w:p>
    <w:p w:rsidR="00D0368B" w:rsidRDefault="00D0368B" w:rsidP="00A44AB4">
      <w:pPr>
        <w:tabs>
          <w:tab w:val="left" w:pos="567"/>
        </w:tabs>
        <w:ind w:left="567"/>
        <w:jc w:val="both"/>
        <w:rPr>
          <w:rFonts w:ascii="Times New Roman" w:hAnsi="Times New Roman"/>
          <w:sz w:val="24"/>
        </w:rPr>
      </w:pPr>
    </w:p>
    <w:p w:rsidR="00484041" w:rsidRDefault="00E06268" w:rsidP="00D41C04">
      <w:pPr>
        <w:pStyle w:val="Default"/>
        <w:ind w:left="567"/>
        <w:jc w:val="both"/>
      </w:pPr>
      <w: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p w:rsidR="006447C7" w:rsidRPr="00AE6044" w:rsidRDefault="006447C7" w:rsidP="00484041">
      <w:pPr>
        <w:tabs>
          <w:tab w:val="left" w:pos="567"/>
        </w:tabs>
        <w:ind w:left="567"/>
        <w:jc w:val="both"/>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3.7</w:t>
      </w:r>
      <w:r>
        <w:rPr>
          <w:rFonts w:ascii="Times New Roman" w:hAnsi="Times New Roman"/>
          <w:b/>
          <w:sz w:val="24"/>
        </w:rPr>
        <w:tab/>
        <w:t>Použití v průběhu březosti, laktace nebo snášky</w:t>
      </w:r>
    </w:p>
    <w:p w:rsidR="00E22F66" w:rsidRDefault="00E22F66" w:rsidP="00A44AB4">
      <w:pPr>
        <w:ind w:left="567"/>
        <w:jc w:val="both"/>
        <w:rPr>
          <w:rFonts w:ascii="Times New Roman" w:eastAsia="Calibri" w:hAnsi="Times New Roman"/>
          <w:sz w:val="24"/>
        </w:rPr>
      </w:pPr>
    </w:p>
    <w:p w:rsidR="00EF7785" w:rsidRDefault="00A44AB4" w:rsidP="00A44AB4">
      <w:pPr>
        <w:ind w:left="567"/>
        <w:jc w:val="both"/>
        <w:rPr>
          <w:rFonts w:ascii="Times New Roman" w:eastAsia="Calibri" w:hAnsi="Times New Roman"/>
          <w:sz w:val="24"/>
        </w:rPr>
      </w:pPr>
      <w:r>
        <w:rPr>
          <w:rFonts w:ascii="Times New Roman" w:hAnsi="Times New Roman"/>
          <w:sz w:val="24"/>
        </w:rPr>
        <w:t xml:space="preserve">Bezpečnost veterinárního léčivého přípravku pro použití během březosti a laktace nebyla stanovena. </w:t>
      </w:r>
    </w:p>
    <w:p w:rsidR="00AA0219" w:rsidRDefault="00AA0219" w:rsidP="00AA0219">
      <w:pPr>
        <w:ind w:left="567"/>
        <w:jc w:val="both"/>
        <w:rPr>
          <w:rFonts w:ascii="Times New Roman" w:eastAsia="Calibri" w:hAnsi="Times New Roman"/>
          <w:sz w:val="24"/>
          <w:u w:val="single"/>
        </w:rPr>
      </w:pPr>
    </w:p>
    <w:p w:rsidR="00AA0219" w:rsidRPr="003B175D" w:rsidRDefault="00AA0219" w:rsidP="00AA0219">
      <w:pPr>
        <w:ind w:left="567"/>
        <w:jc w:val="both"/>
        <w:rPr>
          <w:rFonts w:ascii="Times New Roman" w:eastAsia="Calibri" w:hAnsi="Times New Roman"/>
          <w:sz w:val="24"/>
          <w:u w:val="single"/>
        </w:rPr>
      </w:pPr>
      <w:r>
        <w:rPr>
          <w:rFonts w:ascii="Times New Roman" w:hAnsi="Times New Roman"/>
          <w:sz w:val="24"/>
          <w:u w:val="single"/>
        </w:rPr>
        <w:t>Březost a laktace:</w:t>
      </w:r>
    </w:p>
    <w:p w:rsidR="00A44AB4" w:rsidRPr="00733EF8" w:rsidRDefault="00A44AB4" w:rsidP="00A44AB4">
      <w:pPr>
        <w:ind w:left="567"/>
        <w:jc w:val="both"/>
        <w:rPr>
          <w:rFonts w:ascii="Times New Roman" w:eastAsia="Calibri" w:hAnsi="Times New Roman"/>
          <w:sz w:val="24"/>
        </w:rPr>
      </w:pPr>
      <w:r>
        <w:rPr>
          <w:rFonts w:ascii="Times New Roman" w:hAnsi="Times New Roman"/>
          <w:sz w:val="24"/>
        </w:rPr>
        <w:t xml:space="preserve">Použití přípravku u prasnic během březosti a laktace se nedoporučuje. </w:t>
      </w:r>
    </w:p>
    <w:p w:rsidR="0088605F" w:rsidDel="00E22F66" w:rsidRDefault="00013C4C" w:rsidP="0088605F">
      <w:pPr>
        <w:tabs>
          <w:tab w:val="left" w:pos="567"/>
        </w:tabs>
        <w:ind w:left="567"/>
        <w:rPr>
          <w:rFonts w:ascii="Times New Roman" w:eastAsia="Calibri" w:hAnsi="Times New Roman"/>
          <w:sz w:val="24"/>
        </w:rPr>
      </w:pPr>
      <w:r>
        <w:rPr>
          <w:rFonts w:ascii="Times New Roman" w:hAnsi="Times New Roman"/>
          <w:sz w:val="24"/>
        </w:rPr>
        <w:t>Laboratorní studie na potkanech a myších neodhalily žádné důkazy o potenciálním embryotoxickém nebo fetotoxickém účinku florfenikolu.</w:t>
      </w:r>
    </w:p>
    <w:p w:rsidR="00862C29" w:rsidRDefault="00862C29" w:rsidP="0088605F">
      <w:pPr>
        <w:tabs>
          <w:tab w:val="left" w:pos="567"/>
        </w:tabs>
        <w:ind w:left="567"/>
        <w:rPr>
          <w:rFonts w:ascii="Times New Roman" w:hAnsi="Times New Roman"/>
          <w:sz w:val="24"/>
        </w:rPr>
      </w:pPr>
    </w:p>
    <w:p w:rsidR="006A58BF" w:rsidRDefault="006A58BF" w:rsidP="0088605F">
      <w:pPr>
        <w:tabs>
          <w:tab w:val="left" w:pos="567"/>
        </w:tabs>
        <w:ind w:left="567"/>
        <w:rPr>
          <w:rFonts w:ascii="Times New Roman" w:hAnsi="Times New Roman"/>
          <w:sz w:val="24"/>
        </w:rPr>
      </w:pPr>
      <w:r>
        <w:rPr>
          <w:rFonts w:ascii="Times New Roman" w:hAnsi="Times New Roman"/>
          <w:sz w:val="24"/>
          <w:u w:val="single"/>
        </w:rPr>
        <w:t>Plodnost</w:t>
      </w:r>
      <w:r>
        <w:rPr>
          <w:rFonts w:ascii="Times New Roman" w:hAnsi="Times New Roman"/>
          <w:sz w:val="24"/>
        </w:rPr>
        <w:t>:</w:t>
      </w:r>
    </w:p>
    <w:p w:rsidR="006A58BF" w:rsidRDefault="006A58BF" w:rsidP="006A58BF">
      <w:pPr>
        <w:ind w:left="567"/>
        <w:jc w:val="both"/>
        <w:rPr>
          <w:rFonts w:ascii="Times New Roman" w:eastAsia="Calibri" w:hAnsi="Times New Roman"/>
          <w:sz w:val="24"/>
        </w:rPr>
      </w:pPr>
      <w:r>
        <w:rPr>
          <w:rFonts w:ascii="Times New Roman" w:hAnsi="Times New Roman"/>
          <w:sz w:val="24"/>
        </w:rPr>
        <w:t xml:space="preserve">Nepodávejte plemenným </w:t>
      </w:r>
      <w:r w:rsidR="008832F6">
        <w:rPr>
          <w:rFonts w:ascii="Times New Roman" w:hAnsi="Times New Roman"/>
          <w:sz w:val="24"/>
        </w:rPr>
        <w:t>kancům</w:t>
      </w:r>
      <w:r>
        <w:rPr>
          <w:rFonts w:ascii="Times New Roman" w:hAnsi="Times New Roman"/>
          <w:sz w:val="24"/>
        </w:rPr>
        <w:t xml:space="preserve">. </w:t>
      </w:r>
    </w:p>
    <w:p w:rsidR="006A58BF" w:rsidRPr="00AE6044" w:rsidRDefault="006A58BF" w:rsidP="0088605F">
      <w:pPr>
        <w:tabs>
          <w:tab w:val="left" w:pos="567"/>
        </w:tabs>
        <w:ind w:left="567"/>
        <w:rPr>
          <w:rFonts w:ascii="Times New Roman" w:hAnsi="Times New Roman"/>
          <w:sz w:val="24"/>
        </w:rPr>
      </w:pPr>
    </w:p>
    <w:p w:rsidR="00323C1A" w:rsidRPr="00AE6044" w:rsidRDefault="00F21150" w:rsidP="00323C1A">
      <w:pPr>
        <w:tabs>
          <w:tab w:val="left" w:pos="567"/>
        </w:tabs>
        <w:rPr>
          <w:rFonts w:ascii="Times New Roman" w:hAnsi="Times New Roman"/>
          <w:sz w:val="24"/>
        </w:rPr>
      </w:pPr>
      <w:r>
        <w:rPr>
          <w:rFonts w:ascii="Times New Roman" w:hAnsi="Times New Roman"/>
          <w:b/>
          <w:sz w:val="24"/>
        </w:rPr>
        <w:t>3.8</w:t>
      </w:r>
      <w:r>
        <w:rPr>
          <w:rFonts w:ascii="Times New Roman" w:hAnsi="Times New Roman"/>
          <w:b/>
          <w:sz w:val="24"/>
        </w:rPr>
        <w:tab/>
        <w:t>Interakce s jinými léčivými přípravky a další formy interakce</w:t>
      </w:r>
    </w:p>
    <w:p w:rsidR="00EF7785" w:rsidRDefault="00EF7785" w:rsidP="00D0368B">
      <w:pPr>
        <w:tabs>
          <w:tab w:val="left" w:pos="567"/>
        </w:tabs>
        <w:rPr>
          <w:rFonts w:ascii="Times New Roman" w:hAnsi="Times New Roman"/>
          <w:sz w:val="24"/>
        </w:rPr>
      </w:pPr>
    </w:p>
    <w:p w:rsidR="00AA0219" w:rsidRPr="00AE6044" w:rsidRDefault="00BF3F06" w:rsidP="00D0368B">
      <w:pPr>
        <w:tabs>
          <w:tab w:val="left" w:pos="567"/>
        </w:tabs>
        <w:ind w:left="567"/>
        <w:rPr>
          <w:rFonts w:ascii="Times New Roman" w:hAnsi="Times New Roman"/>
          <w:sz w:val="24"/>
        </w:rPr>
      </w:pPr>
      <w:r>
        <w:rPr>
          <w:rFonts w:ascii="Times New Roman" w:hAnsi="Times New Roman"/>
          <w:sz w:val="24"/>
        </w:rPr>
        <w:t>Další informace naleznete v bodě 3.4.</w:t>
      </w:r>
    </w:p>
    <w:p w:rsidR="00323C1A" w:rsidRPr="00AE6044" w:rsidRDefault="00323C1A" w:rsidP="00F15084">
      <w:pPr>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3.9</w:t>
      </w:r>
      <w:r>
        <w:rPr>
          <w:rFonts w:ascii="Times New Roman" w:hAnsi="Times New Roman"/>
          <w:b/>
          <w:sz w:val="24"/>
        </w:rPr>
        <w:tab/>
        <w:t>Cesty podání a dávkování</w:t>
      </w:r>
    </w:p>
    <w:p w:rsidR="00E72B82" w:rsidRPr="00477BF4" w:rsidRDefault="00E72B82" w:rsidP="00D0368B">
      <w:pPr>
        <w:jc w:val="both"/>
        <w:rPr>
          <w:rFonts w:ascii="Times New Roman" w:eastAsia="Calibri" w:hAnsi="Times New Roman"/>
          <w:sz w:val="24"/>
        </w:rPr>
      </w:pPr>
      <w:bookmarkStart w:id="6" w:name="_Hlk85799649"/>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Podání v pitné vodě.</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Doporučená dávka je 10 mg florfenikolu na kg živé hmotnosti denně (odpovídá 5 ml přípravku/100 kg živé hmotnosti) po dobu 5 po sobě jdoucích dnů.</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lastRenderedPageBreak/>
        <w:t xml:space="preserve">Pro zajištění správného dávkování je třeba co nejpřesněji stanovit živou hmotnost. Aby se předešlo </w:t>
      </w:r>
      <w:proofErr w:type="spellStart"/>
      <w:r w:rsidR="002254A2">
        <w:rPr>
          <w:rFonts w:ascii="Times New Roman" w:hAnsi="Times New Roman"/>
          <w:sz w:val="24"/>
        </w:rPr>
        <w:t>poddávkování</w:t>
      </w:r>
      <w:proofErr w:type="spellEnd"/>
      <w:r>
        <w:rPr>
          <w:rFonts w:ascii="Times New Roman" w:hAnsi="Times New Roman"/>
          <w:sz w:val="24"/>
        </w:rPr>
        <w:t xml:space="preserve"> nebo </w:t>
      </w:r>
      <w:r w:rsidR="002254A2">
        <w:rPr>
          <w:rFonts w:ascii="Times New Roman" w:hAnsi="Times New Roman"/>
          <w:sz w:val="24"/>
        </w:rPr>
        <w:t>předávkování</w:t>
      </w:r>
      <w:r>
        <w:rPr>
          <w:rFonts w:ascii="Times New Roman" w:hAnsi="Times New Roman"/>
          <w:sz w:val="24"/>
        </w:rPr>
        <w:t>, měla by být léčená zvířata rozdělena do skupin o podobné živé hmotnosti a dávka by měla být vypočtena pro každou skupinu zvlášť.</w:t>
      </w:r>
    </w:p>
    <w:p w:rsidR="0034134D" w:rsidRPr="00733EF8" w:rsidRDefault="0034134D" w:rsidP="0034134D">
      <w:pPr>
        <w:ind w:left="567"/>
        <w:jc w:val="both"/>
        <w:rPr>
          <w:rFonts w:ascii="Times New Roman" w:eastAsia="Calibri" w:hAnsi="Times New Roman"/>
          <w:sz w:val="24"/>
        </w:rPr>
      </w:pPr>
      <w:r>
        <w:rPr>
          <w:rFonts w:ascii="Times New Roman" w:hAnsi="Times New Roman"/>
          <w:sz w:val="24"/>
        </w:rPr>
        <w:t xml:space="preserve">Příjem medikované vody závisí na mnoha faktorech, včetně klinického stavu zvířete </w:t>
      </w:r>
      <w:r w:rsidR="00D41C04">
        <w:rPr>
          <w:rFonts w:ascii="Times New Roman" w:hAnsi="Times New Roman"/>
          <w:sz w:val="24"/>
        </w:rPr>
        <w:t>a </w:t>
      </w:r>
      <w:r>
        <w:rPr>
          <w:rFonts w:ascii="Times New Roman" w:hAnsi="Times New Roman"/>
          <w:sz w:val="24"/>
        </w:rPr>
        <w:t>místních podmínek, jako je okolní teplota a vlhkost. Všechna zvířata, která mají být léčena, by měla mít dostatečný přístup k</w:t>
      </w:r>
      <w:r w:rsidR="00FE1CA9">
        <w:rPr>
          <w:rFonts w:ascii="Times New Roman" w:hAnsi="Times New Roman"/>
          <w:sz w:val="24"/>
        </w:rPr>
        <w:t> napájecímu systému</w:t>
      </w:r>
      <w:r>
        <w:rPr>
          <w:rFonts w:ascii="Times New Roman" w:hAnsi="Times New Roman"/>
          <w:sz w:val="24"/>
        </w:rPr>
        <w:t>, aby byl zajištěn dostatečn</w:t>
      </w:r>
      <w:r w:rsidR="00215790">
        <w:rPr>
          <w:rFonts w:ascii="Times New Roman" w:hAnsi="Times New Roman"/>
          <w:sz w:val="24"/>
        </w:rPr>
        <w:t>ý</w:t>
      </w:r>
      <w:r>
        <w:rPr>
          <w:rFonts w:ascii="Times New Roman" w:hAnsi="Times New Roman"/>
          <w:sz w:val="24"/>
        </w:rPr>
        <w:t xml:space="preserve"> </w:t>
      </w:r>
      <w:r w:rsidR="00215790">
        <w:rPr>
          <w:rFonts w:ascii="Times New Roman" w:hAnsi="Times New Roman"/>
          <w:sz w:val="24"/>
        </w:rPr>
        <w:t xml:space="preserve">příjem </w:t>
      </w:r>
      <w:proofErr w:type="spellStart"/>
      <w:r>
        <w:rPr>
          <w:rFonts w:ascii="Times New Roman" w:hAnsi="Times New Roman"/>
          <w:sz w:val="24"/>
        </w:rPr>
        <w:t>medikované</w:t>
      </w:r>
      <w:proofErr w:type="spellEnd"/>
      <w:r>
        <w:rPr>
          <w:rFonts w:ascii="Times New Roman" w:hAnsi="Times New Roman"/>
          <w:sz w:val="24"/>
        </w:rPr>
        <w:t xml:space="preserve"> pitné vody. Aby byl zajištěn </w:t>
      </w:r>
      <w:r w:rsidR="00FE1CA9">
        <w:rPr>
          <w:rFonts w:ascii="Times New Roman" w:hAnsi="Times New Roman"/>
          <w:sz w:val="24"/>
        </w:rPr>
        <w:t xml:space="preserve">příjem </w:t>
      </w:r>
      <w:proofErr w:type="spellStart"/>
      <w:r>
        <w:rPr>
          <w:rFonts w:ascii="Times New Roman" w:hAnsi="Times New Roman"/>
          <w:sz w:val="24"/>
        </w:rPr>
        <w:t>medikované</w:t>
      </w:r>
      <w:proofErr w:type="spellEnd"/>
      <w:r>
        <w:rPr>
          <w:rFonts w:ascii="Times New Roman" w:hAnsi="Times New Roman"/>
          <w:sz w:val="24"/>
        </w:rPr>
        <w:t xml:space="preserve"> vody, neměla by mít zvířata během léčby přístup k jiným zdrojům vody. Pokud však není možné zajistit dostatečný příjem medikované vody, měla by být zvířata léčena parenterálně. </w:t>
      </w:r>
    </w:p>
    <w:p w:rsidR="0034134D"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Odpovídající množství medikované vody by mělo být připraveno na základě denní</w:t>
      </w:r>
      <w:r w:rsidR="00215790">
        <w:rPr>
          <w:rFonts w:ascii="Times New Roman" w:hAnsi="Times New Roman"/>
          <w:sz w:val="24"/>
        </w:rPr>
        <w:t>ho</w:t>
      </w:r>
      <w:r>
        <w:rPr>
          <w:rFonts w:ascii="Times New Roman" w:hAnsi="Times New Roman"/>
          <w:sz w:val="24"/>
        </w:rPr>
        <w:t xml:space="preserve"> </w:t>
      </w:r>
      <w:r w:rsidR="00215790">
        <w:rPr>
          <w:rFonts w:ascii="Times New Roman" w:hAnsi="Times New Roman"/>
          <w:sz w:val="24"/>
        </w:rPr>
        <w:t xml:space="preserve">příjmu </w:t>
      </w:r>
      <w:r>
        <w:rPr>
          <w:rFonts w:ascii="Times New Roman" w:hAnsi="Times New Roman"/>
          <w:sz w:val="24"/>
        </w:rPr>
        <w:t xml:space="preserve">vody. Pro dosažení správného dávkování je třeba sledovat příjem vody </w:t>
      </w:r>
      <w:r w:rsidR="00D41C04">
        <w:rPr>
          <w:rFonts w:ascii="Times New Roman" w:hAnsi="Times New Roman"/>
          <w:sz w:val="24"/>
        </w:rPr>
        <w:t>a </w:t>
      </w:r>
      <w:r>
        <w:rPr>
          <w:rFonts w:ascii="Times New Roman" w:hAnsi="Times New Roman"/>
          <w:sz w:val="24"/>
        </w:rPr>
        <w:t xml:space="preserve">odpovídajícím způsobem upravit koncentraci florfenikolu. </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Na základě doporučené dávky</w:t>
      </w:r>
      <w:r w:rsidR="00FE4413">
        <w:rPr>
          <w:rFonts w:ascii="Times New Roman" w:hAnsi="Times New Roman"/>
          <w:sz w:val="24"/>
        </w:rPr>
        <w:t xml:space="preserve">, </w:t>
      </w:r>
      <w:r>
        <w:rPr>
          <w:rFonts w:ascii="Times New Roman" w:hAnsi="Times New Roman"/>
          <w:sz w:val="24"/>
        </w:rPr>
        <w:t>počtu a hmotnosti zvířat, která je třeba ošetřit, se přesná denní koncentrace veterinárního přípravku vypočítá podle následujícího vzorce:</w:t>
      </w:r>
    </w:p>
    <w:p w:rsidR="0034134D" w:rsidRPr="00477BF4" w:rsidRDefault="0034134D" w:rsidP="0034134D">
      <w:pPr>
        <w:ind w:left="567"/>
        <w:jc w:val="both"/>
        <w:rPr>
          <w:rFonts w:ascii="Times New Roman" w:eastAsia="Calibri" w:hAnsi="Times New Roman"/>
          <w:sz w:val="24"/>
        </w:rPr>
      </w:pPr>
    </w:p>
    <w:p w:rsidR="0034134D" w:rsidRDefault="0034134D" w:rsidP="0034134D">
      <w:pPr>
        <w:jc w:val="both"/>
        <w:rPr>
          <w:rFonts w:ascii="Times New Roman" w:eastAsia="Calibri" w:hAnsi="Times New Roman"/>
          <w:sz w:val="24"/>
        </w:rPr>
      </w:pPr>
    </w:p>
    <w:tbl>
      <w:tblPr>
        <w:tblW w:w="9432" w:type="dxa"/>
        <w:tblInd w:w="599" w:type="dxa"/>
        <w:tblLayout w:type="fixed"/>
        <w:tblLook w:val="01E0" w:firstRow="1" w:lastRow="1" w:firstColumn="1" w:lastColumn="1" w:noHBand="0" w:noVBand="0"/>
      </w:tblPr>
      <w:tblGrid>
        <w:gridCol w:w="3260"/>
        <w:gridCol w:w="284"/>
        <w:gridCol w:w="2126"/>
        <w:gridCol w:w="709"/>
        <w:gridCol w:w="283"/>
        <w:gridCol w:w="573"/>
        <w:gridCol w:w="2197"/>
      </w:tblGrid>
      <w:tr w:rsidR="0034134D" w:rsidRPr="00DB152B" w:rsidTr="00E921E7">
        <w:tc>
          <w:tcPr>
            <w:tcW w:w="3260" w:type="dxa"/>
            <w:tcBorders>
              <w:bottom w:val="single" w:sz="4" w:space="0" w:color="auto"/>
            </w:tcBorders>
            <w:vAlign w:val="center"/>
          </w:tcPr>
          <w:p w:rsidR="0034134D" w:rsidRPr="00DB152B" w:rsidRDefault="0034134D" w:rsidP="00E921E7">
            <w:pPr>
              <w:tabs>
                <w:tab w:val="left" w:pos="-2802"/>
                <w:tab w:val="left" w:pos="-1440"/>
                <w:tab w:val="left" w:pos="-720"/>
                <w:tab w:val="left" w:pos="1132"/>
                <w:tab w:val="left" w:pos="1440"/>
                <w:tab w:val="left" w:pos="1877"/>
                <w:tab w:val="left" w:pos="2880"/>
                <w:tab w:val="left" w:pos="3600"/>
                <w:tab w:val="left" w:pos="4320"/>
                <w:tab w:val="left" w:pos="5040"/>
                <w:tab w:val="left" w:pos="5760"/>
                <w:tab w:val="right" w:pos="6518"/>
                <w:tab w:val="left" w:pos="7920"/>
              </w:tabs>
              <w:ind w:right="34"/>
              <w:rPr>
                <w:rFonts w:ascii="Times New Roman" w:hAnsi="Times New Roman"/>
                <w:bCs/>
                <w:color w:val="000000"/>
                <w:szCs w:val="22"/>
              </w:rPr>
            </w:pPr>
            <w:r w:rsidRPr="00DB152B">
              <w:rPr>
                <w:rFonts w:ascii="Times New Roman" w:hAnsi="Times New Roman"/>
                <w:color w:val="000000"/>
              </w:rPr>
              <w:t>X ml veterinárního léčivého přípravku / kg živé hmotnosti / den</w:t>
            </w:r>
          </w:p>
        </w:tc>
        <w:tc>
          <w:tcPr>
            <w:tcW w:w="284" w:type="dxa"/>
            <w:tcBorders>
              <w:bottom w:val="single" w:sz="4" w:space="0" w:color="auto"/>
            </w:tcBorders>
            <w:vAlign w:val="center"/>
          </w:tcPr>
          <w:p w:rsidR="0034134D" w:rsidRPr="00DB152B" w:rsidRDefault="0034134D" w:rsidP="00E921E7">
            <w:pPr>
              <w:tabs>
                <w:tab w:val="left" w:pos="-4967"/>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x</w:t>
            </w:r>
          </w:p>
        </w:tc>
        <w:tc>
          <w:tcPr>
            <w:tcW w:w="2835" w:type="dxa"/>
            <w:gridSpan w:val="2"/>
            <w:tcBorders>
              <w:bottom w:val="single" w:sz="4" w:space="0" w:color="auto"/>
            </w:tcBorders>
          </w:tcPr>
          <w:p w:rsidR="0034134D" w:rsidRPr="00DB152B"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p w:rsidR="0034134D" w:rsidRPr="00DB152B"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r w:rsidRPr="00DB152B">
              <w:rPr>
                <w:rFonts w:ascii="Times New Roman" w:hAnsi="Times New Roman"/>
                <w:color w:val="000000"/>
              </w:rPr>
              <w:t>průměrná živá hmotnost (kg) ošetřovaných zvířat</w:t>
            </w:r>
          </w:p>
        </w:tc>
        <w:tc>
          <w:tcPr>
            <w:tcW w:w="283" w:type="dxa"/>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p>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p>
          <w:p w:rsidR="0034134D" w:rsidRPr="00DB152B" w:rsidRDefault="0034134D" w:rsidP="00E921E7">
            <w:pPr>
              <w:tabs>
                <w:tab w:val="left" w:pos="-7164"/>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w:t>
            </w:r>
          </w:p>
        </w:tc>
        <w:tc>
          <w:tcPr>
            <w:tcW w:w="2770" w:type="dxa"/>
            <w:gridSpan w:val="2"/>
          </w:tcPr>
          <w:p w:rsidR="0034134D" w:rsidRPr="00DB152B"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szCs w:val="22"/>
              </w:rPr>
            </w:pPr>
          </w:p>
          <w:p w:rsidR="0034134D" w:rsidRPr="00DB152B"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X ml veterinárního přípravku na litr pitné vody</w:t>
            </w:r>
          </w:p>
        </w:tc>
      </w:tr>
      <w:tr w:rsidR="0034134D" w:rsidRPr="00DB152B" w:rsidTr="00E921E7">
        <w:tc>
          <w:tcPr>
            <w:tcW w:w="5670" w:type="dxa"/>
            <w:gridSpan w:val="3"/>
          </w:tcPr>
          <w:p w:rsidR="0034134D" w:rsidRPr="00DB152B" w:rsidRDefault="0034134D" w:rsidP="00E921E7">
            <w:pPr>
              <w:tabs>
                <w:tab w:val="left" w:pos="-3936"/>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průměrná denní spotřeba vody (litry) na zvíře</w:t>
            </w:r>
          </w:p>
        </w:tc>
        <w:tc>
          <w:tcPr>
            <w:tcW w:w="1565" w:type="dxa"/>
            <w:gridSpan w:val="3"/>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tc>
        <w:tc>
          <w:tcPr>
            <w:tcW w:w="2197" w:type="dxa"/>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tc>
      </w:tr>
    </w:tbl>
    <w:p w:rsidR="0034134D"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Při použití váhy lze požadovaný objem přepočítat na gramy takto:</w:t>
      </w:r>
    </w:p>
    <w:p w:rsidR="0034134D" w:rsidRPr="00477BF4" w:rsidRDefault="0034134D" w:rsidP="009B33D6">
      <w:pPr>
        <w:ind w:left="567"/>
        <w:jc w:val="both"/>
        <w:rPr>
          <w:rFonts w:ascii="Times New Roman" w:eastAsia="Calibri" w:hAnsi="Times New Roman"/>
          <w:sz w:val="24"/>
        </w:rPr>
      </w:pPr>
      <w:r>
        <w:rPr>
          <w:rFonts w:ascii="Times New Roman" w:hAnsi="Times New Roman"/>
          <w:sz w:val="24"/>
        </w:rPr>
        <w:t xml:space="preserve">množství přípravku potřebného na den v g = množství přípravku potřebného na den v ml x </w:t>
      </w:r>
      <w:r w:rsidR="009B33D6">
        <w:rPr>
          <w:rFonts w:ascii="Times New Roman" w:hAnsi="Times New Roman"/>
          <w:sz w:val="24"/>
        </w:rPr>
        <w:t xml:space="preserve">  </w:t>
      </w:r>
      <w:r>
        <w:rPr>
          <w:rFonts w:ascii="Times New Roman" w:hAnsi="Times New Roman"/>
          <w:sz w:val="24"/>
        </w:rPr>
        <w:t>1,075.</w:t>
      </w: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Je nezbytné důkladně zkontrolovat přesnost dávkovacího zařízení.</w:t>
      </w:r>
    </w:p>
    <w:p w:rsidR="0034134D" w:rsidRDefault="0034134D" w:rsidP="0034134D">
      <w:pPr>
        <w:ind w:left="567"/>
        <w:jc w:val="both"/>
        <w:rPr>
          <w:rFonts w:ascii="Times New Roman" w:eastAsia="Calibri" w:hAnsi="Times New Roman"/>
          <w:sz w:val="24"/>
        </w:rPr>
      </w:pPr>
    </w:p>
    <w:p w:rsidR="00852376" w:rsidRPr="00477BF4" w:rsidRDefault="00635D54" w:rsidP="00852376">
      <w:pPr>
        <w:ind w:left="567"/>
        <w:jc w:val="both"/>
        <w:rPr>
          <w:rFonts w:ascii="Times New Roman" w:eastAsia="Calibri" w:hAnsi="Times New Roman"/>
          <w:sz w:val="24"/>
        </w:rPr>
      </w:pPr>
      <w:bookmarkStart w:id="7" w:name="_Hlk150525978"/>
      <w:r>
        <w:rPr>
          <w:rFonts w:ascii="Times New Roman" w:hAnsi="Times New Roman"/>
          <w:sz w:val="24"/>
        </w:rPr>
        <w:t>Před použitím lahvičku silně protřepejte po dobu 60 sekund. Přípravek by měl být přidán do vody.</w:t>
      </w:r>
      <w:bookmarkEnd w:id="7"/>
      <w:r>
        <w:rPr>
          <w:rFonts w:ascii="Times New Roman" w:hAnsi="Times New Roman"/>
          <w:sz w:val="24"/>
        </w:rPr>
        <w:t xml:space="preserve"> Roztok připravte z čerstvé pitné vody.</w:t>
      </w:r>
    </w:p>
    <w:p w:rsidR="0034134D" w:rsidRDefault="0034134D" w:rsidP="008E779F">
      <w:pPr>
        <w:tabs>
          <w:tab w:val="left" w:pos="567"/>
        </w:tabs>
        <w:ind w:left="567"/>
        <w:rPr>
          <w:rFonts w:ascii="Times New Roman" w:eastAsia="Calibri" w:hAnsi="Times New Roman"/>
          <w:sz w:val="24"/>
        </w:rPr>
      </w:pPr>
    </w:p>
    <w:p w:rsidR="0034134D" w:rsidRDefault="0034134D" w:rsidP="0034134D">
      <w:pPr>
        <w:ind w:left="567"/>
        <w:jc w:val="both"/>
        <w:rPr>
          <w:rFonts w:ascii="Times New Roman" w:eastAsia="Calibri" w:hAnsi="Times New Roman"/>
          <w:sz w:val="24"/>
        </w:rPr>
      </w:pPr>
      <w:r>
        <w:rPr>
          <w:rFonts w:ascii="Times New Roman" w:hAnsi="Times New Roman"/>
          <w:sz w:val="24"/>
        </w:rPr>
        <w:t>Pro zásobníky vody:</w:t>
      </w:r>
    </w:p>
    <w:p w:rsidR="00635D54" w:rsidRPr="008E779F" w:rsidRDefault="00635D54" w:rsidP="008E779F">
      <w:pPr>
        <w:ind w:left="567"/>
        <w:jc w:val="both"/>
        <w:rPr>
          <w:rFonts w:ascii="Times New Roman" w:eastAsia="Calibri" w:hAnsi="Times New Roman"/>
          <w:sz w:val="24"/>
        </w:rPr>
      </w:pPr>
      <w:r>
        <w:rPr>
          <w:rFonts w:ascii="Times New Roman" w:hAnsi="Times New Roman"/>
          <w:sz w:val="24"/>
        </w:rPr>
        <w:t>Maximální rozpustnosti je dosaženo při koncentracích 2 ml/l (0,4 g florfenikolu/l), 2,5 ml/l (0,5 g florfenikolu/l) a 3 ml/l (0,6 g florfenikolu/l) při 4 °C, 10 °C, resp. 20 °C. Roztok by měl být vizuálně zkontrolován, abyste se ujistili, že se přípravek zcela rozpustil.</w:t>
      </w:r>
    </w:p>
    <w:p w:rsidR="00635D54" w:rsidRPr="00477BF4" w:rsidRDefault="00635D54" w:rsidP="0034134D">
      <w:pPr>
        <w:ind w:left="567"/>
        <w:jc w:val="both"/>
        <w:rPr>
          <w:rFonts w:ascii="Times New Roman" w:eastAsia="Calibri" w:hAnsi="Times New Roman"/>
          <w:sz w:val="24"/>
        </w:rPr>
      </w:pPr>
    </w:p>
    <w:p w:rsidR="00E921E7" w:rsidRDefault="0034134D" w:rsidP="0034134D">
      <w:pPr>
        <w:ind w:left="567"/>
        <w:jc w:val="both"/>
        <w:rPr>
          <w:rFonts w:ascii="Times New Roman" w:eastAsia="Calibri" w:hAnsi="Times New Roman"/>
          <w:sz w:val="24"/>
        </w:rPr>
      </w:pPr>
      <w:r>
        <w:rPr>
          <w:rFonts w:ascii="Times New Roman" w:hAnsi="Times New Roman"/>
          <w:sz w:val="24"/>
        </w:rPr>
        <w:t xml:space="preserve">K léčbě prasat, která </w:t>
      </w:r>
      <w:r w:rsidR="00775B73" w:rsidRPr="00B3750A">
        <w:rPr>
          <w:rFonts w:ascii="Times New Roman" w:hAnsi="Times New Roman"/>
          <w:sz w:val="24"/>
        </w:rPr>
        <w:t>vy</w:t>
      </w:r>
      <w:r w:rsidRPr="00B3750A">
        <w:rPr>
          <w:rFonts w:ascii="Times New Roman" w:hAnsi="Times New Roman"/>
          <w:sz w:val="24"/>
        </w:rPr>
        <w:t xml:space="preserve">pijí </w:t>
      </w:r>
      <w:bookmarkStart w:id="8" w:name="_Hlk161917634"/>
      <w:r w:rsidR="00775B73" w:rsidRPr="00DB152B">
        <w:rPr>
          <w:rFonts w:ascii="Times New Roman" w:hAnsi="Times New Roman"/>
          <w:sz w:val="24"/>
        </w:rPr>
        <w:t xml:space="preserve">množství vody odpovídající </w:t>
      </w:r>
      <w:bookmarkEnd w:id="8"/>
      <w:r w:rsidRPr="00B3750A">
        <w:rPr>
          <w:rFonts w:ascii="Times New Roman" w:hAnsi="Times New Roman"/>
          <w:sz w:val="24"/>
        </w:rPr>
        <w:t>10 % své živé hmotnosti</w:t>
      </w:r>
      <w:r w:rsidR="00775B73">
        <w:rPr>
          <w:rFonts w:ascii="Times New Roman" w:hAnsi="Times New Roman"/>
          <w:sz w:val="24"/>
        </w:rPr>
        <w:t xml:space="preserve"> dávkou 10 mg/kg</w:t>
      </w:r>
      <w:r>
        <w:rPr>
          <w:rFonts w:ascii="Times New Roman" w:hAnsi="Times New Roman"/>
          <w:sz w:val="24"/>
        </w:rPr>
        <w:t xml:space="preserve">, přidejte veterinární léčivý přípravek do pitné vody v zásobníku. </w:t>
      </w:r>
    </w:p>
    <w:p w:rsidR="005E2027" w:rsidRDefault="0034134D" w:rsidP="0034134D">
      <w:pPr>
        <w:ind w:left="567"/>
        <w:jc w:val="both"/>
        <w:rPr>
          <w:rFonts w:ascii="Times New Roman" w:eastAsia="Calibri" w:hAnsi="Times New Roman"/>
          <w:sz w:val="24"/>
        </w:rPr>
      </w:pPr>
      <w:r>
        <w:rPr>
          <w:rFonts w:ascii="Times New Roman" w:hAnsi="Times New Roman"/>
          <w:sz w:val="24"/>
        </w:rPr>
        <w:t xml:space="preserve">Na každých 2000 l vody použijte 1 l přípravku. To odpovídá koncentraci 0,10 g florfenikolu /l v pitné vodě. </w:t>
      </w:r>
    </w:p>
    <w:p w:rsidR="0034134D" w:rsidRPr="00477BF4" w:rsidRDefault="00635D54" w:rsidP="0034134D">
      <w:pPr>
        <w:ind w:left="567"/>
        <w:jc w:val="both"/>
        <w:rPr>
          <w:rFonts w:ascii="Times New Roman" w:eastAsia="Calibri" w:hAnsi="Times New Roman"/>
          <w:sz w:val="24"/>
        </w:rPr>
      </w:pPr>
      <w:r>
        <w:rPr>
          <w:rFonts w:ascii="Times New Roman" w:hAnsi="Times New Roman"/>
          <w:sz w:val="24"/>
        </w:rPr>
        <w:t>Důkladně promíchejte. K dosažení úplného rozpuštění je třeba roztok intenzivně ručně míchat metličkou po dobu 10 minut.  Při použití magnetického míchadla s rychlostí 100 otáček za minutu je doba míchání 5 minut.</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Pro dávkovače:</w:t>
      </w:r>
    </w:p>
    <w:p w:rsidR="0030253F" w:rsidRPr="008E779F" w:rsidRDefault="0030253F" w:rsidP="008E779F">
      <w:pPr>
        <w:tabs>
          <w:tab w:val="left" w:pos="567"/>
        </w:tabs>
        <w:ind w:left="567"/>
        <w:rPr>
          <w:rFonts w:ascii="Times New Roman" w:eastAsia="Calibri" w:hAnsi="Times New Roman"/>
          <w:sz w:val="24"/>
        </w:rPr>
      </w:pPr>
      <w:r>
        <w:rPr>
          <w:rFonts w:ascii="Times New Roman" w:hAnsi="Times New Roman"/>
          <w:sz w:val="24"/>
        </w:rPr>
        <w:t xml:space="preserve">Veterinární léčivý přípravek lze použít pouze v koncentraci 50 ml/l, tj. 10 g florfenikolu na litr zásobního roztoku. </w:t>
      </w:r>
    </w:p>
    <w:p w:rsidR="0030253F" w:rsidRPr="008E779F" w:rsidRDefault="0030253F" w:rsidP="008E779F">
      <w:pPr>
        <w:ind w:left="567"/>
        <w:rPr>
          <w:rFonts w:ascii="Times New Roman" w:eastAsia="Calibri" w:hAnsi="Times New Roman"/>
          <w:sz w:val="24"/>
        </w:rPr>
      </w:pPr>
      <w:r>
        <w:rPr>
          <w:rFonts w:ascii="Times New Roman" w:hAnsi="Times New Roman"/>
          <w:sz w:val="24"/>
        </w:rPr>
        <w:t xml:space="preserve">K léčbě prasat, která </w:t>
      </w:r>
      <w:r w:rsidR="00775B73">
        <w:rPr>
          <w:rFonts w:ascii="Times New Roman" w:hAnsi="Times New Roman"/>
          <w:sz w:val="24"/>
        </w:rPr>
        <w:t>vy</w:t>
      </w:r>
      <w:r>
        <w:rPr>
          <w:rFonts w:ascii="Times New Roman" w:hAnsi="Times New Roman"/>
          <w:sz w:val="24"/>
        </w:rPr>
        <w:t xml:space="preserve">pijí </w:t>
      </w:r>
      <w:bookmarkStart w:id="9" w:name="_Hlk161918375"/>
      <w:r w:rsidR="00775B73" w:rsidRPr="00775B73">
        <w:rPr>
          <w:rFonts w:ascii="Times New Roman" w:hAnsi="Times New Roman"/>
          <w:sz w:val="24"/>
        </w:rPr>
        <w:t xml:space="preserve">množství vody odpovídající </w:t>
      </w:r>
      <w:bookmarkEnd w:id="9"/>
      <w:r>
        <w:rPr>
          <w:rFonts w:ascii="Times New Roman" w:hAnsi="Times New Roman"/>
          <w:sz w:val="24"/>
        </w:rPr>
        <w:t>10 % své živé hmotnosti</w:t>
      </w:r>
      <w:r w:rsidR="001469D1" w:rsidRPr="001469D1">
        <w:rPr>
          <w:rFonts w:ascii="Times New Roman" w:hAnsi="Times New Roman"/>
          <w:sz w:val="24"/>
        </w:rPr>
        <w:t xml:space="preserve"> </w:t>
      </w:r>
      <w:r w:rsidR="001469D1">
        <w:rPr>
          <w:rFonts w:ascii="Times New Roman" w:hAnsi="Times New Roman"/>
          <w:sz w:val="24"/>
        </w:rPr>
        <w:t>dávkou 10 mg/kg</w:t>
      </w:r>
      <w:r>
        <w:rPr>
          <w:rFonts w:ascii="Times New Roman" w:hAnsi="Times New Roman"/>
          <w:sz w:val="24"/>
        </w:rPr>
        <w:t xml:space="preserve">, přidejte veterinární léčivý přípravek do vody v zásobníku dávkovače. </w:t>
      </w:r>
    </w:p>
    <w:p w:rsidR="0030253F" w:rsidRPr="008E779F" w:rsidRDefault="0030253F" w:rsidP="008E779F">
      <w:pPr>
        <w:ind w:left="567"/>
        <w:rPr>
          <w:rFonts w:ascii="Times New Roman" w:eastAsia="Calibri" w:hAnsi="Times New Roman"/>
          <w:sz w:val="24"/>
        </w:rPr>
      </w:pPr>
      <w:r>
        <w:rPr>
          <w:rFonts w:ascii="Times New Roman" w:hAnsi="Times New Roman"/>
          <w:sz w:val="24"/>
        </w:rPr>
        <w:t>Přidejte 1 l přípravku do 20 l nemedikované vody. To odpovídá koncentraci 10 g</w:t>
      </w:r>
      <w:r w:rsidR="0016008D">
        <w:rPr>
          <w:rFonts w:ascii="Times New Roman" w:hAnsi="Times New Roman"/>
          <w:sz w:val="24"/>
        </w:rPr>
        <w:t xml:space="preserve"> </w:t>
      </w:r>
      <w:proofErr w:type="spellStart"/>
      <w:r w:rsidR="0016008D">
        <w:rPr>
          <w:rFonts w:ascii="Times New Roman" w:hAnsi="Times New Roman"/>
          <w:sz w:val="24"/>
        </w:rPr>
        <w:t>florfenikolu</w:t>
      </w:r>
      <w:proofErr w:type="spellEnd"/>
      <w:r>
        <w:rPr>
          <w:rFonts w:ascii="Times New Roman" w:hAnsi="Times New Roman"/>
          <w:sz w:val="24"/>
        </w:rPr>
        <w:t>/l v zásobním roztoku.</w:t>
      </w:r>
    </w:p>
    <w:p w:rsidR="0030253F" w:rsidRPr="008E779F" w:rsidRDefault="0030253F" w:rsidP="008E779F">
      <w:pPr>
        <w:ind w:left="567"/>
        <w:rPr>
          <w:rFonts w:ascii="Times New Roman" w:eastAsia="Calibri" w:hAnsi="Times New Roman"/>
          <w:sz w:val="24"/>
        </w:rPr>
      </w:pPr>
      <w:r>
        <w:rPr>
          <w:rFonts w:ascii="Times New Roman" w:hAnsi="Times New Roman"/>
          <w:sz w:val="24"/>
        </w:rPr>
        <w:lastRenderedPageBreak/>
        <w:t xml:space="preserve">Důkladně ručně míchejte metličkou po dobu 10 minut, </w:t>
      </w:r>
      <w:r w:rsidR="00705933">
        <w:rPr>
          <w:rFonts w:ascii="Times New Roman" w:hAnsi="Times New Roman"/>
          <w:sz w:val="24"/>
        </w:rPr>
        <w:t xml:space="preserve">nebo použijte automatické míchací zařízení nastavené na 840 </w:t>
      </w:r>
      <w:proofErr w:type="spellStart"/>
      <w:proofErr w:type="gramStart"/>
      <w:r w:rsidR="00705933">
        <w:rPr>
          <w:rFonts w:ascii="Times New Roman" w:hAnsi="Times New Roman"/>
          <w:sz w:val="24"/>
        </w:rPr>
        <w:t>ot</w:t>
      </w:r>
      <w:proofErr w:type="spellEnd"/>
      <w:r w:rsidR="00705933">
        <w:rPr>
          <w:rFonts w:ascii="Times New Roman" w:hAnsi="Times New Roman"/>
          <w:sz w:val="24"/>
        </w:rPr>
        <w:t>./</w:t>
      </w:r>
      <w:proofErr w:type="gramEnd"/>
      <w:r w:rsidR="00705933">
        <w:rPr>
          <w:rFonts w:ascii="Times New Roman" w:hAnsi="Times New Roman"/>
          <w:sz w:val="24"/>
        </w:rPr>
        <w:t xml:space="preserve">min po dobu 5 minut, </w:t>
      </w:r>
      <w:r>
        <w:rPr>
          <w:rFonts w:ascii="Times New Roman" w:hAnsi="Times New Roman"/>
          <w:sz w:val="24"/>
        </w:rPr>
        <w:t>dokud nevznikne homogenní mléčně bílá suspenze.</w:t>
      </w:r>
    </w:p>
    <w:p w:rsidR="0030253F" w:rsidRPr="008E779F" w:rsidRDefault="0030253F" w:rsidP="008E779F">
      <w:pPr>
        <w:ind w:left="567"/>
        <w:rPr>
          <w:rFonts w:ascii="Times New Roman" w:eastAsia="Calibri" w:hAnsi="Times New Roman"/>
          <w:sz w:val="24"/>
        </w:rPr>
      </w:pPr>
      <w:r>
        <w:rPr>
          <w:rFonts w:ascii="Times New Roman" w:hAnsi="Times New Roman"/>
          <w:sz w:val="24"/>
        </w:rPr>
        <w:t>Nastavte dávkovač na 1 % a zapněte ho.</w:t>
      </w:r>
    </w:p>
    <w:p w:rsidR="00A44AB4" w:rsidRPr="00AE6044" w:rsidRDefault="00A44AB4" w:rsidP="00766DE6">
      <w:pPr>
        <w:tabs>
          <w:tab w:val="left" w:pos="567"/>
        </w:tabs>
        <w:ind w:left="567"/>
        <w:rPr>
          <w:rFonts w:ascii="Times New Roman" w:hAnsi="Times New Roman"/>
          <w:sz w:val="24"/>
        </w:rPr>
      </w:pPr>
    </w:p>
    <w:p w:rsidR="00E72B82" w:rsidRPr="00AE6044" w:rsidRDefault="00766DE6" w:rsidP="00E72B82">
      <w:pPr>
        <w:tabs>
          <w:tab w:val="left" w:pos="567"/>
        </w:tabs>
        <w:ind w:left="567"/>
        <w:rPr>
          <w:rFonts w:ascii="Times New Roman" w:hAnsi="Times New Roman"/>
          <w:sz w:val="24"/>
        </w:rPr>
      </w:pPr>
      <w:r>
        <w:rPr>
          <w:rFonts w:ascii="Times New Roman" w:hAnsi="Times New Roman"/>
          <w:sz w:val="24"/>
        </w:rPr>
        <w:t>Medikovanou pitnou vodu je nutné vyměnit každých 24 hodin.</w:t>
      </w:r>
    </w:p>
    <w:bookmarkEnd w:id="6"/>
    <w:p w:rsidR="0034134D" w:rsidRDefault="0034134D" w:rsidP="0034134D">
      <w:pPr>
        <w:tabs>
          <w:tab w:val="left" w:pos="567"/>
        </w:tabs>
        <w:ind w:left="567"/>
        <w:rPr>
          <w:rFonts w:ascii="Times New Roman" w:eastAsia="Calibri" w:hAnsi="Times New Roman"/>
          <w:sz w:val="24"/>
        </w:rPr>
      </w:pPr>
    </w:p>
    <w:p w:rsidR="0034134D" w:rsidRPr="00AE6044" w:rsidRDefault="0034134D" w:rsidP="0034134D">
      <w:pPr>
        <w:tabs>
          <w:tab w:val="left" w:pos="567"/>
        </w:tabs>
        <w:ind w:left="567"/>
        <w:rPr>
          <w:rFonts w:ascii="Times New Roman" w:hAnsi="Times New Roman"/>
          <w:sz w:val="24"/>
        </w:rPr>
      </w:pPr>
      <w:r>
        <w:rPr>
          <w:rFonts w:ascii="Times New Roman" w:hAnsi="Times New Roman"/>
          <w:sz w:val="24"/>
        </w:rPr>
        <w:t xml:space="preserve">Po skončení léčby je třeba </w:t>
      </w:r>
      <w:r w:rsidR="001469D1">
        <w:rPr>
          <w:rFonts w:ascii="Times New Roman" w:hAnsi="Times New Roman"/>
          <w:sz w:val="24"/>
        </w:rPr>
        <w:t xml:space="preserve">napájecí </w:t>
      </w:r>
      <w:r>
        <w:rPr>
          <w:rFonts w:ascii="Times New Roman" w:hAnsi="Times New Roman"/>
          <w:sz w:val="24"/>
        </w:rPr>
        <w:t xml:space="preserve">systém náležitě vyčistit, aby se zabránilo příjmu </w:t>
      </w:r>
      <w:proofErr w:type="spellStart"/>
      <w:r>
        <w:rPr>
          <w:rFonts w:ascii="Times New Roman" w:hAnsi="Times New Roman"/>
          <w:sz w:val="24"/>
        </w:rPr>
        <w:t>subterapeutických</w:t>
      </w:r>
      <w:proofErr w:type="spellEnd"/>
      <w:r>
        <w:rPr>
          <w:rFonts w:ascii="Times New Roman" w:hAnsi="Times New Roman"/>
          <w:sz w:val="24"/>
        </w:rPr>
        <w:t xml:space="preserve"> množství </w:t>
      </w:r>
      <w:r w:rsidR="00435A7D">
        <w:rPr>
          <w:rFonts w:ascii="Times New Roman" w:hAnsi="Times New Roman"/>
          <w:sz w:val="24"/>
        </w:rPr>
        <w:t xml:space="preserve">léčivé </w:t>
      </w:r>
      <w:r>
        <w:rPr>
          <w:rFonts w:ascii="Times New Roman" w:hAnsi="Times New Roman"/>
          <w:sz w:val="24"/>
        </w:rPr>
        <w:t>látky.</w:t>
      </w:r>
    </w:p>
    <w:p w:rsidR="00323C1A" w:rsidRPr="00AE6044" w:rsidRDefault="00323C1A"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3.10</w:t>
      </w:r>
      <w:r>
        <w:rPr>
          <w:rFonts w:ascii="Times New Roman" w:hAnsi="Times New Roman"/>
          <w:b/>
          <w:sz w:val="24"/>
        </w:rPr>
        <w:tab/>
        <w:t>Příznaky předávkování (a kde je relevantní, první pomoc a antidota)</w:t>
      </w:r>
    </w:p>
    <w:p w:rsidR="00323C1A" w:rsidRPr="00AE6044" w:rsidRDefault="00323C1A" w:rsidP="00323C1A">
      <w:pPr>
        <w:tabs>
          <w:tab w:val="left" w:pos="567"/>
        </w:tabs>
        <w:ind w:left="567"/>
        <w:rPr>
          <w:rFonts w:ascii="Times New Roman" w:hAnsi="Times New Roman"/>
          <w:b/>
          <w:bCs/>
          <w:sz w:val="24"/>
        </w:rPr>
      </w:pPr>
    </w:p>
    <w:p w:rsidR="00BA43CC" w:rsidRDefault="00A92FBB" w:rsidP="009972F5">
      <w:pPr>
        <w:tabs>
          <w:tab w:val="left" w:pos="567"/>
        </w:tabs>
        <w:ind w:left="567"/>
        <w:jc w:val="both"/>
        <w:rPr>
          <w:rFonts w:ascii="Times New Roman" w:hAnsi="Times New Roman"/>
          <w:bCs/>
          <w:sz w:val="24"/>
        </w:rPr>
      </w:pPr>
      <w:r>
        <w:rPr>
          <w:rFonts w:ascii="Times New Roman" w:hAnsi="Times New Roman"/>
          <w:sz w:val="24"/>
        </w:rPr>
        <w:t xml:space="preserve">Při předávkování lze pozorovat snížení přírůstku hmotnosti, snížení </w:t>
      </w:r>
      <w:r w:rsidR="00EB69B9">
        <w:rPr>
          <w:rFonts w:ascii="Times New Roman" w:hAnsi="Times New Roman"/>
          <w:sz w:val="24"/>
        </w:rPr>
        <w:t xml:space="preserve">příjmu </w:t>
      </w:r>
      <w:r>
        <w:rPr>
          <w:rFonts w:ascii="Times New Roman" w:hAnsi="Times New Roman"/>
          <w:sz w:val="24"/>
        </w:rPr>
        <w:t>krmiva a vody, perianální erytém a edém a změny některých hematologických a biochemických parametrů svědčících o dehydrataci.</w:t>
      </w:r>
    </w:p>
    <w:p w:rsidR="00D0368B" w:rsidRDefault="00D0368B" w:rsidP="009972F5">
      <w:pPr>
        <w:tabs>
          <w:tab w:val="left" w:pos="567"/>
        </w:tabs>
        <w:ind w:left="567"/>
        <w:jc w:val="both"/>
        <w:rPr>
          <w:rFonts w:ascii="Times New Roman" w:hAnsi="Times New Roman"/>
          <w:bCs/>
          <w:sz w:val="24"/>
        </w:rPr>
      </w:pPr>
    </w:p>
    <w:p w:rsidR="00A44AB4" w:rsidRPr="00F21150" w:rsidRDefault="00F21150" w:rsidP="009B33D6">
      <w:pPr>
        <w:tabs>
          <w:tab w:val="left" w:pos="567"/>
        </w:tabs>
        <w:ind w:left="567" w:hanging="567"/>
        <w:jc w:val="both"/>
        <w:rPr>
          <w:rFonts w:ascii="Times New Roman" w:hAnsi="Times New Roman"/>
          <w:b/>
          <w:sz w:val="24"/>
        </w:rPr>
      </w:pPr>
      <w:r>
        <w:rPr>
          <w:rFonts w:ascii="Times New Roman" w:hAnsi="Times New Roman"/>
          <w:b/>
          <w:sz w:val="24"/>
        </w:rPr>
        <w:t>3.11</w:t>
      </w:r>
      <w:r>
        <w:rPr>
          <w:rFonts w:ascii="Times New Roman" w:hAnsi="Times New Roman"/>
          <w:b/>
          <w:sz w:val="24"/>
        </w:rPr>
        <w:tab/>
        <w:t xml:space="preserve">Zvláštní omezení pro použití a zvláštní podmínky pro použití, včetně omezení používání antimikrobních a antiparazitárních veterinárních léčivých přípravků, za účelem snížení rizika rozvoje rezistence </w:t>
      </w:r>
    </w:p>
    <w:p w:rsidR="00F21150" w:rsidRDefault="00F21150" w:rsidP="00F21150">
      <w:pPr>
        <w:tabs>
          <w:tab w:val="left" w:pos="567"/>
        </w:tabs>
        <w:jc w:val="both"/>
        <w:rPr>
          <w:rFonts w:ascii="Times New Roman" w:hAnsi="Times New Roman"/>
          <w:bCs/>
          <w:sz w:val="24"/>
        </w:rPr>
      </w:pPr>
    </w:p>
    <w:p w:rsidR="00F21150" w:rsidRDefault="00F21150" w:rsidP="00F21150">
      <w:pPr>
        <w:tabs>
          <w:tab w:val="left" w:pos="567"/>
        </w:tabs>
        <w:jc w:val="both"/>
        <w:rPr>
          <w:rFonts w:ascii="Times New Roman" w:hAnsi="Times New Roman"/>
          <w:bCs/>
          <w:sz w:val="24"/>
        </w:rPr>
      </w:pPr>
      <w:r>
        <w:rPr>
          <w:rFonts w:ascii="Times New Roman" w:hAnsi="Times New Roman"/>
          <w:sz w:val="24"/>
        </w:rPr>
        <w:tab/>
        <w:t>Neuplatňuje se.</w:t>
      </w:r>
    </w:p>
    <w:p w:rsidR="00F21150" w:rsidRDefault="00F21150" w:rsidP="00F21150">
      <w:pPr>
        <w:tabs>
          <w:tab w:val="left" w:pos="567"/>
        </w:tabs>
        <w:jc w:val="both"/>
        <w:rPr>
          <w:rFonts w:ascii="Times New Roman" w:hAnsi="Times New Roman"/>
          <w:bCs/>
          <w:sz w:val="24"/>
        </w:rPr>
      </w:pPr>
    </w:p>
    <w:p w:rsidR="00323C1A" w:rsidRPr="00AE6044" w:rsidRDefault="00F21150" w:rsidP="00F21150">
      <w:pPr>
        <w:tabs>
          <w:tab w:val="left" w:pos="567"/>
        </w:tabs>
        <w:rPr>
          <w:rFonts w:ascii="Times New Roman" w:hAnsi="Times New Roman"/>
          <w:b/>
          <w:bCs/>
          <w:sz w:val="24"/>
        </w:rPr>
      </w:pPr>
      <w:r>
        <w:rPr>
          <w:rFonts w:ascii="Times New Roman" w:hAnsi="Times New Roman"/>
          <w:b/>
          <w:sz w:val="24"/>
        </w:rPr>
        <w:t>3.12</w:t>
      </w:r>
      <w:r>
        <w:rPr>
          <w:rFonts w:ascii="Times New Roman" w:hAnsi="Times New Roman"/>
          <w:b/>
          <w:sz w:val="24"/>
        </w:rPr>
        <w:tab/>
        <w:t>Ochranné lhůty</w:t>
      </w:r>
    </w:p>
    <w:p w:rsidR="00323C1A" w:rsidRPr="00AE6044" w:rsidRDefault="00323C1A" w:rsidP="00323C1A">
      <w:pPr>
        <w:tabs>
          <w:tab w:val="left" w:pos="567"/>
        </w:tabs>
        <w:ind w:left="567"/>
        <w:rPr>
          <w:rFonts w:ascii="Times New Roman" w:hAnsi="Times New Roman"/>
          <w:b/>
          <w:bCs/>
          <w:sz w:val="24"/>
        </w:rPr>
      </w:pPr>
    </w:p>
    <w:p w:rsidR="00D65275" w:rsidRDefault="00EC64D4" w:rsidP="00B3750A">
      <w:pPr>
        <w:tabs>
          <w:tab w:val="left" w:pos="567"/>
        </w:tabs>
        <w:ind w:left="567"/>
        <w:rPr>
          <w:rFonts w:ascii="Times New Roman" w:hAnsi="Times New Roman"/>
          <w:bCs/>
          <w:sz w:val="24"/>
        </w:rPr>
      </w:pPr>
      <w:r>
        <w:rPr>
          <w:rFonts w:ascii="Times New Roman" w:hAnsi="Times New Roman"/>
          <w:sz w:val="24"/>
        </w:rPr>
        <w:t xml:space="preserve">Maso: 20 dní </w:t>
      </w:r>
    </w:p>
    <w:p w:rsidR="007F11C2" w:rsidRPr="00AE6044" w:rsidRDefault="007F11C2" w:rsidP="00323C1A">
      <w:pPr>
        <w:tabs>
          <w:tab w:val="left" w:pos="567"/>
        </w:tabs>
        <w:ind w:left="567"/>
        <w:rPr>
          <w:rFonts w:ascii="Times New Roman" w:hAnsi="Times New Roman"/>
          <w:bCs/>
          <w:sz w:val="24"/>
        </w:rPr>
      </w:pPr>
    </w:p>
    <w:p w:rsidR="00323C1A" w:rsidRPr="00E11C02" w:rsidRDefault="00F21150" w:rsidP="007F11C2">
      <w:pPr>
        <w:keepNext/>
        <w:tabs>
          <w:tab w:val="left" w:pos="567"/>
        </w:tabs>
        <w:rPr>
          <w:rFonts w:ascii="Times New Roman" w:hAnsi="Times New Roman"/>
          <w:b/>
          <w:bCs/>
          <w:sz w:val="24"/>
        </w:rPr>
      </w:pPr>
      <w:r>
        <w:rPr>
          <w:rFonts w:ascii="Times New Roman" w:hAnsi="Times New Roman"/>
          <w:b/>
          <w:sz w:val="24"/>
        </w:rPr>
        <w:t>4.</w:t>
      </w:r>
      <w:r>
        <w:rPr>
          <w:rFonts w:ascii="Times New Roman" w:hAnsi="Times New Roman"/>
          <w:b/>
          <w:sz w:val="24"/>
        </w:rPr>
        <w:tab/>
        <w:t xml:space="preserve">FARMAKOLOGICKÉ </w:t>
      </w:r>
      <w:r>
        <w:rPr>
          <w:rFonts w:ascii="Times New Roman" w:hAnsi="Times New Roman"/>
          <w:b/>
          <w:caps/>
          <w:sz w:val="24"/>
        </w:rPr>
        <w:t>informace</w:t>
      </w:r>
    </w:p>
    <w:p w:rsidR="00F21150" w:rsidRPr="009B33D6" w:rsidRDefault="00F21150" w:rsidP="007F11C2">
      <w:pPr>
        <w:keepNext/>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4.1</w:t>
      </w:r>
      <w:r>
        <w:rPr>
          <w:rFonts w:ascii="Times New Roman" w:hAnsi="Times New Roman"/>
          <w:sz w:val="24"/>
        </w:rPr>
        <w:tab/>
      </w:r>
      <w:proofErr w:type="spellStart"/>
      <w:r>
        <w:rPr>
          <w:rFonts w:ascii="Times New Roman" w:hAnsi="Times New Roman"/>
          <w:b/>
          <w:sz w:val="24"/>
        </w:rPr>
        <w:t>ATCvet</w:t>
      </w:r>
      <w:proofErr w:type="spellEnd"/>
      <w:r>
        <w:rPr>
          <w:rFonts w:ascii="Times New Roman" w:hAnsi="Times New Roman"/>
          <w:b/>
          <w:sz w:val="24"/>
        </w:rPr>
        <w:t xml:space="preserve"> kód: </w:t>
      </w:r>
      <w:r>
        <w:rPr>
          <w:rFonts w:ascii="Times New Roman" w:hAnsi="Times New Roman"/>
          <w:sz w:val="24"/>
        </w:rPr>
        <w:t>QJ01BA90</w:t>
      </w:r>
    </w:p>
    <w:p w:rsidR="00323C1A" w:rsidRPr="00AE6044" w:rsidRDefault="00323C1A" w:rsidP="00323C1A">
      <w:pPr>
        <w:tabs>
          <w:tab w:val="left" w:pos="567"/>
        </w:tabs>
        <w:ind w:left="567"/>
        <w:rPr>
          <w:rFonts w:ascii="Times New Roman" w:hAnsi="Times New Roman"/>
          <w:sz w:val="24"/>
        </w:rPr>
      </w:pPr>
    </w:p>
    <w:p w:rsidR="001B44D7" w:rsidRPr="00AE6044" w:rsidRDefault="00F21150" w:rsidP="00F21150">
      <w:pPr>
        <w:tabs>
          <w:tab w:val="left" w:pos="567"/>
        </w:tabs>
        <w:ind w:left="567" w:hanging="567"/>
        <w:rPr>
          <w:rFonts w:ascii="Times New Roman" w:hAnsi="Times New Roman"/>
          <w:b/>
          <w:sz w:val="24"/>
        </w:rPr>
      </w:pPr>
      <w:r>
        <w:rPr>
          <w:rFonts w:ascii="Times New Roman" w:hAnsi="Times New Roman"/>
          <w:b/>
          <w:sz w:val="24"/>
        </w:rPr>
        <w:t>4.2</w:t>
      </w:r>
      <w:r>
        <w:rPr>
          <w:rFonts w:ascii="Times New Roman" w:hAnsi="Times New Roman"/>
          <w:b/>
          <w:sz w:val="24"/>
        </w:rPr>
        <w:tab/>
        <w:t xml:space="preserve">Farmakodynamika </w:t>
      </w:r>
    </w:p>
    <w:p w:rsidR="001B44D7" w:rsidRPr="00AE6044" w:rsidRDefault="001B44D7" w:rsidP="00323C1A">
      <w:pPr>
        <w:tabs>
          <w:tab w:val="left" w:pos="567"/>
        </w:tabs>
        <w:ind w:left="567"/>
        <w:rPr>
          <w:rFonts w:ascii="Times New Roman" w:hAnsi="Times New Roman"/>
          <w:sz w:val="24"/>
        </w:rPr>
      </w:pPr>
    </w:p>
    <w:p w:rsidR="003F1C7F" w:rsidRDefault="003F1C7F" w:rsidP="003F1C7F">
      <w:pPr>
        <w:tabs>
          <w:tab w:val="left" w:pos="567"/>
        </w:tabs>
        <w:ind w:left="567"/>
        <w:jc w:val="both"/>
        <w:rPr>
          <w:rFonts w:ascii="Times New Roman" w:hAnsi="Times New Roman"/>
          <w:sz w:val="24"/>
        </w:rPr>
      </w:pPr>
      <w:r>
        <w:rPr>
          <w:rFonts w:ascii="Times New Roman" w:hAnsi="Times New Roman"/>
          <w:sz w:val="24"/>
        </w:rPr>
        <w:t xml:space="preserve">Florfenikol, širokospektré syntetické antibiotikum ze skupiny amfenikolů, působí prostřednictvím inhibice proteosyntézy na úrovni ribozomu, což vede k bakteriostatickému účinku. Studie </w:t>
      </w:r>
      <w:r>
        <w:rPr>
          <w:rFonts w:ascii="Times New Roman" w:hAnsi="Times New Roman"/>
          <w:i/>
          <w:sz w:val="24"/>
        </w:rPr>
        <w:t>in vitro</w:t>
      </w:r>
      <w:r>
        <w:rPr>
          <w:rFonts w:ascii="Times New Roman" w:hAnsi="Times New Roman"/>
          <w:sz w:val="24"/>
        </w:rPr>
        <w:t xml:space="preserve"> prokázaly, že florfenikol je účinný proti bakteriálním patogenům nejčastěji izolovaným při respiračních onemocněních prasat, včetně </w:t>
      </w:r>
      <w:r>
        <w:rPr>
          <w:rFonts w:ascii="Times New Roman" w:hAnsi="Times New Roman"/>
          <w:i/>
          <w:sz w:val="24"/>
        </w:rPr>
        <w:t>Actinobacillus pleuropneumoniae</w:t>
      </w:r>
      <w:r>
        <w:rPr>
          <w:rFonts w:ascii="Times New Roman" w:hAnsi="Times New Roman"/>
          <w:sz w:val="24"/>
        </w:rPr>
        <w:t xml:space="preserve"> a </w:t>
      </w:r>
      <w:r>
        <w:rPr>
          <w:rFonts w:ascii="Times New Roman" w:hAnsi="Times New Roman"/>
          <w:i/>
          <w:sz w:val="24"/>
        </w:rPr>
        <w:t>Pasteurella multocida</w:t>
      </w:r>
      <w:r>
        <w:rPr>
          <w:rFonts w:ascii="Times New Roman" w:hAnsi="Times New Roman"/>
          <w:sz w:val="24"/>
        </w:rPr>
        <w:t>.</w:t>
      </w:r>
    </w:p>
    <w:p w:rsidR="003F1C7F" w:rsidRPr="009B33D6" w:rsidRDefault="003F1C7F" w:rsidP="003F1C7F">
      <w:pPr>
        <w:tabs>
          <w:tab w:val="left" w:pos="567"/>
        </w:tabs>
        <w:ind w:left="567"/>
        <w:jc w:val="both"/>
        <w:rPr>
          <w:rFonts w:ascii="Times New Roman" w:hAnsi="Times New Roman"/>
          <w:sz w:val="24"/>
        </w:rPr>
      </w:pPr>
    </w:p>
    <w:p w:rsidR="00961FFB" w:rsidRDefault="003F1C7F" w:rsidP="00961FFB">
      <w:pPr>
        <w:tabs>
          <w:tab w:val="left" w:pos="567"/>
        </w:tabs>
        <w:ind w:left="567"/>
        <w:jc w:val="both"/>
        <w:rPr>
          <w:rFonts w:ascii="Times New Roman" w:hAnsi="Times New Roman"/>
          <w:sz w:val="24"/>
        </w:rPr>
      </w:pPr>
      <w:r>
        <w:rPr>
          <w:rFonts w:ascii="Times New Roman" w:hAnsi="Times New Roman"/>
          <w:sz w:val="24"/>
        </w:rPr>
        <w:t xml:space="preserve">Navíc florfenikol vykazuje baktericidní aktivitu </w:t>
      </w:r>
      <w:r>
        <w:rPr>
          <w:rFonts w:ascii="Times New Roman" w:hAnsi="Times New Roman"/>
          <w:i/>
          <w:sz w:val="24"/>
        </w:rPr>
        <w:t>in vitro</w:t>
      </w:r>
      <w:r>
        <w:rPr>
          <w:rFonts w:ascii="Times New Roman" w:hAnsi="Times New Roman"/>
          <w:sz w:val="24"/>
        </w:rPr>
        <w:t>, zejména pokud je přítomen v koncentracích přesahujících minimální inhibiční koncentraci (MIC) po dobu až 12 hodin.</w:t>
      </w:r>
    </w:p>
    <w:p w:rsidR="00961FFB" w:rsidRDefault="00961FFB" w:rsidP="00F15084">
      <w:pPr>
        <w:rPr>
          <w:rFonts w:ascii="Times New Roman" w:hAnsi="Times New Roman"/>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48"/>
        <w:gridCol w:w="747"/>
        <w:gridCol w:w="681"/>
        <w:gridCol w:w="417"/>
        <w:gridCol w:w="549"/>
        <w:gridCol w:w="681"/>
        <w:gridCol w:w="747"/>
        <w:gridCol w:w="660"/>
        <w:gridCol w:w="728"/>
        <w:gridCol w:w="956"/>
        <w:gridCol w:w="956"/>
      </w:tblGrid>
      <w:tr w:rsidR="002D2421" w:rsidRPr="00AE7C4C" w:rsidTr="00800C3C">
        <w:tc>
          <w:tcPr>
            <w:tcW w:w="0" w:type="auto"/>
            <w:gridSpan w:val="12"/>
            <w:shd w:val="clear" w:color="auto" w:fill="auto"/>
          </w:tcPr>
          <w:p w:rsidR="002D2421" w:rsidRPr="00800C3C" w:rsidRDefault="002D2421" w:rsidP="00800C3C">
            <w:pPr>
              <w:tabs>
                <w:tab w:val="left" w:pos="567"/>
              </w:tabs>
              <w:jc w:val="both"/>
              <w:rPr>
                <w:rFonts w:ascii="Times New Roman" w:hAnsi="Times New Roman"/>
                <w:bCs/>
                <w:sz w:val="20"/>
                <w:szCs w:val="20"/>
              </w:rPr>
            </w:pPr>
            <w:r w:rsidRPr="00800C3C">
              <w:rPr>
                <w:rFonts w:ascii="Times New Roman" w:hAnsi="Times New Roman"/>
                <w:sz w:val="20"/>
              </w:rPr>
              <w:t xml:space="preserve">Účinnost </w:t>
            </w:r>
            <w:proofErr w:type="spellStart"/>
            <w:r w:rsidRPr="00800C3C">
              <w:rPr>
                <w:rFonts w:ascii="Times New Roman" w:hAnsi="Times New Roman"/>
                <w:sz w:val="20"/>
              </w:rPr>
              <w:t>florfenikolu</w:t>
            </w:r>
            <w:proofErr w:type="spellEnd"/>
            <w:r w:rsidRPr="00800C3C">
              <w:rPr>
                <w:rFonts w:ascii="Times New Roman" w:hAnsi="Times New Roman"/>
                <w:sz w:val="20"/>
              </w:rPr>
              <w:t xml:space="preserve"> </w:t>
            </w:r>
            <w:r w:rsidR="00E37425">
              <w:rPr>
                <w:rFonts w:ascii="Times New Roman" w:hAnsi="Times New Roman"/>
                <w:sz w:val="20"/>
              </w:rPr>
              <w:t>u</w:t>
            </w:r>
            <w:r w:rsidR="00E37425" w:rsidRPr="00800C3C">
              <w:rPr>
                <w:rFonts w:ascii="Times New Roman" w:hAnsi="Times New Roman"/>
                <w:sz w:val="20"/>
              </w:rPr>
              <w:t xml:space="preserve"> </w:t>
            </w:r>
            <w:r w:rsidRPr="00800C3C">
              <w:rPr>
                <w:rFonts w:ascii="Times New Roman" w:hAnsi="Times New Roman"/>
                <w:sz w:val="20"/>
              </w:rPr>
              <w:t>149 izolát</w:t>
            </w:r>
            <w:r w:rsidR="00E37425">
              <w:rPr>
                <w:rFonts w:ascii="Times New Roman" w:hAnsi="Times New Roman"/>
                <w:sz w:val="20"/>
              </w:rPr>
              <w:t>ů</w:t>
            </w:r>
            <w:r w:rsidRPr="00800C3C">
              <w:rPr>
                <w:rFonts w:ascii="Times New Roman" w:hAnsi="Times New Roman"/>
                <w:sz w:val="20"/>
              </w:rPr>
              <w:t xml:space="preserve"> </w:t>
            </w:r>
            <w:r w:rsidRPr="00800C3C">
              <w:rPr>
                <w:rFonts w:ascii="Times New Roman" w:hAnsi="Times New Roman"/>
                <w:i/>
                <w:sz w:val="20"/>
              </w:rPr>
              <w:t xml:space="preserve">P. </w:t>
            </w:r>
            <w:proofErr w:type="spellStart"/>
            <w:r w:rsidRPr="00800C3C">
              <w:rPr>
                <w:rFonts w:ascii="Times New Roman" w:hAnsi="Times New Roman"/>
                <w:i/>
                <w:sz w:val="20"/>
              </w:rPr>
              <w:t>multocida</w:t>
            </w:r>
            <w:proofErr w:type="spellEnd"/>
            <w:r w:rsidRPr="00800C3C">
              <w:rPr>
                <w:rFonts w:ascii="Times New Roman" w:hAnsi="Times New Roman"/>
                <w:sz w:val="20"/>
              </w:rPr>
              <w:t xml:space="preserve"> kultivovaný</w:t>
            </w:r>
            <w:r w:rsidR="003C4552">
              <w:rPr>
                <w:rFonts w:ascii="Times New Roman" w:hAnsi="Times New Roman"/>
                <w:sz w:val="20"/>
              </w:rPr>
              <w:t>ch</w:t>
            </w:r>
            <w:r w:rsidRPr="00800C3C">
              <w:rPr>
                <w:rFonts w:ascii="Times New Roman" w:hAnsi="Times New Roman"/>
                <w:sz w:val="20"/>
              </w:rPr>
              <w:t xml:space="preserve"> z prasat s respiračním onemocněním z Belgie, Dánska, Francie, Německa, Nizozemska, Polska, Spojeného království a Španělska.</w:t>
            </w:r>
            <w:r w:rsidRPr="00800C3C">
              <w:rPr>
                <w:rFonts w:ascii="Times New Roman" w:hAnsi="Times New Roman"/>
                <w:sz w:val="20"/>
                <w:vertAlign w:val="superscript"/>
              </w:rPr>
              <w:t>1</w:t>
            </w:r>
          </w:p>
        </w:tc>
      </w:tr>
      <w:tr w:rsidR="001E5AF7" w:rsidRPr="0004128E" w:rsidTr="00800C3C">
        <w:trPr>
          <w:trHeight w:val="219"/>
        </w:trPr>
        <w:tc>
          <w:tcPr>
            <w:tcW w:w="0" w:type="auto"/>
            <w:gridSpan w:val="6"/>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Počet izolátů s MIC (</w:t>
            </w:r>
            <w:r w:rsidRPr="00DB152B">
              <w:rPr>
                <w:rFonts w:ascii="Times New Roman" w:hAnsi="Times New Roman"/>
                <w:sz w:val="20"/>
              </w:rPr>
              <w:t>μg/ml)</w:t>
            </w:r>
          </w:p>
        </w:tc>
        <w:tc>
          <w:tcPr>
            <w:tcW w:w="0" w:type="auto"/>
            <w:gridSpan w:val="2"/>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Citlivé</w:t>
            </w:r>
          </w:p>
        </w:tc>
        <w:tc>
          <w:tcPr>
            <w:tcW w:w="0" w:type="auto"/>
            <w:gridSpan w:val="2"/>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Rezistentní</w:t>
            </w:r>
          </w:p>
        </w:tc>
        <w:tc>
          <w:tcPr>
            <w:tcW w:w="0" w:type="auto"/>
            <w:gridSpan w:val="2"/>
            <w:shd w:val="clear" w:color="auto" w:fill="auto"/>
          </w:tcPr>
          <w:p w:rsidR="00AE7C4C" w:rsidRPr="00800C3C" w:rsidRDefault="00AE7C4C" w:rsidP="00800C3C">
            <w:pPr>
              <w:tabs>
                <w:tab w:val="left" w:pos="567"/>
              </w:tabs>
              <w:jc w:val="center"/>
              <w:rPr>
                <w:bCs/>
                <w:sz w:val="20"/>
                <w:szCs w:val="20"/>
              </w:rPr>
            </w:pPr>
            <w:r w:rsidRPr="00800C3C">
              <w:rPr>
                <w:rFonts w:ascii="Times New Roman" w:hAnsi="Times New Roman"/>
                <w:sz w:val="20"/>
              </w:rPr>
              <w:t>MIC (</w:t>
            </w:r>
            <w:r w:rsidRPr="00DB152B">
              <w:rPr>
                <w:rFonts w:ascii="Times New Roman" w:hAnsi="Times New Roman"/>
                <w:sz w:val="20"/>
              </w:rPr>
              <w:t>μg/ml)</w:t>
            </w:r>
          </w:p>
          <w:p w:rsidR="00AE7C4C" w:rsidRPr="00800C3C" w:rsidRDefault="00AE7C4C" w:rsidP="00800C3C">
            <w:pPr>
              <w:tabs>
                <w:tab w:val="left" w:pos="567"/>
              </w:tabs>
              <w:jc w:val="center"/>
              <w:rPr>
                <w:rFonts w:ascii="Times New Roman" w:hAnsi="Times New Roman"/>
                <w:bCs/>
                <w:sz w:val="20"/>
                <w:szCs w:val="20"/>
              </w:rPr>
            </w:pPr>
          </w:p>
        </w:tc>
      </w:tr>
      <w:tr w:rsidR="001E5AF7" w:rsidRPr="0004128E" w:rsidTr="00800C3C">
        <w:trPr>
          <w:trHeight w:val="325"/>
        </w:trPr>
        <w:tc>
          <w:tcPr>
            <w:tcW w:w="0" w:type="auto"/>
            <w:vMerge w:val="restart"/>
            <w:shd w:val="clear" w:color="auto" w:fill="auto"/>
          </w:tcPr>
          <w:p w:rsidR="00AE7C4C" w:rsidRPr="00800C3C" w:rsidRDefault="00AE7C4C" w:rsidP="00800C3C">
            <w:pPr>
              <w:tabs>
                <w:tab w:val="left" w:pos="567"/>
              </w:tabs>
              <w:jc w:val="both"/>
              <w:rPr>
                <w:rFonts w:ascii="Times New Roman" w:hAnsi="Times New Roman"/>
                <w:bCs/>
                <w:sz w:val="20"/>
                <w:szCs w:val="20"/>
              </w:rPr>
            </w:pPr>
            <w:r w:rsidRPr="00800C3C">
              <w:rPr>
                <w:rFonts w:ascii="Times New Roman" w:hAnsi="Times New Roman"/>
                <w:sz w:val="20"/>
              </w:rPr>
              <w:t>Florfenikol</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0,12</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0,25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32</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[n]</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[n]</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50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90</w:t>
            </w:r>
          </w:p>
        </w:tc>
      </w:tr>
      <w:tr w:rsidR="001E5AF7" w:rsidRPr="0004128E" w:rsidTr="00800C3C">
        <w:trPr>
          <w:trHeight w:val="64"/>
        </w:trPr>
        <w:tc>
          <w:tcPr>
            <w:tcW w:w="0" w:type="auto"/>
            <w:vMerge/>
            <w:shd w:val="clear" w:color="auto" w:fill="auto"/>
          </w:tcPr>
          <w:p w:rsidR="00AE7C4C" w:rsidRPr="00800C3C" w:rsidRDefault="00AE7C4C" w:rsidP="00800C3C">
            <w:pPr>
              <w:tabs>
                <w:tab w:val="left" w:pos="567"/>
              </w:tabs>
              <w:jc w:val="both"/>
              <w:rPr>
                <w:rFonts w:ascii="Times New Roman" w:hAnsi="Times New Roman"/>
                <w:bCs/>
                <w:sz w:val="20"/>
                <w:szCs w:val="20"/>
              </w:rPr>
            </w:pP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131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146</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98,0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2,0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r>
      <w:tr w:rsidR="000C4DAD" w:rsidRPr="0004128E" w:rsidTr="00800C3C">
        <w:trPr>
          <w:trHeight w:val="64"/>
        </w:trPr>
        <w:tc>
          <w:tcPr>
            <w:tcW w:w="0" w:type="auto"/>
            <w:gridSpan w:val="12"/>
            <w:shd w:val="clear" w:color="auto" w:fill="auto"/>
          </w:tcPr>
          <w:p w:rsidR="000C4DAD" w:rsidRPr="00800C3C" w:rsidRDefault="000C4DAD" w:rsidP="00800C3C">
            <w:pPr>
              <w:tabs>
                <w:tab w:val="left" w:pos="567"/>
              </w:tabs>
              <w:rPr>
                <w:rFonts w:cs="Arial"/>
                <w:bCs/>
                <w:sz w:val="16"/>
                <w:szCs w:val="16"/>
                <w:vertAlign w:val="superscript"/>
              </w:rPr>
            </w:pPr>
            <w:r w:rsidRPr="00800C3C">
              <w:rPr>
                <w:sz w:val="16"/>
                <w:vertAlign w:val="superscript"/>
              </w:rPr>
              <w:t xml:space="preserve">1 </w:t>
            </w:r>
            <w:r w:rsidRPr="00DB152B">
              <w:rPr>
                <w:rFonts w:ascii="Times New Roman" w:hAnsi="Times New Roman"/>
                <w:sz w:val="20"/>
              </w:rPr>
              <w:t>Izolováno v letech 2018–2020</w:t>
            </w:r>
          </w:p>
        </w:tc>
      </w:tr>
    </w:tbl>
    <w:p w:rsidR="002D2421" w:rsidRPr="00961FFB" w:rsidRDefault="002D2421" w:rsidP="00E11C02">
      <w:pPr>
        <w:tabs>
          <w:tab w:val="left" w:pos="567"/>
        </w:tabs>
        <w:ind w:left="567"/>
        <w:jc w:val="both"/>
        <w:rPr>
          <w:rFonts w:ascii="Times New Roman" w:hAnsi="Times New Roman"/>
          <w:bCs/>
          <w:sz w:val="24"/>
        </w:rPr>
      </w:pPr>
    </w:p>
    <w:p w:rsidR="00BB369E" w:rsidRDefault="00D41C04" w:rsidP="00DA1A87">
      <w:pPr>
        <w:rPr>
          <w:rFonts w:ascii="Times New Roman" w:hAnsi="Times New Roman"/>
          <w:sz w:val="24"/>
        </w:rPr>
      </w:pPr>
      <w:r>
        <w:rPr>
          <w:rFonts w:ascii="Times New Roman" w:hAnsi="Times New Roman"/>
          <w:sz w:val="24"/>
        </w:rPr>
        <w:br w:type="page"/>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28"/>
        <w:gridCol w:w="572"/>
        <w:gridCol w:w="350"/>
        <w:gridCol w:w="350"/>
        <w:gridCol w:w="350"/>
        <w:gridCol w:w="461"/>
        <w:gridCol w:w="572"/>
        <w:gridCol w:w="628"/>
        <w:gridCol w:w="681"/>
        <w:gridCol w:w="699"/>
        <w:gridCol w:w="579"/>
        <w:gridCol w:w="629"/>
        <w:gridCol w:w="803"/>
        <w:gridCol w:w="803"/>
      </w:tblGrid>
      <w:tr w:rsidR="0004128E" w:rsidRPr="00607EC9" w:rsidTr="00800C3C">
        <w:tc>
          <w:tcPr>
            <w:tcW w:w="0" w:type="auto"/>
            <w:gridSpan w:val="15"/>
            <w:shd w:val="clear" w:color="auto" w:fill="auto"/>
          </w:tcPr>
          <w:p w:rsidR="0004128E" w:rsidRPr="00800C3C" w:rsidRDefault="0004128E" w:rsidP="00800C3C">
            <w:pPr>
              <w:tabs>
                <w:tab w:val="left" w:pos="567"/>
              </w:tabs>
              <w:jc w:val="both"/>
              <w:rPr>
                <w:rFonts w:ascii="Times New Roman" w:hAnsi="Times New Roman"/>
                <w:bCs/>
                <w:sz w:val="20"/>
                <w:szCs w:val="20"/>
              </w:rPr>
            </w:pPr>
            <w:r w:rsidRPr="00800C3C">
              <w:rPr>
                <w:rFonts w:ascii="Times New Roman" w:hAnsi="Times New Roman"/>
                <w:sz w:val="20"/>
              </w:rPr>
              <w:lastRenderedPageBreak/>
              <w:t xml:space="preserve">Účinnost </w:t>
            </w:r>
            <w:proofErr w:type="spellStart"/>
            <w:r w:rsidRPr="00800C3C">
              <w:rPr>
                <w:rFonts w:ascii="Times New Roman" w:hAnsi="Times New Roman"/>
                <w:sz w:val="20"/>
              </w:rPr>
              <w:t>florfenikolu</w:t>
            </w:r>
            <w:proofErr w:type="spellEnd"/>
            <w:r w:rsidRPr="00800C3C">
              <w:rPr>
                <w:rFonts w:ascii="Times New Roman" w:hAnsi="Times New Roman"/>
                <w:sz w:val="20"/>
              </w:rPr>
              <w:t xml:space="preserve"> </w:t>
            </w:r>
            <w:r w:rsidR="00E37425">
              <w:rPr>
                <w:rFonts w:ascii="Times New Roman" w:hAnsi="Times New Roman"/>
                <w:sz w:val="20"/>
              </w:rPr>
              <w:t xml:space="preserve">u </w:t>
            </w:r>
            <w:r w:rsidRPr="00800C3C">
              <w:rPr>
                <w:rFonts w:ascii="Times New Roman" w:hAnsi="Times New Roman"/>
                <w:sz w:val="20"/>
              </w:rPr>
              <w:t xml:space="preserve">151 </w:t>
            </w:r>
            <w:proofErr w:type="gramStart"/>
            <w:r w:rsidRPr="00800C3C">
              <w:rPr>
                <w:rFonts w:ascii="Times New Roman" w:hAnsi="Times New Roman"/>
                <w:sz w:val="20"/>
              </w:rPr>
              <w:t xml:space="preserve">izolátů </w:t>
            </w:r>
            <w:r>
              <w:t xml:space="preserve"> </w:t>
            </w:r>
            <w:r w:rsidRPr="00800C3C">
              <w:rPr>
                <w:rFonts w:ascii="Times New Roman" w:hAnsi="Times New Roman"/>
                <w:i/>
                <w:sz w:val="20"/>
              </w:rPr>
              <w:t>A.</w:t>
            </w:r>
            <w:proofErr w:type="gramEnd"/>
            <w:r w:rsidRPr="00800C3C">
              <w:rPr>
                <w:rFonts w:ascii="Times New Roman" w:hAnsi="Times New Roman"/>
                <w:i/>
                <w:sz w:val="20"/>
              </w:rPr>
              <w:t xml:space="preserve"> </w:t>
            </w:r>
            <w:proofErr w:type="spellStart"/>
            <w:r w:rsidRPr="00800C3C">
              <w:rPr>
                <w:rFonts w:ascii="Times New Roman" w:hAnsi="Times New Roman"/>
                <w:i/>
                <w:sz w:val="20"/>
              </w:rPr>
              <w:t>pleuropneumoniae</w:t>
            </w:r>
            <w:proofErr w:type="spellEnd"/>
            <w:r w:rsidRPr="00800C3C">
              <w:rPr>
                <w:rFonts w:ascii="Times New Roman" w:hAnsi="Times New Roman"/>
                <w:i/>
                <w:sz w:val="20"/>
              </w:rPr>
              <w:t xml:space="preserve"> </w:t>
            </w:r>
            <w:r w:rsidRPr="00800C3C">
              <w:rPr>
                <w:rFonts w:ascii="Times New Roman" w:hAnsi="Times New Roman"/>
                <w:sz w:val="20"/>
              </w:rPr>
              <w:t>kultivovaný</w:t>
            </w:r>
            <w:r w:rsidR="003C4552">
              <w:rPr>
                <w:rFonts w:ascii="Times New Roman" w:hAnsi="Times New Roman"/>
                <w:sz w:val="20"/>
              </w:rPr>
              <w:t>ch</w:t>
            </w:r>
            <w:r w:rsidRPr="00800C3C">
              <w:rPr>
                <w:rFonts w:ascii="Times New Roman" w:hAnsi="Times New Roman"/>
                <w:sz w:val="20"/>
              </w:rPr>
              <w:t xml:space="preserve"> z prasat s respiračním onemocněním z Belgie, Dánska, Francie, Německa, Nizozemska, Polska, Spojeného království, Španělska a Švýcarska</w:t>
            </w:r>
            <w:r w:rsidRPr="00800C3C">
              <w:rPr>
                <w:rFonts w:ascii="Times New Roman" w:hAnsi="Times New Roman"/>
                <w:sz w:val="20"/>
                <w:vertAlign w:val="superscript"/>
              </w:rPr>
              <w:t>.1</w:t>
            </w:r>
          </w:p>
        </w:tc>
      </w:tr>
      <w:tr w:rsidR="001E5AF7" w:rsidRPr="0004128E" w:rsidTr="00800C3C">
        <w:trPr>
          <w:trHeight w:val="335"/>
        </w:trPr>
        <w:tc>
          <w:tcPr>
            <w:tcW w:w="0" w:type="auto"/>
            <w:gridSpan w:val="7"/>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Počet izolátů s MIC (</w:t>
            </w:r>
            <w:r w:rsidRPr="00DB152B">
              <w:rPr>
                <w:rFonts w:ascii="Times New Roman" w:hAnsi="Times New Roman"/>
                <w:sz w:val="20"/>
              </w:rPr>
              <w:t>μg/ml)</w:t>
            </w:r>
          </w:p>
        </w:tc>
        <w:tc>
          <w:tcPr>
            <w:tcW w:w="0" w:type="auto"/>
            <w:gridSpan w:val="2"/>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Citlivé</w:t>
            </w:r>
          </w:p>
        </w:tc>
        <w:tc>
          <w:tcPr>
            <w:tcW w:w="0" w:type="auto"/>
            <w:gridSpan w:val="2"/>
            <w:shd w:val="clear" w:color="auto" w:fill="auto"/>
          </w:tcPr>
          <w:p w:rsidR="0004128E" w:rsidRPr="00800C3C" w:rsidRDefault="003C4552" w:rsidP="00800C3C">
            <w:pPr>
              <w:tabs>
                <w:tab w:val="left" w:pos="567"/>
              </w:tabs>
              <w:jc w:val="center"/>
              <w:rPr>
                <w:rFonts w:ascii="Times New Roman" w:hAnsi="Times New Roman"/>
                <w:bCs/>
                <w:sz w:val="20"/>
                <w:szCs w:val="20"/>
              </w:rPr>
            </w:pPr>
            <w:r>
              <w:rPr>
                <w:rFonts w:ascii="Times New Roman" w:hAnsi="Times New Roman"/>
                <w:sz w:val="20"/>
              </w:rPr>
              <w:t>Intermediární</w:t>
            </w:r>
          </w:p>
        </w:tc>
        <w:tc>
          <w:tcPr>
            <w:tcW w:w="0" w:type="auto"/>
            <w:gridSpan w:val="2"/>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Rezistentní</w:t>
            </w:r>
          </w:p>
        </w:tc>
        <w:tc>
          <w:tcPr>
            <w:tcW w:w="0" w:type="auto"/>
            <w:gridSpan w:val="2"/>
            <w:shd w:val="clear" w:color="auto" w:fill="auto"/>
          </w:tcPr>
          <w:p w:rsidR="0004128E" w:rsidRPr="00B3750A" w:rsidRDefault="0004128E" w:rsidP="00800C3C">
            <w:pPr>
              <w:tabs>
                <w:tab w:val="left" w:pos="567"/>
              </w:tabs>
              <w:jc w:val="center"/>
              <w:rPr>
                <w:rFonts w:ascii="Times New Roman" w:hAnsi="Times New Roman"/>
                <w:sz w:val="20"/>
              </w:rPr>
            </w:pPr>
            <w:r w:rsidRPr="00800C3C">
              <w:rPr>
                <w:rFonts w:ascii="Times New Roman" w:hAnsi="Times New Roman"/>
                <w:sz w:val="20"/>
              </w:rPr>
              <w:t>MIC (</w:t>
            </w:r>
            <w:r w:rsidRPr="00DB152B">
              <w:rPr>
                <w:rFonts w:ascii="Times New Roman" w:hAnsi="Times New Roman"/>
                <w:sz w:val="20"/>
              </w:rPr>
              <w:t>μg/ml)</w:t>
            </w:r>
          </w:p>
          <w:p w:rsidR="0004128E" w:rsidRPr="00800C3C" w:rsidRDefault="0004128E" w:rsidP="00800C3C">
            <w:pPr>
              <w:tabs>
                <w:tab w:val="left" w:pos="567"/>
              </w:tabs>
              <w:jc w:val="center"/>
              <w:rPr>
                <w:rFonts w:ascii="Times New Roman" w:hAnsi="Times New Roman"/>
                <w:bCs/>
                <w:sz w:val="20"/>
                <w:szCs w:val="20"/>
              </w:rPr>
            </w:pPr>
          </w:p>
        </w:tc>
      </w:tr>
      <w:tr w:rsidR="003C4552" w:rsidRPr="0004128E" w:rsidTr="00800C3C">
        <w:tc>
          <w:tcPr>
            <w:tcW w:w="0" w:type="auto"/>
            <w:vMerge w:val="restart"/>
            <w:shd w:val="clear" w:color="auto" w:fill="auto"/>
          </w:tcPr>
          <w:p w:rsidR="0016386F" w:rsidRPr="00800C3C" w:rsidRDefault="0016386F" w:rsidP="00800C3C">
            <w:pPr>
              <w:tabs>
                <w:tab w:val="left" w:pos="567"/>
              </w:tabs>
              <w:jc w:val="both"/>
              <w:rPr>
                <w:rFonts w:ascii="Times New Roman" w:hAnsi="Times New Roman"/>
                <w:bCs/>
                <w:sz w:val="20"/>
                <w:szCs w:val="20"/>
              </w:rPr>
            </w:pPr>
            <w:r w:rsidRPr="00800C3C">
              <w:rPr>
                <w:rFonts w:ascii="Times New Roman" w:hAnsi="Times New Roman"/>
                <w:sz w:val="20"/>
              </w:rPr>
              <w:t>Florfenikol</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0,25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4</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8</w:t>
            </w:r>
          </w:p>
        </w:tc>
        <w:tc>
          <w:tcPr>
            <w:tcW w:w="0" w:type="auto"/>
            <w:shd w:val="clear" w:color="auto" w:fill="auto"/>
            <w:vAlign w:val="center"/>
          </w:tcPr>
          <w:p w:rsidR="0016386F" w:rsidRPr="00800C3C" w:rsidRDefault="0016386F" w:rsidP="00800C3C">
            <w:pPr>
              <w:pStyle w:val="Default"/>
              <w:jc w:val="center"/>
              <w:rPr>
                <w:bCs/>
                <w:sz w:val="20"/>
                <w:szCs w:val="20"/>
              </w:rPr>
            </w:pPr>
            <w:r w:rsidRPr="00800C3C">
              <w:rPr>
                <w:sz w:val="20"/>
              </w:rPr>
              <w:t>32</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50</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90</w:t>
            </w:r>
          </w:p>
        </w:tc>
      </w:tr>
      <w:tr w:rsidR="003C4552" w:rsidRPr="0004128E" w:rsidTr="00800C3C">
        <w:tc>
          <w:tcPr>
            <w:tcW w:w="0" w:type="auto"/>
            <w:vMerge/>
            <w:shd w:val="clear" w:color="auto" w:fill="auto"/>
          </w:tcPr>
          <w:p w:rsidR="0016386F" w:rsidRPr="00800C3C" w:rsidRDefault="0016386F" w:rsidP="00800C3C">
            <w:pPr>
              <w:tabs>
                <w:tab w:val="left" w:pos="567"/>
              </w:tabs>
              <w:jc w:val="both"/>
              <w:rPr>
                <w:rFonts w:ascii="Times New Roman" w:hAnsi="Times New Roman"/>
                <w:bCs/>
                <w:sz w:val="20"/>
                <w:szCs w:val="20"/>
              </w:rPr>
            </w:pP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135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2</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148</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98,0</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0,7</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2</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1,3</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r>
      <w:tr w:rsidR="000C4DAD" w:rsidRPr="0004128E" w:rsidTr="00800C3C">
        <w:tc>
          <w:tcPr>
            <w:tcW w:w="0" w:type="auto"/>
            <w:gridSpan w:val="15"/>
            <w:shd w:val="clear" w:color="auto" w:fill="auto"/>
          </w:tcPr>
          <w:p w:rsidR="000C4DAD" w:rsidRPr="00800C3C" w:rsidRDefault="000C4DAD" w:rsidP="00800C3C">
            <w:pPr>
              <w:tabs>
                <w:tab w:val="left" w:pos="567"/>
              </w:tabs>
              <w:rPr>
                <w:rFonts w:cs="Arial"/>
                <w:bCs/>
                <w:sz w:val="16"/>
                <w:szCs w:val="16"/>
              </w:rPr>
            </w:pPr>
            <w:r w:rsidRPr="00800C3C">
              <w:rPr>
                <w:sz w:val="16"/>
                <w:vertAlign w:val="superscript"/>
              </w:rPr>
              <w:t>1</w:t>
            </w:r>
            <w:r w:rsidRPr="00800C3C">
              <w:rPr>
                <w:sz w:val="16"/>
              </w:rPr>
              <w:t xml:space="preserve"> </w:t>
            </w:r>
            <w:r w:rsidRPr="00DB152B">
              <w:rPr>
                <w:rFonts w:ascii="Times New Roman" w:hAnsi="Times New Roman"/>
                <w:sz w:val="20"/>
              </w:rPr>
              <w:t>Izolováno v letech 2018–2020</w:t>
            </w:r>
          </w:p>
        </w:tc>
      </w:tr>
    </w:tbl>
    <w:p w:rsidR="00961FFB" w:rsidRDefault="00961FFB" w:rsidP="00961FFB">
      <w:pPr>
        <w:tabs>
          <w:tab w:val="left" w:pos="567"/>
        </w:tabs>
        <w:ind w:left="567"/>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1984"/>
        <w:gridCol w:w="1836"/>
      </w:tblGrid>
      <w:tr w:rsidR="008A765C" w:rsidRPr="00DB152B" w:rsidTr="00800C3C">
        <w:tc>
          <w:tcPr>
            <w:tcW w:w="2972" w:type="dxa"/>
            <w:vMerge w:val="restart"/>
            <w:shd w:val="clear" w:color="auto" w:fill="auto"/>
          </w:tcPr>
          <w:p w:rsidR="008A765C" w:rsidRPr="00D41C04" w:rsidRDefault="008A765C" w:rsidP="00800C3C">
            <w:pPr>
              <w:tabs>
                <w:tab w:val="left" w:pos="567"/>
              </w:tabs>
              <w:rPr>
                <w:rFonts w:ascii="Times New Roman" w:hAnsi="Times New Roman"/>
                <w:bCs/>
                <w:sz w:val="20"/>
                <w:szCs w:val="20"/>
              </w:rPr>
            </w:pPr>
            <w:r w:rsidRPr="00D41C04">
              <w:rPr>
                <w:rFonts w:ascii="Times New Roman" w:hAnsi="Times New Roman"/>
                <w:sz w:val="20"/>
              </w:rPr>
              <w:t>Organismus</w:t>
            </w:r>
          </w:p>
        </w:tc>
        <w:tc>
          <w:tcPr>
            <w:tcW w:w="5805" w:type="dxa"/>
            <w:gridSpan w:val="3"/>
            <w:shd w:val="clear" w:color="auto" w:fill="auto"/>
          </w:tcPr>
          <w:p w:rsidR="008A765C" w:rsidRPr="00507948" w:rsidRDefault="008A765C" w:rsidP="00800C3C">
            <w:pPr>
              <w:tabs>
                <w:tab w:val="left" w:pos="567"/>
              </w:tabs>
              <w:jc w:val="center"/>
              <w:rPr>
                <w:rFonts w:ascii="Times New Roman" w:hAnsi="Times New Roman"/>
                <w:bCs/>
                <w:sz w:val="20"/>
                <w:szCs w:val="20"/>
                <w:vertAlign w:val="superscript"/>
              </w:rPr>
            </w:pPr>
            <w:r w:rsidRPr="00D41C04">
              <w:rPr>
                <w:rFonts w:ascii="Times New Roman" w:hAnsi="Times New Roman"/>
                <w:sz w:val="20"/>
              </w:rPr>
              <w:t>Breakpointy pro minimální inhibiční koncentraci florfenikolu (µg/ml)</w:t>
            </w:r>
            <w:r w:rsidRPr="00D41C04">
              <w:rPr>
                <w:rFonts w:ascii="Times New Roman" w:hAnsi="Times New Roman"/>
                <w:sz w:val="20"/>
                <w:vertAlign w:val="superscript"/>
              </w:rPr>
              <w:t>2,3</w:t>
            </w:r>
          </w:p>
        </w:tc>
      </w:tr>
      <w:tr w:rsidR="008A765C" w:rsidRPr="00DB152B" w:rsidTr="00800C3C">
        <w:tc>
          <w:tcPr>
            <w:tcW w:w="2972" w:type="dxa"/>
            <w:vMerge/>
            <w:shd w:val="clear" w:color="auto" w:fill="auto"/>
          </w:tcPr>
          <w:p w:rsidR="008A765C" w:rsidRPr="00DB152B" w:rsidRDefault="008A765C" w:rsidP="00800C3C">
            <w:pPr>
              <w:tabs>
                <w:tab w:val="left" w:pos="567"/>
              </w:tabs>
              <w:rPr>
                <w:rFonts w:ascii="Times New Roman" w:hAnsi="Times New Roman"/>
                <w:bCs/>
                <w:sz w:val="20"/>
                <w:szCs w:val="20"/>
              </w:rPr>
            </w:pPr>
          </w:p>
        </w:tc>
        <w:tc>
          <w:tcPr>
            <w:tcW w:w="1985" w:type="dxa"/>
            <w:shd w:val="clear" w:color="auto" w:fill="auto"/>
          </w:tcPr>
          <w:p w:rsidR="008A765C" w:rsidRPr="00DB152B"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Citlivé</w:t>
            </w:r>
          </w:p>
        </w:tc>
        <w:tc>
          <w:tcPr>
            <w:tcW w:w="1984" w:type="dxa"/>
            <w:shd w:val="clear" w:color="auto" w:fill="auto"/>
          </w:tcPr>
          <w:p w:rsidR="008A765C" w:rsidRPr="00B3750A" w:rsidRDefault="003C4552" w:rsidP="00800C3C">
            <w:pPr>
              <w:tabs>
                <w:tab w:val="left" w:pos="567"/>
              </w:tabs>
              <w:jc w:val="center"/>
              <w:rPr>
                <w:rFonts w:ascii="Times New Roman" w:hAnsi="Times New Roman"/>
                <w:bCs/>
                <w:sz w:val="20"/>
                <w:szCs w:val="20"/>
              </w:rPr>
            </w:pPr>
            <w:r>
              <w:rPr>
                <w:rFonts w:ascii="Times New Roman" w:hAnsi="Times New Roman"/>
                <w:sz w:val="20"/>
              </w:rPr>
              <w:t>Intermediární</w:t>
            </w:r>
          </w:p>
        </w:tc>
        <w:tc>
          <w:tcPr>
            <w:tcW w:w="1836" w:type="dxa"/>
            <w:shd w:val="clear" w:color="auto" w:fill="auto"/>
          </w:tcPr>
          <w:p w:rsidR="008A765C" w:rsidRPr="00B54E01" w:rsidRDefault="008A765C" w:rsidP="00800C3C">
            <w:pPr>
              <w:tabs>
                <w:tab w:val="left" w:pos="567"/>
              </w:tabs>
              <w:jc w:val="center"/>
              <w:rPr>
                <w:rFonts w:ascii="Times New Roman" w:hAnsi="Times New Roman"/>
                <w:bCs/>
                <w:sz w:val="20"/>
                <w:szCs w:val="20"/>
              </w:rPr>
            </w:pPr>
            <w:r w:rsidRPr="00120E05">
              <w:rPr>
                <w:rFonts w:ascii="Times New Roman" w:hAnsi="Times New Roman"/>
                <w:sz w:val="20"/>
              </w:rPr>
              <w:t>Rezistentní</w:t>
            </w:r>
          </w:p>
        </w:tc>
      </w:tr>
      <w:tr w:rsidR="008A765C" w:rsidRPr="00DB152B" w:rsidTr="00800C3C">
        <w:tc>
          <w:tcPr>
            <w:tcW w:w="2972" w:type="dxa"/>
            <w:shd w:val="clear" w:color="auto" w:fill="auto"/>
          </w:tcPr>
          <w:p w:rsidR="008A765C" w:rsidRPr="00D41C04" w:rsidRDefault="008A765C" w:rsidP="00800C3C">
            <w:pPr>
              <w:tabs>
                <w:tab w:val="left" w:pos="567"/>
              </w:tabs>
              <w:rPr>
                <w:rFonts w:ascii="Times New Roman" w:hAnsi="Times New Roman"/>
                <w:bCs/>
                <w:i/>
                <w:iCs/>
                <w:sz w:val="20"/>
                <w:szCs w:val="20"/>
              </w:rPr>
            </w:pPr>
            <w:r w:rsidRPr="00D41C04">
              <w:rPr>
                <w:rFonts w:ascii="Times New Roman" w:hAnsi="Times New Roman"/>
                <w:i/>
                <w:sz w:val="20"/>
              </w:rPr>
              <w:t xml:space="preserve">Actinobacillus pleuropneumoniae </w:t>
            </w:r>
          </w:p>
        </w:tc>
        <w:tc>
          <w:tcPr>
            <w:tcW w:w="1985"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≤2</w:t>
            </w:r>
          </w:p>
        </w:tc>
        <w:tc>
          <w:tcPr>
            <w:tcW w:w="1984"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4</w:t>
            </w:r>
          </w:p>
        </w:tc>
        <w:tc>
          <w:tcPr>
            <w:tcW w:w="1836"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≥8</w:t>
            </w:r>
          </w:p>
        </w:tc>
      </w:tr>
      <w:tr w:rsidR="008A765C" w:rsidRPr="00DB152B" w:rsidTr="00800C3C">
        <w:tc>
          <w:tcPr>
            <w:tcW w:w="2972" w:type="dxa"/>
            <w:shd w:val="clear" w:color="auto" w:fill="auto"/>
          </w:tcPr>
          <w:p w:rsidR="008A765C" w:rsidRPr="00D41C04" w:rsidRDefault="008A765C" w:rsidP="00800C3C">
            <w:pPr>
              <w:tabs>
                <w:tab w:val="left" w:pos="567"/>
              </w:tabs>
              <w:rPr>
                <w:rFonts w:ascii="Times New Roman" w:hAnsi="Times New Roman"/>
                <w:bCs/>
                <w:i/>
                <w:iCs/>
                <w:sz w:val="20"/>
                <w:szCs w:val="20"/>
              </w:rPr>
            </w:pPr>
            <w:r w:rsidRPr="00D41C04">
              <w:rPr>
                <w:rFonts w:ascii="Times New Roman" w:hAnsi="Times New Roman"/>
                <w:i/>
                <w:sz w:val="20"/>
              </w:rPr>
              <w:t>Pasteurella multocida</w:t>
            </w:r>
          </w:p>
        </w:tc>
        <w:tc>
          <w:tcPr>
            <w:tcW w:w="1985"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≤2</w:t>
            </w:r>
          </w:p>
        </w:tc>
        <w:tc>
          <w:tcPr>
            <w:tcW w:w="1984"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4</w:t>
            </w:r>
          </w:p>
        </w:tc>
        <w:tc>
          <w:tcPr>
            <w:tcW w:w="1836"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≥8</w:t>
            </w:r>
          </w:p>
        </w:tc>
      </w:tr>
      <w:tr w:rsidR="008A765C" w:rsidRPr="00DB152B" w:rsidTr="00800C3C">
        <w:tc>
          <w:tcPr>
            <w:tcW w:w="8777" w:type="dxa"/>
            <w:gridSpan w:val="4"/>
            <w:shd w:val="clear" w:color="auto" w:fill="auto"/>
          </w:tcPr>
          <w:p w:rsidR="008A765C" w:rsidRPr="00DB152B" w:rsidRDefault="000C4DAD" w:rsidP="00800C3C">
            <w:pPr>
              <w:tabs>
                <w:tab w:val="left" w:pos="567"/>
              </w:tabs>
              <w:rPr>
                <w:rFonts w:ascii="Times New Roman" w:hAnsi="Times New Roman"/>
                <w:sz w:val="16"/>
                <w:szCs w:val="16"/>
              </w:rPr>
            </w:pPr>
            <w:r w:rsidRPr="00DB152B">
              <w:rPr>
                <w:rFonts w:ascii="Times New Roman" w:hAnsi="Times New Roman"/>
                <w:sz w:val="16"/>
                <w:vertAlign w:val="superscript"/>
              </w:rPr>
              <w:t>2</w:t>
            </w:r>
            <w:r w:rsidRPr="00DB152B">
              <w:rPr>
                <w:rFonts w:ascii="Times New Roman" w:hAnsi="Times New Roman"/>
                <w:sz w:val="16"/>
              </w:rPr>
              <w:t xml:space="preserve"> Clinical and Laboratory Standards Institute (CLSI). 2018. Performance Standards for Antimicrobial Disk and Dilution Susceptibility Tests for Bacteria Isolated From Animals (Výkonnostní normy pro testy citlivosti na antimikrobiální látky formou diskového testu a ředění u bakterií izolovaných ze zvířat): 4. vydání. CLSI supplement VET08. Clinical and Laboratory Standards Institute</w:t>
            </w:r>
          </w:p>
          <w:p w:rsidR="008841A3" w:rsidRPr="00D41C04" w:rsidRDefault="000C4DAD" w:rsidP="00800C3C">
            <w:pPr>
              <w:tabs>
                <w:tab w:val="left" w:pos="567"/>
              </w:tabs>
              <w:rPr>
                <w:rFonts w:ascii="Times New Roman" w:hAnsi="Times New Roman"/>
                <w:bCs/>
                <w:sz w:val="20"/>
                <w:szCs w:val="20"/>
              </w:rPr>
            </w:pPr>
            <w:r w:rsidRPr="00DB152B">
              <w:rPr>
                <w:rFonts w:ascii="Times New Roman" w:hAnsi="Times New Roman"/>
                <w:sz w:val="16"/>
                <w:vertAlign w:val="superscript"/>
              </w:rPr>
              <w:t>3</w:t>
            </w:r>
            <w:r w:rsidRPr="00DB152B">
              <w:rPr>
                <w:rFonts w:ascii="Times New Roman" w:hAnsi="Times New Roman"/>
                <w:sz w:val="16"/>
              </w:rPr>
              <w:t xml:space="preserve"> CLSI. 2017. Methods for Susceptibility Testing of Infrequently Isolated or Fastidious Bacteria Isolated From Animals (Metody testování citlivosti zřídka izolovaných nebo obtížně kultivovatelných bakterií izolovaných ze zvířat). 1. vydání. CLSI supplement VET06. Clinical and Laboratory Standards Institute</w:t>
            </w:r>
          </w:p>
        </w:tc>
      </w:tr>
    </w:tbl>
    <w:p w:rsidR="008A765C" w:rsidRDefault="008A765C" w:rsidP="00DA1A87">
      <w:pPr>
        <w:tabs>
          <w:tab w:val="left" w:pos="567"/>
        </w:tabs>
        <w:jc w:val="both"/>
        <w:rPr>
          <w:rFonts w:ascii="Times New Roman" w:hAnsi="Times New Roman"/>
          <w:bCs/>
          <w:sz w:val="24"/>
        </w:rPr>
      </w:pPr>
    </w:p>
    <w:p w:rsidR="00961FFB" w:rsidRDefault="00961FFB" w:rsidP="006E6E57">
      <w:pPr>
        <w:tabs>
          <w:tab w:val="left" w:pos="567"/>
        </w:tabs>
        <w:ind w:left="567"/>
        <w:jc w:val="both"/>
        <w:rPr>
          <w:rFonts w:ascii="Times New Roman" w:hAnsi="Times New Roman"/>
          <w:bCs/>
          <w:sz w:val="24"/>
        </w:rPr>
      </w:pPr>
      <w:r>
        <w:rPr>
          <w:rFonts w:ascii="Times New Roman" w:hAnsi="Times New Roman"/>
          <w:sz w:val="24"/>
        </w:rPr>
        <w:t xml:space="preserve">Rezistence k florfenikolu se nachází v genu floR, který je silně spojen s efluxní pumpou floR, která je obvykle zprostředkována plazmidy a přenáší se horizontálně na jiné druhy čeledi </w:t>
      </w:r>
      <w:r w:rsidRPr="00DB152B">
        <w:rPr>
          <w:rFonts w:ascii="Times New Roman" w:hAnsi="Times New Roman"/>
          <w:i/>
          <w:sz w:val="24"/>
        </w:rPr>
        <w:t>Pasteurellaceae</w:t>
      </w:r>
      <w:r>
        <w:rPr>
          <w:rFonts w:ascii="Times New Roman" w:hAnsi="Times New Roman"/>
          <w:sz w:val="24"/>
        </w:rPr>
        <w:t xml:space="preserve">. U druhů z čeledi </w:t>
      </w:r>
      <w:r>
        <w:rPr>
          <w:rFonts w:ascii="Times New Roman" w:hAnsi="Times New Roman"/>
          <w:i/>
          <w:sz w:val="24"/>
        </w:rPr>
        <w:t>Pasteurellaceae</w:t>
      </w:r>
      <w:r>
        <w:rPr>
          <w:rFonts w:ascii="Times New Roman" w:hAnsi="Times New Roman"/>
          <w:sz w:val="24"/>
        </w:rPr>
        <w:t xml:space="preserve"> byly jako nosiče floR genů zjištěny přinejmenším tyto plazmidy: pFA11, pMAF5, pMAF6, pM3446F, p518, pCCK381, pCCK1900.</w:t>
      </w:r>
    </w:p>
    <w:p w:rsidR="00961FFB" w:rsidRDefault="00961FFB" w:rsidP="00961FFB">
      <w:pPr>
        <w:tabs>
          <w:tab w:val="left" w:pos="567"/>
        </w:tabs>
        <w:ind w:left="567"/>
        <w:jc w:val="both"/>
        <w:rPr>
          <w:rFonts w:ascii="Times New Roman" w:hAnsi="Times New Roman"/>
          <w:bCs/>
          <w:sz w:val="24"/>
        </w:rPr>
      </w:pPr>
    </w:p>
    <w:p w:rsidR="0033426C" w:rsidRPr="006E6E57" w:rsidRDefault="0033426C" w:rsidP="0033426C">
      <w:pPr>
        <w:tabs>
          <w:tab w:val="left" w:pos="567"/>
        </w:tabs>
        <w:ind w:left="567"/>
        <w:jc w:val="both"/>
        <w:rPr>
          <w:rFonts w:ascii="Times New Roman" w:hAnsi="Times New Roman"/>
          <w:bCs/>
          <w:sz w:val="24"/>
        </w:rPr>
      </w:pPr>
      <w:r>
        <w:rPr>
          <w:rFonts w:ascii="Times New Roman" w:hAnsi="Times New Roman"/>
          <w:sz w:val="24"/>
        </w:rPr>
        <w:t xml:space="preserve">Rezistence na florfenikol byla zjištěna také u </w:t>
      </w:r>
      <w:proofErr w:type="spellStart"/>
      <w:r>
        <w:rPr>
          <w:rFonts w:ascii="Times New Roman" w:hAnsi="Times New Roman"/>
          <w:i/>
          <w:sz w:val="24"/>
        </w:rPr>
        <w:t>Salmonella</w:t>
      </w:r>
      <w:proofErr w:type="spellEnd"/>
      <w:r>
        <w:rPr>
          <w:rFonts w:ascii="Times New Roman" w:hAnsi="Times New Roman"/>
          <w:i/>
          <w:sz w:val="24"/>
        </w:rPr>
        <w:t xml:space="preserve"> </w:t>
      </w:r>
      <w:proofErr w:type="spellStart"/>
      <w:r>
        <w:rPr>
          <w:rFonts w:ascii="Times New Roman" w:hAnsi="Times New Roman"/>
          <w:i/>
          <w:sz w:val="24"/>
        </w:rPr>
        <w:t>typhimurium</w:t>
      </w:r>
      <w:proofErr w:type="spellEnd"/>
      <w:r>
        <w:rPr>
          <w:rFonts w:ascii="Times New Roman" w:hAnsi="Times New Roman"/>
          <w:sz w:val="24"/>
        </w:rPr>
        <w:t xml:space="preserve"> a dalších </w:t>
      </w:r>
      <w:r w:rsidR="002D1634">
        <w:rPr>
          <w:rFonts w:ascii="Times New Roman" w:hAnsi="Times New Roman"/>
          <w:sz w:val="24"/>
        </w:rPr>
        <w:t>původců alimentárních onemocnění</w:t>
      </w:r>
      <w:r>
        <w:rPr>
          <w:rFonts w:ascii="Times New Roman" w:hAnsi="Times New Roman"/>
          <w:sz w:val="24"/>
        </w:rPr>
        <w:t>.</w:t>
      </w:r>
    </w:p>
    <w:p w:rsidR="0033426C" w:rsidRPr="006E6E57" w:rsidRDefault="0033426C" w:rsidP="0033426C">
      <w:pPr>
        <w:tabs>
          <w:tab w:val="left" w:pos="567"/>
        </w:tabs>
        <w:ind w:left="567"/>
        <w:jc w:val="both"/>
        <w:rPr>
          <w:rFonts w:ascii="Times New Roman" w:hAnsi="Times New Roman"/>
          <w:bCs/>
          <w:sz w:val="24"/>
        </w:rPr>
      </w:pPr>
    </w:p>
    <w:p w:rsidR="0033426C" w:rsidRDefault="0033426C" w:rsidP="008E779F">
      <w:pPr>
        <w:tabs>
          <w:tab w:val="left" w:pos="567"/>
        </w:tabs>
        <w:ind w:left="567"/>
        <w:rPr>
          <w:rFonts w:ascii="Times New Roman" w:hAnsi="Times New Roman"/>
          <w:bCs/>
          <w:sz w:val="24"/>
        </w:rPr>
      </w:pPr>
      <w:r>
        <w:rPr>
          <w:rFonts w:ascii="Times New Roman" w:hAnsi="Times New Roman"/>
          <w:sz w:val="24"/>
        </w:rPr>
        <w:t>Mezi látkami z třídy fenikolů existuje zkřížená rezistence. Kromě toho byly identifikovány další geny rezistence, které mohou být na plazmidech nebo transpozonech, jako je gen cfr, který způsobuje zkříženou rezistenci mezi pleuromutiliny, oxazolidinony, fenikoly, streptograminem A a linkosamidy.</w:t>
      </w:r>
    </w:p>
    <w:p w:rsidR="00C56030" w:rsidRPr="009B33D6" w:rsidRDefault="00C56030" w:rsidP="00A92FBB">
      <w:pPr>
        <w:tabs>
          <w:tab w:val="left" w:pos="567"/>
        </w:tabs>
        <w:rPr>
          <w:rFonts w:ascii="Times New Roman" w:hAnsi="Times New Roman"/>
          <w:sz w:val="24"/>
        </w:rPr>
      </w:pPr>
    </w:p>
    <w:p w:rsidR="001B44D7" w:rsidRPr="00AE6044" w:rsidRDefault="00F21150" w:rsidP="00F21150">
      <w:pPr>
        <w:tabs>
          <w:tab w:val="left" w:pos="567"/>
        </w:tabs>
        <w:ind w:left="567" w:hanging="567"/>
        <w:rPr>
          <w:rFonts w:ascii="Times New Roman" w:hAnsi="Times New Roman"/>
          <w:b/>
          <w:sz w:val="24"/>
        </w:rPr>
      </w:pPr>
      <w:r>
        <w:rPr>
          <w:rFonts w:ascii="Times New Roman" w:hAnsi="Times New Roman"/>
          <w:b/>
          <w:sz w:val="24"/>
        </w:rPr>
        <w:t>4.3</w:t>
      </w:r>
      <w:r>
        <w:rPr>
          <w:rFonts w:ascii="Times New Roman" w:hAnsi="Times New Roman"/>
          <w:b/>
          <w:sz w:val="24"/>
        </w:rPr>
        <w:tab/>
        <w:t xml:space="preserve">Farmakokinetika </w:t>
      </w:r>
    </w:p>
    <w:p w:rsidR="00AD6106" w:rsidRPr="00AE6044" w:rsidRDefault="00AD6106" w:rsidP="00323C1A">
      <w:pPr>
        <w:tabs>
          <w:tab w:val="left" w:pos="567"/>
        </w:tabs>
        <w:ind w:left="567"/>
        <w:rPr>
          <w:rFonts w:ascii="Times New Roman" w:hAnsi="Times New Roman"/>
          <w:sz w:val="24"/>
        </w:rPr>
      </w:pPr>
    </w:p>
    <w:p w:rsidR="00A92FBB" w:rsidRPr="00A92FBB" w:rsidRDefault="00A92FBB" w:rsidP="00A92FBB">
      <w:pPr>
        <w:tabs>
          <w:tab w:val="left" w:pos="567"/>
        </w:tabs>
        <w:ind w:left="567"/>
        <w:jc w:val="both"/>
        <w:rPr>
          <w:rFonts w:ascii="Times New Roman" w:hAnsi="Times New Roman"/>
          <w:sz w:val="24"/>
        </w:rPr>
      </w:pPr>
      <w:r>
        <w:rPr>
          <w:rFonts w:ascii="Times New Roman" w:hAnsi="Times New Roman"/>
          <w:sz w:val="24"/>
        </w:rPr>
        <w:t xml:space="preserve">Po podání 15 mg/kg </w:t>
      </w:r>
      <w:r w:rsidR="003776BC">
        <w:rPr>
          <w:rFonts w:ascii="Times New Roman" w:hAnsi="Times New Roman"/>
          <w:sz w:val="24"/>
        </w:rPr>
        <w:t xml:space="preserve">sondou </w:t>
      </w:r>
      <w:r>
        <w:rPr>
          <w:rFonts w:ascii="Times New Roman" w:hAnsi="Times New Roman"/>
          <w:sz w:val="24"/>
        </w:rPr>
        <w:t xml:space="preserve">prasatům za experimentálních podmínek byla absorpce </w:t>
      </w:r>
      <w:proofErr w:type="spellStart"/>
      <w:r>
        <w:rPr>
          <w:rFonts w:ascii="Times New Roman" w:hAnsi="Times New Roman"/>
          <w:sz w:val="24"/>
        </w:rPr>
        <w:t>florfenikolu</w:t>
      </w:r>
      <w:proofErr w:type="spellEnd"/>
      <w:r>
        <w:rPr>
          <w:rFonts w:ascii="Times New Roman" w:hAnsi="Times New Roman"/>
          <w:sz w:val="24"/>
        </w:rPr>
        <w:t xml:space="preserve"> proměnlivá, ale </w:t>
      </w:r>
      <w:r w:rsidR="003D4ED8">
        <w:rPr>
          <w:rFonts w:ascii="Times New Roman" w:hAnsi="Times New Roman"/>
          <w:sz w:val="24"/>
        </w:rPr>
        <w:t xml:space="preserve">maximální </w:t>
      </w:r>
      <w:r>
        <w:rPr>
          <w:rFonts w:ascii="Times New Roman" w:hAnsi="Times New Roman"/>
          <w:sz w:val="24"/>
        </w:rPr>
        <w:t>sérové koncentrace v hodnotě přibližně 5 μg/ml bylo dosaženo přibližně 2 hodiny po podání dávky. Terminální poločas se pohyboval mezi 2 a 3 hodinami. Když byl prasatům po dobu 5 dnů umožněn volný přístup k vodě medikované florfenikolem v koncentraci 100 mg florfenikolu na litr vody, sérové koncentrace florfenikolu přesáhly 1 μg/ml po celou dobu 5 dnů léčby s výjimkou několika krátkých poklesů pod 1 μg/ml.</w:t>
      </w:r>
    </w:p>
    <w:p w:rsidR="00A92FBB" w:rsidRPr="00A92FBB" w:rsidRDefault="00A92FBB" w:rsidP="00A92FBB">
      <w:pPr>
        <w:tabs>
          <w:tab w:val="left" w:pos="567"/>
        </w:tabs>
        <w:ind w:left="567"/>
        <w:jc w:val="both"/>
        <w:rPr>
          <w:rFonts w:ascii="Times New Roman" w:hAnsi="Times New Roman"/>
          <w:sz w:val="24"/>
        </w:rPr>
      </w:pPr>
      <w:r>
        <w:rPr>
          <w:rFonts w:ascii="Times New Roman" w:hAnsi="Times New Roman"/>
          <w:sz w:val="24"/>
        </w:rPr>
        <w:t>Po absorpci a distribuci je florfenikol prasaty rozsáhle metabolizován a rychle eliminován, především močí.</w:t>
      </w:r>
    </w:p>
    <w:p w:rsidR="006235F7" w:rsidRDefault="00A92FBB" w:rsidP="00D0368B">
      <w:pPr>
        <w:tabs>
          <w:tab w:val="left" w:pos="567"/>
        </w:tabs>
        <w:ind w:left="567"/>
        <w:jc w:val="both"/>
        <w:rPr>
          <w:rFonts w:ascii="Times New Roman" w:hAnsi="Times New Roman"/>
          <w:sz w:val="24"/>
        </w:rPr>
      </w:pPr>
      <w:r>
        <w:rPr>
          <w:rFonts w:ascii="Times New Roman" w:hAnsi="Times New Roman"/>
          <w:sz w:val="24"/>
        </w:rPr>
        <w:t xml:space="preserve">Bylo prokázáno, že po parenterálním podání florfenikolu prasatům jsou koncentrace </w:t>
      </w:r>
      <w:r w:rsidR="00D41C04">
        <w:rPr>
          <w:rFonts w:ascii="Times New Roman" w:hAnsi="Times New Roman"/>
          <w:sz w:val="24"/>
        </w:rPr>
        <w:t>v </w:t>
      </w:r>
      <w:r>
        <w:rPr>
          <w:rFonts w:ascii="Times New Roman" w:hAnsi="Times New Roman"/>
          <w:sz w:val="24"/>
        </w:rPr>
        <w:t>plicích podobné koncentracím v séru.</w:t>
      </w:r>
    </w:p>
    <w:p w:rsidR="00362C19" w:rsidRPr="009B33D6" w:rsidRDefault="00362C19" w:rsidP="00D0368B">
      <w:pPr>
        <w:tabs>
          <w:tab w:val="left" w:pos="567"/>
        </w:tabs>
        <w:ind w:left="567"/>
        <w:jc w:val="both"/>
        <w:rPr>
          <w:rFonts w:ascii="Times New Roman" w:hAnsi="Times New Roman"/>
          <w:sz w:val="24"/>
        </w:rPr>
      </w:pPr>
    </w:p>
    <w:p w:rsidR="00362C19" w:rsidRPr="00DA1A87" w:rsidRDefault="00362C19" w:rsidP="00D41C04">
      <w:pPr>
        <w:keepNext/>
        <w:tabs>
          <w:tab w:val="left" w:pos="567"/>
        </w:tabs>
        <w:ind w:left="567"/>
        <w:jc w:val="both"/>
        <w:rPr>
          <w:rFonts w:ascii="Times New Roman" w:hAnsi="Times New Roman"/>
          <w:b/>
          <w:bCs/>
          <w:sz w:val="24"/>
        </w:rPr>
      </w:pPr>
      <w:r>
        <w:rPr>
          <w:rFonts w:ascii="Times New Roman" w:hAnsi="Times New Roman"/>
          <w:b/>
          <w:sz w:val="24"/>
        </w:rPr>
        <w:t>Environmentální vlastnosti</w:t>
      </w:r>
    </w:p>
    <w:p w:rsidR="00362C19" w:rsidRDefault="00362C19" w:rsidP="00D0368B">
      <w:pPr>
        <w:tabs>
          <w:tab w:val="left" w:pos="567"/>
        </w:tabs>
        <w:ind w:left="567"/>
        <w:jc w:val="both"/>
        <w:rPr>
          <w:rFonts w:ascii="Times New Roman" w:hAnsi="Times New Roman"/>
          <w:sz w:val="24"/>
        </w:rPr>
      </w:pPr>
      <w:r>
        <w:rPr>
          <w:rFonts w:ascii="Times New Roman" w:hAnsi="Times New Roman"/>
          <w:sz w:val="24"/>
        </w:rPr>
        <w:t>Florfenikol je toxický pro suchozemské rostliny, sinice a organismy v podzemních vodách.</w:t>
      </w:r>
    </w:p>
    <w:p w:rsidR="006235F7" w:rsidRDefault="006235F7" w:rsidP="006235F7">
      <w:pPr>
        <w:tabs>
          <w:tab w:val="left" w:pos="567"/>
        </w:tabs>
        <w:ind w:left="567" w:hanging="567"/>
        <w:jc w:val="both"/>
        <w:rPr>
          <w:rFonts w:ascii="Times New Roman" w:hAnsi="Times New Roman"/>
          <w:sz w:val="24"/>
        </w:rPr>
      </w:pPr>
    </w:p>
    <w:p w:rsidR="00D41C04" w:rsidRDefault="00D41C04" w:rsidP="006235F7">
      <w:pPr>
        <w:tabs>
          <w:tab w:val="left" w:pos="567"/>
        </w:tabs>
        <w:ind w:left="567" w:hanging="567"/>
        <w:jc w:val="both"/>
        <w:rPr>
          <w:rFonts w:ascii="Times New Roman" w:hAnsi="Times New Roman"/>
          <w:sz w:val="24"/>
        </w:rPr>
      </w:pPr>
    </w:p>
    <w:p w:rsidR="00323C1A" w:rsidRPr="00AE6044" w:rsidRDefault="00F21150" w:rsidP="00D41C04">
      <w:pPr>
        <w:keepNext/>
        <w:tabs>
          <w:tab w:val="left" w:pos="567"/>
        </w:tabs>
        <w:ind w:left="567" w:hanging="567"/>
        <w:jc w:val="both"/>
        <w:rPr>
          <w:rFonts w:ascii="Times New Roman" w:hAnsi="Times New Roman"/>
          <w:sz w:val="24"/>
        </w:rPr>
      </w:pPr>
      <w:r>
        <w:rPr>
          <w:rFonts w:ascii="Times New Roman" w:hAnsi="Times New Roman"/>
          <w:b/>
          <w:sz w:val="24"/>
        </w:rPr>
        <w:lastRenderedPageBreak/>
        <w:t>5.</w:t>
      </w:r>
      <w:r>
        <w:rPr>
          <w:rFonts w:ascii="Times New Roman" w:hAnsi="Times New Roman"/>
          <w:b/>
          <w:sz w:val="24"/>
        </w:rPr>
        <w:tab/>
        <w:t>FARMACEUTICKÉ ÚDAJE</w:t>
      </w:r>
    </w:p>
    <w:p w:rsidR="00323C1A" w:rsidRPr="00AE6044" w:rsidRDefault="00323C1A" w:rsidP="00D41C04">
      <w:pPr>
        <w:keepNext/>
        <w:tabs>
          <w:tab w:val="left" w:pos="567"/>
        </w:tabs>
        <w:ind w:left="567"/>
        <w:rPr>
          <w:rFonts w:ascii="Times New Roman" w:hAnsi="Times New Roman"/>
          <w:sz w:val="24"/>
        </w:rPr>
      </w:pPr>
    </w:p>
    <w:p w:rsidR="00323C1A" w:rsidRPr="00AE6044" w:rsidRDefault="00F21150" w:rsidP="00D41C04">
      <w:pPr>
        <w:keepNext/>
        <w:tabs>
          <w:tab w:val="left" w:pos="567"/>
        </w:tabs>
        <w:rPr>
          <w:rFonts w:ascii="Times New Roman" w:hAnsi="Times New Roman"/>
          <w:sz w:val="24"/>
        </w:rPr>
      </w:pPr>
      <w:r>
        <w:rPr>
          <w:rFonts w:ascii="Times New Roman" w:hAnsi="Times New Roman"/>
          <w:b/>
          <w:sz w:val="24"/>
        </w:rPr>
        <w:t>5.1</w:t>
      </w:r>
      <w:r>
        <w:rPr>
          <w:rFonts w:ascii="Times New Roman" w:hAnsi="Times New Roman"/>
          <w:b/>
          <w:sz w:val="24"/>
        </w:rPr>
        <w:tab/>
        <w:t>Hlavní inkompatibility</w:t>
      </w:r>
    </w:p>
    <w:p w:rsidR="00F21150" w:rsidRPr="009B33D6" w:rsidRDefault="00F21150" w:rsidP="00D41C04">
      <w:pPr>
        <w:keepNext/>
        <w:tabs>
          <w:tab w:val="left" w:pos="567"/>
        </w:tabs>
        <w:ind w:left="567"/>
        <w:rPr>
          <w:rFonts w:ascii="Times New Roman" w:hAnsi="Times New Roman"/>
          <w:bCs/>
          <w:sz w:val="24"/>
        </w:rPr>
      </w:pPr>
    </w:p>
    <w:p w:rsidR="00323C1A" w:rsidRPr="00AE6044" w:rsidRDefault="003E20B8" w:rsidP="00323C1A">
      <w:pPr>
        <w:tabs>
          <w:tab w:val="left" w:pos="567"/>
        </w:tabs>
        <w:ind w:left="567"/>
        <w:rPr>
          <w:rFonts w:ascii="Times New Roman" w:hAnsi="Times New Roman"/>
          <w:sz w:val="24"/>
        </w:rPr>
      </w:pPr>
      <w:r>
        <w:rPr>
          <w:rFonts w:ascii="Times New Roman" w:hAnsi="Times New Roman"/>
          <w:sz w:val="24"/>
        </w:rPr>
        <w:t xml:space="preserve">Studie kompatibility nejsou k dispozici, a proto tento veterinární léčivý přípravek nesmí být mísen s žádnými dalšími veterinárními léčivými přípravky. </w:t>
      </w:r>
    </w:p>
    <w:p w:rsidR="00CD2CBD" w:rsidRPr="00AE6044" w:rsidRDefault="00CD2CBD"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5.2</w:t>
      </w:r>
      <w:r>
        <w:rPr>
          <w:rFonts w:ascii="Times New Roman" w:hAnsi="Times New Roman"/>
          <w:b/>
          <w:sz w:val="24"/>
        </w:rPr>
        <w:tab/>
        <w:t>Doba použitelnosti</w:t>
      </w:r>
    </w:p>
    <w:p w:rsidR="00323C1A" w:rsidRPr="00AE6044" w:rsidRDefault="00323C1A" w:rsidP="00323C1A">
      <w:pPr>
        <w:tabs>
          <w:tab w:val="left" w:pos="567"/>
        </w:tabs>
        <w:ind w:left="567"/>
        <w:rPr>
          <w:rFonts w:ascii="Times New Roman" w:hAnsi="Times New Roman"/>
          <w:sz w:val="24"/>
        </w:rPr>
      </w:pPr>
    </w:p>
    <w:p w:rsidR="00323C1A" w:rsidRPr="00AE6044" w:rsidRDefault="00EC5789" w:rsidP="00323C1A">
      <w:pPr>
        <w:tabs>
          <w:tab w:val="left" w:pos="567"/>
        </w:tabs>
        <w:ind w:left="567"/>
        <w:rPr>
          <w:rFonts w:ascii="Times New Roman" w:hAnsi="Times New Roman"/>
          <w:sz w:val="24"/>
        </w:rPr>
      </w:pPr>
      <w:r>
        <w:rPr>
          <w:rFonts w:ascii="Times New Roman" w:hAnsi="Times New Roman"/>
          <w:sz w:val="24"/>
        </w:rPr>
        <w:t xml:space="preserve">Doba použitelnosti veterinárního léčivého přípravku v neporušeném obalu: </w:t>
      </w:r>
      <w:r w:rsidR="00E44D28">
        <w:rPr>
          <w:rFonts w:ascii="Times New Roman" w:hAnsi="Times New Roman"/>
          <w:sz w:val="24"/>
        </w:rPr>
        <w:t>1 rok</w:t>
      </w:r>
      <w:r>
        <w:rPr>
          <w:rFonts w:ascii="Times New Roman" w:hAnsi="Times New Roman"/>
          <w:sz w:val="24"/>
        </w:rPr>
        <w:t>.</w:t>
      </w:r>
    </w:p>
    <w:p w:rsidR="00716732" w:rsidRPr="00AE6044" w:rsidRDefault="00716732" w:rsidP="00323C1A">
      <w:pPr>
        <w:tabs>
          <w:tab w:val="left" w:pos="567"/>
        </w:tabs>
        <w:ind w:left="567"/>
        <w:rPr>
          <w:rFonts w:ascii="Times New Roman" w:hAnsi="Times New Roman"/>
          <w:sz w:val="24"/>
        </w:rPr>
      </w:pPr>
      <w:r>
        <w:rPr>
          <w:rFonts w:ascii="Times New Roman" w:hAnsi="Times New Roman"/>
          <w:sz w:val="24"/>
        </w:rPr>
        <w:t>Doba použitelnosti po prvním otevření vnitřního obalu: 3 měsíc</w:t>
      </w:r>
      <w:r w:rsidR="00903EFA">
        <w:rPr>
          <w:rFonts w:ascii="Times New Roman" w:hAnsi="Times New Roman"/>
          <w:sz w:val="24"/>
        </w:rPr>
        <w:t>e</w:t>
      </w:r>
      <w:r>
        <w:rPr>
          <w:rFonts w:ascii="Times New Roman" w:hAnsi="Times New Roman"/>
          <w:sz w:val="24"/>
        </w:rPr>
        <w:t>.</w:t>
      </w:r>
    </w:p>
    <w:p w:rsidR="00CD2CBD" w:rsidRPr="00AE6044" w:rsidRDefault="00CD2CBD" w:rsidP="00323C1A">
      <w:pPr>
        <w:tabs>
          <w:tab w:val="left" w:pos="567"/>
        </w:tabs>
        <w:ind w:left="567"/>
        <w:rPr>
          <w:rFonts w:ascii="Times New Roman" w:hAnsi="Times New Roman"/>
          <w:sz w:val="24"/>
        </w:rPr>
      </w:pPr>
      <w:r>
        <w:rPr>
          <w:rFonts w:ascii="Times New Roman" w:hAnsi="Times New Roman"/>
          <w:sz w:val="24"/>
        </w:rPr>
        <w:t xml:space="preserve">Doba použitelnosti po naředění podle návodu: 24 hodin. </w:t>
      </w:r>
    </w:p>
    <w:p w:rsidR="00882F99" w:rsidRPr="00AE6044" w:rsidRDefault="00882F99"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5.3</w:t>
      </w:r>
      <w:r>
        <w:rPr>
          <w:rFonts w:ascii="Times New Roman" w:hAnsi="Times New Roman"/>
          <w:b/>
          <w:sz w:val="24"/>
        </w:rPr>
        <w:tab/>
        <w:t>Zvláštní opatření pro uchovávání</w:t>
      </w:r>
    </w:p>
    <w:p w:rsidR="00323C1A" w:rsidRDefault="00323C1A" w:rsidP="00323C1A">
      <w:pPr>
        <w:tabs>
          <w:tab w:val="left" w:pos="567"/>
        </w:tabs>
        <w:ind w:left="567"/>
        <w:rPr>
          <w:rFonts w:ascii="Times New Roman" w:hAnsi="Times New Roman"/>
          <w:sz w:val="24"/>
        </w:rPr>
      </w:pPr>
    </w:p>
    <w:p w:rsidR="005E13BE" w:rsidRDefault="005E13BE" w:rsidP="00323C1A">
      <w:pPr>
        <w:tabs>
          <w:tab w:val="left" w:pos="567"/>
        </w:tabs>
        <w:ind w:left="567"/>
        <w:rPr>
          <w:rFonts w:ascii="Times New Roman" w:hAnsi="Times New Roman"/>
          <w:sz w:val="24"/>
        </w:rPr>
      </w:pPr>
      <w:r>
        <w:rPr>
          <w:rFonts w:ascii="Times New Roman" w:hAnsi="Times New Roman"/>
          <w:sz w:val="24"/>
        </w:rPr>
        <w:t>Uchovávejte při teplotě do 25 °C.</w:t>
      </w:r>
    </w:p>
    <w:p w:rsidR="005E13BE" w:rsidRDefault="00136F50" w:rsidP="00FC5457">
      <w:pPr>
        <w:ind w:right="-318"/>
        <w:rPr>
          <w:rFonts w:ascii="Times New Roman" w:hAnsi="Times New Roman"/>
          <w:sz w:val="24"/>
        </w:rPr>
      </w:pPr>
      <w:r>
        <w:rPr>
          <w:rFonts w:ascii="Times New Roman" w:hAnsi="Times New Roman"/>
          <w:sz w:val="24"/>
        </w:rPr>
        <w:t xml:space="preserve">         Chraňte před mrazem. </w:t>
      </w:r>
    </w:p>
    <w:p w:rsidR="00FC5457" w:rsidRPr="00AE6044" w:rsidRDefault="00FC5457" w:rsidP="00323C1A">
      <w:pPr>
        <w:tabs>
          <w:tab w:val="left" w:pos="567"/>
        </w:tabs>
        <w:ind w:left="567"/>
        <w:rPr>
          <w:rFonts w:ascii="Times New Roman" w:hAnsi="Times New Roman"/>
          <w:sz w:val="24"/>
        </w:rPr>
      </w:pPr>
    </w:p>
    <w:p w:rsidR="00323C1A" w:rsidRPr="00AE6044" w:rsidRDefault="00F21150" w:rsidP="00323C1A">
      <w:pPr>
        <w:tabs>
          <w:tab w:val="left" w:pos="567"/>
        </w:tabs>
        <w:rPr>
          <w:rFonts w:ascii="Times New Roman" w:hAnsi="Times New Roman"/>
          <w:sz w:val="24"/>
        </w:rPr>
      </w:pPr>
      <w:r>
        <w:rPr>
          <w:rFonts w:ascii="Times New Roman" w:hAnsi="Times New Roman"/>
          <w:b/>
          <w:sz w:val="24"/>
        </w:rPr>
        <w:t>5.4</w:t>
      </w:r>
      <w:r>
        <w:rPr>
          <w:rFonts w:ascii="Times New Roman" w:hAnsi="Times New Roman"/>
          <w:b/>
          <w:sz w:val="24"/>
        </w:rPr>
        <w:tab/>
        <w:t>Druh a složení vnitřního obalu</w:t>
      </w:r>
    </w:p>
    <w:p w:rsidR="00323C1A" w:rsidRPr="00FC5457" w:rsidRDefault="00323C1A" w:rsidP="00FC5457">
      <w:pPr>
        <w:rPr>
          <w:rFonts w:ascii="Times New Roman" w:hAnsi="Times New Roman"/>
          <w:sz w:val="24"/>
        </w:rPr>
      </w:pPr>
    </w:p>
    <w:p w:rsidR="00323C1A" w:rsidRPr="00FC5457" w:rsidRDefault="00FC5457" w:rsidP="00FC5457">
      <w:pPr>
        <w:ind w:left="567"/>
        <w:rPr>
          <w:rFonts w:ascii="Times New Roman" w:hAnsi="Times New Roman"/>
          <w:sz w:val="24"/>
        </w:rPr>
      </w:pPr>
      <w:r>
        <w:rPr>
          <w:rFonts w:ascii="Times New Roman" w:hAnsi="Times New Roman"/>
          <w:sz w:val="24"/>
        </w:rPr>
        <w:t>Bílá obdélníková HDPE l</w:t>
      </w:r>
      <w:r w:rsidR="00BD7C0F">
        <w:rPr>
          <w:rFonts w:ascii="Times New Roman" w:hAnsi="Times New Roman"/>
          <w:sz w:val="24"/>
        </w:rPr>
        <w:t>a</w:t>
      </w:r>
      <w:r>
        <w:rPr>
          <w:rFonts w:ascii="Times New Roman" w:hAnsi="Times New Roman"/>
          <w:sz w:val="24"/>
        </w:rPr>
        <w:t xml:space="preserve">hev o objemu 1 litr uzavřená bílým šroubovacím uzávěrem z PP s vícevrstvou vložkou potaženou LDPE. </w:t>
      </w:r>
    </w:p>
    <w:p w:rsidR="00FC5457" w:rsidRPr="00AE6044" w:rsidRDefault="00FC5457" w:rsidP="00323C1A">
      <w:pPr>
        <w:tabs>
          <w:tab w:val="left" w:pos="567"/>
        </w:tabs>
        <w:ind w:left="567"/>
        <w:rPr>
          <w:rFonts w:ascii="Times New Roman" w:hAnsi="Times New Roman"/>
          <w:sz w:val="24"/>
        </w:rPr>
      </w:pPr>
    </w:p>
    <w:p w:rsidR="00323C1A" w:rsidRPr="00AE6044" w:rsidRDefault="00F21150" w:rsidP="00D41C04">
      <w:pPr>
        <w:keepNext/>
        <w:tabs>
          <w:tab w:val="left" w:pos="567"/>
        </w:tabs>
        <w:ind w:left="567" w:hanging="567"/>
        <w:jc w:val="both"/>
        <w:rPr>
          <w:rFonts w:ascii="Times New Roman" w:hAnsi="Times New Roman"/>
          <w:sz w:val="24"/>
        </w:rPr>
      </w:pPr>
      <w:r>
        <w:rPr>
          <w:rFonts w:ascii="Times New Roman" w:hAnsi="Times New Roman"/>
          <w:b/>
          <w:sz w:val="24"/>
        </w:rPr>
        <w:t>5.5</w:t>
      </w:r>
      <w:r>
        <w:rPr>
          <w:rFonts w:ascii="Times New Roman" w:hAnsi="Times New Roman"/>
          <w:b/>
          <w:sz w:val="24"/>
        </w:rPr>
        <w:tab/>
        <w:t>Zvláštní opatření pro likvidaci nepoužit</w:t>
      </w:r>
      <w:r w:rsidR="00D41C04">
        <w:rPr>
          <w:rFonts w:ascii="Times New Roman" w:hAnsi="Times New Roman"/>
          <w:b/>
          <w:sz w:val="24"/>
        </w:rPr>
        <w:t>ých</w:t>
      </w:r>
      <w:r>
        <w:rPr>
          <w:rFonts w:ascii="Times New Roman" w:hAnsi="Times New Roman"/>
          <w:b/>
          <w:sz w:val="24"/>
        </w:rPr>
        <w:t xml:space="preserve"> veterinární</w:t>
      </w:r>
      <w:r w:rsidR="00D41C04">
        <w:rPr>
          <w:rFonts w:ascii="Times New Roman" w:hAnsi="Times New Roman"/>
          <w:b/>
          <w:sz w:val="24"/>
        </w:rPr>
        <w:t>ch</w:t>
      </w:r>
      <w:r>
        <w:rPr>
          <w:rFonts w:ascii="Times New Roman" w:hAnsi="Times New Roman"/>
          <w:b/>
          <w:sz w:val="24"/>
        </w:rPr>
        <w:t xml:space="preserve"> léčiv</w:t>
      </w:r>
      <w:r w:rsidR="00D41C04">
        <w:rPr>
          <w:rFonts w:ascii="Times New Roman" w:hAnsi="Times New Roman"/>
          <w:b/>
          <w:sz w:val="24"/>
        </w:rPr>
        <w:t>ých</w:t>
      </w:r>
      <w:r>
        <w:rPr>
          <w:rFonts w:ascii="Times New Roman" w:hAnsi="Times New Roman"/>
          <w:b/>
          <w:sz w:val="24"/>
        </w:rPr>
        <w:t xml:space="preserve"> přípravk</w:t>
      </w:r>
      <w:r w:rsidR="00D41C04">
        <w:rPr>
          <w:rFonts w:ascii="Times New Roman" w:hAnsi="Times New Roman"/>
          <w:b/>
          <w:sz w:val="24"/>
        </w:rPr>
        <w:t xml:space="preserve">ů </w:t>
      </w:r>
      <w:r>
        <w:rPr>
          <w:rFonts w:ascii="Times New Roman" w:hAnsi="Times New Roman"/>
          <w:b/>
          <w:sz w:val="24"/>
        </w:rPr>
        <w:t>nebo odpadů, které pochází z těchto přípravků</w:t>
      </w:r>
    </w:p>
    <w:p w:rsidR="00323C1A" w:rsidRPr="00AE6044" w:rsidRDefault="00323C1A" w:rsidP="00D41C04">
      <w:pPr>
        <w:keepNext/>
        <w:tabs>
          <w:tab w:val="left" w:pos="567"/>
        </w:tabs>
        <w:ind w:left="567"/>
        <w:jc w:val="both"/>
        <w:rPr>
          <w:rFonts w:ascii="Times New Roman" w:hAnsi="Times New Roman"/>
          <w:sz w:val="24"/>
        </w:rPr>
      </w:pPr>
    </w:p>
    <w:p w:rsidR="00B61C31" w:rsidRDefault="00B61C31" w:rsidP="00D41C04">
      <w:pPr>
        <w:tabs>
          <w:tab w:val="left" w:pos="567"/>
        </w:tabs>
        <w:ind w:left="567"/>
        <w:jc w:val="both"/>
        <w:rPr>
          <w:rFonts w:ascii="Times New Roman" w:hAnsi="Times New Roman"/>
          <w:sz w:val="24"/>
        </w:rPr>
      </w:pPr>
      <w:r>
        <w:rPr>
          <w:rFonts w:ascii="Times New Roman" w:hAnsi="Times New Roman"/>
          <w:sz w:val="24"/>
        </w:rPr>
        <w:t>Léčivé přípravky se nesmí likvidovat prostřednictvím odpadní vody či domovního odpadu.</w:t>
      </w:r>
    </w:p>
    <w:p w:rsidR="00B61C31" w:rsidRDefault="00B61C31" w:rsidP="00D41C04">
      <w:pPr>
        <w:tabs>
          <w:tab w:val="left" w:pos="567"/>
        </w:tabs>
        <w:ind w:left="567"/>
        <w:jc w:val="both"/>
        <w:rPr>
          <w:rFonts w:ascii="Times New Roman" w:hAnsi="Times New Roman"/>
          <w:sz w:val="24"/>
        </w:rPr>
      </w:pPr>
    </w:p>
    <w:p w:rsidR="00E269CC" w:rsidRDefault="00E269CC" w:rsidP="00D41C04">
      <w:pPr>
        <w:tabs>
          <w:tab w:val="left" w:pos="567"/>
        </w:tabs>
        <w:ind w:left="567"/>
        <w:jc w:val="both"/>
        <w:rPr>
          <w:rFonts w:ascii="Times New Roman" w:hAnsi="Times New Roman"/>
          <w:sz w:val="24"/>
        </w:rPr>
      </w:pPr>
      <w:r>
        <w:rPr>
          <w:rFonts w:ascii="Times New Roman" w:hAnsi="Times New Roman"/>
          <w:sz w:val="24"/>
        </w:rPr>
        <w:t xml:space="preserve">Tento veterinární léčivý přípravek nesmí kontaminovat vodní toky, protože florfenikol může být nebezpečný pro vodní organismy (sinice), včetně organismů </w:t>
      </w:r>
      <w:r w:rsidR="00D41C04">
        <w:rPr>
          <w:rFonts w:ascii="Times New Roman" w:hAnsi="Times New Roman"/>
          <w:sz w:val="24"/>
        </w:rPr>
        <w:t>v </w:t>
      </w:r>
      <w:r>
        <w:rPr>
          <w:rFonts w:ascii="Times New Roman" w:hAnsi="Times New Roman"/>
          <w:sz w:val="24"/>
        </w:rPr>
        <w:t>podzemních vodách.</w:t>
      </w:r>
    </w:p>
    <w:p w:rsidR="00E269CC" w:rsidRDefault="00E269CC" w:rsidP="00D41C04">
      <w:pPr>
        <w:tabs>
          <w:tab w:val="left" w:pos="567"/>
        </w:tabs>
        <w:ind w:left="567"/>
        <w:jc w:val="both"/>
        <w:rPr>
          <w:rFonts w:ascii="Times New Roman" w:hAnsi="Times New Roman"/>
          <w:sz w:val="24"/>
        </w:rPr>
      </w:pPr>
    </w:p>
    <w:p w:rsidR="00323C1A" w:rsidRPr="00AE6044" w:rsidRDefault="00F21150" w:rsidP="00D41C04">
      <w:pPr>
        <w:tabs>
          <w:tab w:val="left" w:pos="567"/>
        </w:tabs>
        <w:ind w:left="567"/>
        <w:jc w:val="both"/>
        <w:rPr>
          <w:rFonts w:ascii="Times New Roman" w:hAnsi="Times New Roman"/>
          <w:sz w:val="24"/>
        </w:rPr>
      </w:pPr>
      <w:r>
        <w:rPr>
          <w:rFonts w:ascii="Times New Roman" w:hAnsi="Times New Roman"/>
          <w:sz w:val="24"/>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rsidR="00882F99" w:rsidRDefault="00882F99" w:rsidP="00D0368B">
      <w:pPr>
        <w:rPr>
          <w:rFonts w:ascii="Times New Roman" w:hAnsi="Times New Roman"/>
          <w:b/>
          <w:bCs/>
          <w:sz w:val="24"/>
        </w:rPr>
      </w:pPr>
    </w:p>
    <w:p w:rsidR="00507948" w:rsidRPr="00AE6044" w:rsidRDefault="00507948" w:rsidP="00D0368B">
      <w:pPr>
        <w:rPr>
          <w:rFonts w:ascii="Times New Roman" w:hAnsi="Times New Roman"/>
          <w:b/>
          <w:bCs/>
          <w:sz w:val="24"/>
        </w:rPr>
      </w:pPr>
    </w:p>
    <w:p w:rsidR="00323C1A" w:rsidRPr="00AE6044" w:rsidRDefault="00F21150" w:rsidP="00323C1A">
      <w:pPr>
        <w:ind w:left="567" w:hanging="567"/>
        <w:rPr>
          <w:rFonts w:ascii="Times New Roman" w:hAnsi="Times New Roman"/>
          <w:sz w:val="24"/>
        </w:rPr>
      </w:pPr>
      <w:r>
        <w:rPr>
          <w:rFonts w:ascii="Times New Roman" w:hAnsi="Times New Roman"/>
          <w:b/>
          <w:sz w:val="24"/>
        </w:rPr>
        <w:t>6.</w:t>
      </w:r>
      <w:r>
        <w:rPr>
          <w:rFonts w:ascii="Times New Roman" w:hAnsi="Times New Roman"/>
          <w:b/>
          <w:sz w:val="24"/>
        </w:rPr>
        <w:tab/>
        <w:t>JMÉNO DRŽITELE ROZHODNUTÍ O REGISTRACI</w:t>
      </w:r>
    </w:p>
    <w:p w:rsidR="004F6A26" w:rsidRPr="00AE6044" w:rsidRDefault="004F6A26" w:rsidP="004F6A26">
      <w:pPr>
        <w:tabs>
          <w:tab w:val="left" w:pos="567"/>
        </w:tabs>
        <w:ind w:left="567"/>
        <w:rPr>
          <w:rFonts w:ascii="Times New Roman" w:hAnsi="Times New Roman"/>
          <w:i/>
          <w:sz w:val="24"/>
        </w:rPr>
      </w:pPr>
    </w:p>
    <w:p w:rsidR="004F6A26" w:rsidRPr="00E11C02" w:rsidRDefault="004F6A26" w:rsidP="004F6A26">
      <w:pPr>
        <w:tabs>
          <w:tab w:val="left" w:pos="567"/>
        </w:tabs>
        <w:ind w:left="567"/>
        <w:rPr>
          <w:rFonts w:ascii="Times New Roman" w:hAnsi="Times New Roman"/>
          <w:sz w:val="24"/>
        </w:rPr>
      </w:pPr>
      <w:r>
        <w:rPr>
          <w:rFonts w:ascii="Times New Roman" w:hAnsi="Times New Roman"/>
          <w:sz w:val="24"/>
        </w:rPr>
        <w:t>Huvepharma NV</w:t>
      </w:r>
    </w:p>
    <w:p w:rsidR="00323C1A" w:rsidRPr="00E11C02" w:rsidRDefault="00323C1A" w:rsidP="00323C1A">
      <w:pPr>
        <w:tabs>
          <w:tab w:val="left" w:pos="567"/>
        </w:tabs>
        <w:ind w:left="567"/>
        <w:rPr>
          <w:rFonts w:ascii="Times New Roman" w:hAnsi="Times New Roman"/>
          <w:sz w:val="24"/>
        </w:rPr>
      </w:pPr>
    </w:p>
    <w:p w:rsidR="0010460B" w:rsidRPr="00E11C02" w:rsidRDefault="0010460B" w:rsidP="00323C1A">
      <w:pPr>
        <w:tabs>
          <w:tab w:val="left" w:pos="567"/>
        </w:tabs>
        <w:ind w:left="567"/>
        <w:rPr>
          <w:rFonts w:ascii="Times New Roman" w:hAnsi="Times New Roman"/>
          <w:sz w:val="24"/>
        </w:rPr>
      </w:pPr>
    </w:p>
    <w:p w:rsidR="00323C1A" w:rsidRPr="00E11C02" w:rsidRDefault="00F21150" w:rsidP="00323C1A">
      <w:pPr>
        <w:tabs>
          <w:tab w:val="left" w:pos="567"/>
        </w:tabs>
        <w:rPr>
          <w:rFonts w:ascii="Times New Roman" w:hAnsi="Times New Roman"/>
          <w:b/>
          <w:bCs/>
          <w:sz w:val="24"/>
        </w:rPr>
      </w:pPr>
      <w:r>
        <w:rPr>
          <w:rFonts w:ascii="Times New Roman" w:hAnsi="Times New Roman"/>
          <w:b/>
          <w:sz w:val="24"/>
        </w:rPr>
        <w:t>7.</w:t>
      </w:r>
      <w:r>
        <w:rPr>
          <w:rFonts w:ascii="Times New Roman" w:hAnsi="Times New Roman"/>
          <w:b/>
          <w:sz w:val="24"/>
        </w:rPr>
        <w:tab/>
        <w:t>REGISTRAČNÍ ČÍSLO(A)</w:t>
      </w:r>
    </w:p>
    <w:p w:rsidR="00323C1A" w:rsidRPr="00E11C02" w:rsidRDefault="00323C1A" w:rsidP="00323C1A">
      <w:pPr>
        <w:tabs>
          <w:tab w:val="left" w:pos="567"/>
        </w:tabs>
        <w:ind w:left="567"/>
        <w:rPr>
          <w:rFonts w:ascii="Times New Roman" w:hAnsi="Times New Roman"/>
          <w:b/>
          <w:bCs/>
          <w:sz w:val="24"/>
        </w:rPr>
      </w:pPr>
    </w:p>
    <w:p w:rsidR="00882F99" w:rsidRPr="00AE6044" w:rsidRDefault="002B2795" w:rsidP="00323C1A">
      <w:pPr>
        <w:tabs>
          <w:tab w:val="left" w:pos="567"/>
        </w:tabs>
        <w:ind w:left="567"/>
        <w:rPr>
          <w:rFonts w:ascii="Times New Roman" w:hAnsi="Times New Roman"/>
          <w:b/>
          <w:bCs/>
          <w:sz w:val="24"/>
        </w:rPr>
      </w:pPr>
      <w:r>
        <w:rPr>
          <w:rFonts w:ascii="Times New Roman" w:hAnsi="Times New Roman"/>
          <w:sz w:val="24"/>
        </w:rPr>
        <w:t>96/013/</w:t>
      </w:r>
      <w:proofErr w:type="gramStart"/>
      <w:r>
        <w:rPr>
          <w:rFonts w:ascii="Times New Roman" w:hAnsi="Times New Roman"/>
          <w:sz w:val="24"/>
        </w:rPr>
        <w:t>24-C</w:t>
      </w:r>
      <w:proofErr w:type="gramEnd"/>
    </w:p>
    <w:p w:rsidR="00323C1A" w:rsidRDefault="00323C1A" w:rsidP="00323C1A">
      <w:pPr>
        <w:tabs>
          <w:tab w:val="left" w:pos="567"/>
        </w:tabs>
        <w:ind w:left="567"/>
        <w:rPr>
          <w:rFonts w:ascii="Times New Roman" w:hAnsi="Times New Roman"/>
          <w:b/>
          <w:bCs/>
          <w:sz w:val="24"/>
        </w:rPr>
      </w:pPr>
    </w:p>
    <w:p w:rsidR="00F21150" w:rsidRPr="00AE6044" w:rsidRDefault="00F21150" w:rsidP="00507948">
      <w:pPr>
        <w:rPr>
          <w:rFonts w:ascii="Times New Roman" w:hAnsi="Times New Roman"/>
          <w:b/>
          <w:bCs/>
          <w:sz w:val="24"/>
        </w:rPr>
      </w:pPr>
    </w:p>
    <w:p w:rsidR="00323C1A" w:rsidRPr="00AE6044" w:rsidRDefault="00F21150" w:rsidP="00323C1A">
      <w:pPr>
        <w:tabs>
          <w:tab w:val="left" w:pos="567"/>
        </w:tabs>
        <w:rPr>
          <w:rFonts w:ascii="Times New Roman" w:hAnsi="Times New Roman"/>
          <w:b/>
          <w:bCs/>
          <w:sz w:val="24"/>
        </w:rPr>
      </w:pPr>
      <w:r>
        <w:rPr>
          <w:rFonts w:ascii="Times New Roman" w:hAnsi="Times New Roman"/>
          <w:b/>
          <w:sz w:val="24"/>
        </w:rPr>
        <w:t>8.</w:t>
      </w:r>
      <w:r>
        <w:rPr>
          <w:rFonts w:ascii="Times New Roman" w:hAnsi="Times New Roman"/>
          <w:b/>
          <w:sz w:val="24"/>
        </w:rPr>
        <w:tab/>
        <w:t>DATUM PRVNÍ REGISTRACE</w:t>
      </w:r>
    </w:p>
    <w:p w:rsidR="000478B7" w:rsidRDefault="000478B7" w:rsidP="00323C1A">
      <w:pPr>
        <w:tabs>
          <w:tab w:val="left" w:pos="567"/>
        </w:tabs>
        <w:ind w:left="567"/>
        <w:rPr>
          <w:rFonts w:ascii="Times New Roman" w:hAnsi="Times New Roman"/>
          <w:sz w:val="24"/>
        </w:rPr>
      </w:pPr>
    </w:p>
    <w:p w:rsidR="00323C1A" w:rsidRPr="00E11C02" w:rsidRDefault="002B2795" w:rsidP="00323C1A">
      <w:pPr>
        <w:tabs>
          <w:tab w:val="left" w:pos="567"/>
        </w:tabs>
        <w:ind w:left="567"/>
        <w:rPr>
          <w:rFonts w:ascii="Times New Roman" w:hAnsi="Times New Roman"/>
          <w:sz w:val="24"/>
        </w:rPr>
      </w:pPr>
      <w:r>
        <w:rPr>
          <w:rFonts w:ascii="Times New Roman" w:hAnsi="Times New Roman"/>
          <w:sz w:val="24"/>
        </w:rPr>
        <w:t>22. 4. 2024</w:t>
      </w:r>
    </w:p>
    <w:p w:rsidR="00323C1A" w:rsidRDefault="00323C1A" w:rsidP="00323C1A">
      <w:pPr>
        <w:tabs>
          <w:tab w:val="left" w:pos="567"/>
        </w:tabs>
        <w:ind w:left="567"/>
        <w:rPr>
          <w:rFonts w:ascii="Times New Roman" w:hAnsi="Times New Roman"/>
          <w:b/>
          <w:bCs/>
          <w:sz w:val="24"/>
        </w:rPr>
      </w:pPr>
    </w:p>
    <w:p w:rsidR="002B2795" w:rsidRDefault="002B2795" w:rsidP="00323C1A">
      <w:pPr>
        <w:tabs>
          <w:tab w:val="left" w:pos="567"/>
        </w:tabs>
        <w:ind w:left="567"/>
        <w:rPr>
          <w:rFonts w:ascii="Times New Roman" w:hAnsi="Times New Roman"/>
          <w:b/>
          <w:bCs/>
          <w:sz w:val="24"/>
        </w:rPr>
      </w:pPr>
    </w:p>
    <w:p w:rsidR="002B2795" w:rsidRDefault="002B2795" w:rsidP="00323C1A">
      <w:pPr>
        <w:tabs>
          <w:tab w:val="left" w:pos="567"/>
        </w:tabs>
        <w:ind w:left="567"/>
        <w:rPr>
          <w:rFonts w:ascii="Times New Roman" w:hAnsi="Times New Roman"/>
          <w:b/>
          <w:bCs/>
          <w:sz w:val="24"/>
        </w:rPr>
      </w:pPr>
    </w:p>
    <w:p w:rsidR="002B2795" w:rsidRPr="00AE6044" w:rsidRDefault="002B2795" w:rsidP="00323C1A">
      <w:pPr>
        <w:tabs>
          <w:tab w:val="left" w:pos="567"/>
        </w:tabs>
        <w:ind w:left="567"/>
        <w:rPr>
          <w:rFonts w:ascii="Times New Roman" w:hAnsi="Times New Roman"/>
          <w:b/>
          <w:bCs/>
          <w:sz w:val="24"/>
        </w:rPr>
      </w:pPr>
    </w:p>
    <w:p w:rsidR="00323C1A" w:rsidRPr="00AE6044" w:rsidRDefault="00F21150" w:rsidP="00507948">
      <w:pPr>
        <w:keepNext/>
        <w:tabs>
          <w:tab w:val="left" w:pos="567"/>
        </w:tabs>
        <w:ind w:left="567" w:hanging="567"/>
        <w:rPr>
          <w:rFonts w:ascii="Times New Roman" w:hAnsi="Times New Roman"/>
          <w:b/>
          <w:bCs/>
          <w:sz w:val="24"/>
        </w:rPr>
      </w:pPr>
      <w:r>
        <w:rPr>
          <w:rFonts w:ascii="Times New Roman" w:hAnsi="Times New Roman"/>
          <w:b/>
          <w:sz w:val="24"/>
        </w:rPr>
        <w:lastRenderedPageBreak/>
        <w:t>9.</w:t>
      </w:r>
      <w:r>
        <w:rPr>
          <w:rFonts w:ascii="Times New Roman" w:hAnsi="Times New Roman"/>
          <w:b/>
          <w:sz w:val="24"/>
        </w:rPr>
        <w:tab/>
      </w:r>
      <w:r>
        <w:rPr>
          <w:rFonts w:ascii="Times New Roman" w:hAnsi="Times New Roman"/>
          <w:b/>
          <w:caps/>
          <w:sz w:val="24"/>
        </w:rPr>
        <w:t>DATUM POSLEDNÍ AKTUALIZACE SOUHRNU ÚDAJŮ O PŘÍPRAVKU</w:t>
      </w:r>
      <w:r>
        <w:rPr>
          <w:rFonts w:ascii="Times New Roman" w:hAnsi="Times New Roman"/>
          <w:b/>
          <w:sz w:val="24"/>
        </w:rPr>
        <w:t xml:space="preserve"> </w:t>
      </w:r>
    </w:p>
    <w:p w:rsidR="00323C1A" w:rsidRPr="00AE6044" w:rsidRDefault="00323C1A" w:rsidP="00507948">
      <w:pPr>
        <w:keepNext/>
        <w:tabs>
          <w:tab w:val="left" w:pos="567"/>
        </w:tabs>
        <w:ind w:left="567"/>
        <w:rPr>
          <w:rFonts w:ascii="Times New Roman" w:hAnsi="Times New Roman"/>
          <w:b/>
          <w:bCs/>
          <w:sz w:val="24"/>
        </w:rPr>
      </w:pPr>
    </w:p>
    <w:p w:rsidR="00323C1A" w:rsidRPr="00F15084" w:rsidRDefault="00301E6C" w:rsidP="00323C1A">
      <w:pPr>
        <w:tabs>
          <w:tab w:val="left" w:pos="567"/>
        </w:tabs>
        <w:ind w:left="567"/>
        <w:rPr>
          <w:rFonts w:ascii="Times New Roman" w:hAnsi="Times New Roman"/>
          <w:bCs/>
          <w:sz w:val="24"/>
        </w:rPr>
      </w:pPr>
      <w:proofErr w:type="gramStart"/>
      <w:r>
        <w:rPr>
          <w:rFonts w:ascii="Times New Roman" w:hAnsi="Times New Roman"/>
          <w:bCs/>
          <w:sz w:val="24"/>
        </w:rPr>
        <w:t>Listopad</w:t>
      </w:r>
      <w:proofErr w:type="gramEnd"/>
      <w:r>
        <w:rPr>
          <w:rFonts w:ascii="Times New Roman" w:hAnsi="Times New Roman"/>
          <w:bCs/>
          <w:sz w:val="24"/>
        </w:rPr>
        <w:t xml:space="preserve"> </w:t>
      </w:r>
      <w:r w:rsidR="00507948" w:rsidRPr="00F15084">
        <w:rPr>
          <w:rFonts w:ascii="Times New Roman" w:hAnsi="Times New Roman"/>
          <w:bCs/>
          <w:sz w:val="24"/>
        </w:rPr>
        <w:t>2024</w:t>
      </w:r>
    </w:p>
    <w:p w:rsidR="00507948" w:rsidRDefault="00507948" w:rsidP="00323C1A">
      <w:pPr>
        <w:tabs>
          <w:tab w:val="left" w:pos="567"/>
        </w:tabs>
        <w:ind w:left="567"/>
        <w:rPr>
          <w:rFonts w:ascii="Times New Roman" w:hAnsi="Times New Roman"/>
          <w:b/>
          <w:bCs/>
          <w:sz w:val="24"/>
        </w:rPr>
      </w:pPr>
    </w:p>
    <w:p w:rsidR="00507948" w:rsidRPr="00AE6044" w:rsidRDefault="00507948" w:rsidP="00323C1A">
      <w:pPr>
        <w:tabs>
          <w:tab w:val="left" w:pos="567"/>
        </w:tabs>
        <w:ind w:left="567"/>
        <w:rPr>
          <w:rFonts w:ascii="Times New Roman" w:hAnsi="Times New Roman"/>
          <w:b/>
          <w:bCs/>
          <w:sz w:val="24"/>
        </w:rPr>
      </w:pPr>
    </w:p>
    <w:p w:rsidR="00AE6044" w:rsidRPr="00F21150" w:rsidRDefault="00F21150" w:rsidP="00F21150">
      <w:pPr>
        <w:tabs>
          <w:tab w:val="left" w:pos="567"/>
        </w:tabs>
        <w:ind w:left="567" w:hanging="567"/>
        <w:rPr>
          <w:rFonts w:ascii="Times New Roman" w:hAnsi="Times New Roman"/>
          <w:b/>
          <w:caps/>
          <w:sz w:val="24"/>
        </w:rPr>
      </w:pPr>
      <w:r>
        <w:rPr>
          <w:rFonts w:ascii="Times New Roman" w:hAnsi="Times New Roman"/>
          <w:b/>
          <w:caps/>
          <w:sz w:val="24"/>
        </w:rPr>
        <w:t>10.</w:t>
      </w:r>
      <w:r>
        <w:rPr>
          <w:rFonts w:ascii="Times New Roman" w:hAnsi="Times New Roman"/>
          <w:b/>
          <w:caps/>
          <w:sz w:val="24"/>
        </w:rPr>
        <w:tab/>
        <w:t>Klasifikace veterinárních léčivých přípravků</w:t>
      </w:r>
    </w:p>
    <w:p w:rsidR="00F21150" w:rsidRDefault="00F21150" w:rsidP="00AE6044">
      <w:pPr>
        <w:rPr>
          <w:rFonts w:ascii="Times New Roman" w:hAnsi="Times New Roman"/>
          <w:sz w:val="24"/>
        </w:rPr>
      </w:pPr>
    </w:p>
    <w:p w:rsidR="00F21150" w:rsidRDefault="00F21150" w:rsidP="00D0368B">
      <w:pPr>
        <w:ind w:left="567"/>
        <w:rPr>
          <w:rFonts w:ascii="Times New Roman" w:hAnsi="Times New Roman"/>
          <w:sz w:val="24"/>
        </w:rPr>
      </w:pPr>
      <w:r>
        <w:rPr>
          <w:rFonts w:ascii="Times New Roman" w:hAnsi="Times New Roman"/>
          <w:sz w:val="24"/>
        </w:rPr>
        <w:t>Veterinární léčivý přípravek je vydáván pouze na předpis.</w:t>
      </w:r>
    </w:p>
    <w:p w:rsidR="00F21150" w:rsidRDefault="00F21150" w:rsidP="00D0368B">
      <w:pPr>
        <w:ind w:left="567"/>
        <w:rPr>
          <w:rFonts w:ascii="Times New Roman" w:hAnsi="Times New Roman"/>
          <w:sz w:val="24"/>
        </w:rPr>
      </w:pPr>
    </w:p>
    <w:p w:rsidR="00F112B6" w:rsidRPr="00F112B6" w:rsidRDefault="00F112B6" w:rsidP="00F112B6">
      <w:pPr>
        <w:ind w:left="567"/>
        <w:rPr>
          <w:rFonts w:ascii="Times New Roman" w:hAnsi="Times New Roman"/>
          <w:sz w:val="24"/>
        </w:rPr>
      </w:pPr>
      <w:bookmarkStart w:id="10" w:name="_Hlk161918471"/>
      <w:r w:rsidRPr="00F112B6">
        <w:rPr>
          <w:rFonts w:ascii="Times New Roman" w:hAnsi="Times New Roman"/>
          <w:sz w:val="24"/>
        </w:rPr>
        <w:t>Podrobné informace o tomto veterinárním léčivém přípravku jsou k dispozici v databázi přípravků Unie (</w:t>
      </w:r>
      <w:hyperlink r:id="rId13" w:history="1">
        <w:r w:rsidRPr="00313B9B">
          <w:rPr>
            <w:rStyle w:val="Hypertextovodkaz"/>
            <w:rFonts w:ascii="Times New Roman" w:hAnsi="Times New Roman"/>
            <w:sz w:val="24"/>
          </w:rPr>
          <w:t>https://medicines.health.europa.eu/veterinary</w:t>
        </w:r>
      </w:hyperlink>
      <w:r w:rsidRPr="00F112B6">
        <w:rPr>
          <w:rFonts w:ascii="Times New Roman" w:hAnsi="Times New Roman"/>
          <w:sz w:val="24"/>
        </w:rPr>
        <w:t>).</w:t>
      </w:r>
    </w:p>
    <w:p w:rsidR="00F112B6" w:rsidRPr="00F112B6" w:rsidRDefault="00F112B6" w:rsidP="00F112B6">
      <w:pPr>
        <w:ind w:left="567"/>
        <w:rPr>
          <w:rFonts w:ascii="Times New Roman" w:hAnsi="Times New Roman"/>
          <w:sz w:val="24"/>
        </w:rPr>
      </w:pPr>
    </w:p>
    <w:p w:rsidR="00F21150" w:rsidRPr="00AE6044" w:rsidRDefault="00F112B6" w:rsidP="00F112B6">
      <w:pPr>
        <w:ind w:left="567"/>
        <w:rPr>
          <w:rFonts w:ascii="Times New Roman" w:hAnsi="Times New Roman"/>
          <w:sz w:val="24"/>
        </w:rPr>
      </w:pPr>
      <w:r w:rsidRPr="00F112B6">
        <w:rPr>
          <w:rFonts w:ascii="Times New Roman" w:hAnsi="Times New Roman"/>
          <w:sz w:val="24"/>
        </w:rPr>
        <w:t>Podrobné informace o tomto veterinárním léčivém přípravku naleznete také v národní databázi (</w:t>
      </w:r>
      <w:hyperlink r:id="rId14" w:history="1">
        <w:r w:rsidRPr="00313B9B">
          <w:rPr>
            <w:rStyle w:val="Hypertextovodkaz"/>
            <w:rFonts w:ascii="Times New Roman" w:hAnsi="Times New Roman"/>
            <w:sz w:val="24"/>
          </w:rPr>
          <w:t>https://www.uskvbl.cz</w:t>
        </w:r>
      </w:hyperlink>
      <w:r w:rsidRPr="00F112B6">
        <w:rPr>
          <w:rFonts w:ascii="Times New Roman" w:hAnsi="Times New Roman"/>
          <w:sz w:val="24"/>
        </w:rPr>
        <w:t>).</w:t>
      </w:r>
      <w:bookmarkEnd w:id="10"/>
      <w:r w:rsidRPr="00F112B6" w:rsidDel="00F112B6">
        <w:rPr>
          <w:rFonts w:ascii="Times New Roman" w:hAnsi="Times New Roman"/>
          <w:sz w:val="24"/>
        </w:rPr>
        <w:t xml:space="preserve"> </w:t>
      </w:r>
      <w:r w:rsidR="00F21150">
        <w:rPr>
          <w:rFonts w:ascii="Times New Roman" w:hAnsi="Times New Roman"/>
          <w:sz w:val="24"/>
        </w:rPr>
        <w:tab/>
      </w:r>
    </w:p>
    <w:p w:rsidR="00082824" w:rsidRPr="00082824" w:rsidRDefault="00082824" w:rsidP="00082824">
      <w:pPr>
        <w:rPr>
          <w:rFonts w:ascii="Times New Roman" w:hAnsi="Times New Roman"/>
          <w:szCs w:val="22"/>
        </w:rPr>
      </w:pPr>
    </w:p>
    <w:sectPr w:rsidR="00082824" w:rsidRPr="00082824" w:rsidSect="00BA43CC">
      <w:headerReference w:type="default" r:id="rId15"/>
      <w:footerReference w:type="even" r:id="rId16"/>
      <w:footerReference w:type="default" r:id="rId17"/>
      <w:type w:val="continuous"/>
      <w:pgSz w:w="11906" w:h="16838" w:code="9"/>
      <w:pgMar w:top="993" w:right="1134" w:bottom="1135" w:left="1418" w:header="709" w:footer="42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1D" w:rsidRDefault="001A761D" w:rsidP="00662A87">
      <w:r>
        <w:separator/>
      </w:r>
    </w:p>
  </w:endnote>
  <w:endnote w:type="continuationSeparator" w:id="0">
    <w:p w:rsidR="001A761D" w:rsidRDefault="001A761D" w:rsidP="0066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Default="00E921E7" w:rsidP="00BE70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4</w:t>
    </w:r>
    <w:r>
      <w:rPr>
        <w:rStyle w:val="slostrnky"/>
      </w:rPr>
      <w:fldChar w:fldCharType="end"/>
    </w:r>
  </w:p>
  <w:p w:rsidR="00E921E7" w:rsidRDefault="00E921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Pr="00AE6044" w:rsidRDefault="00E921E7" w:rsidP="00BE7027">
    <w:pPr>
      <w:pStyle w:val="Zpat"/>
      <w:framePr w:wrap="around" w:vAnchor="text" w:hAnchor="margin" w:xAlign="center" w:y="1"/>
      <w:rPr>
        <w:rStyle w:val="slostrnky"/>
        <w:rFonts w:ascii="Times New Roman" w:hAnsi="Times New Roman"/>
      </w:rPr>
    </w:pPr>
    <w:r w:rsidRPr="00AE6044">
      <w:rPr>
        <w:rStyle w:val="slostrnky"/>
        <w:rFonts w:ascii="Times New Roman" w:hAnsi="Times New Roman"/>
      </w:rPr>
      <w:fldChar w:fldCharType="begin"/>
    </w:r>
    <w:r w:rsidRPr="00AE6044">
      <w:rPr>
        <w:rStyle w:val="slostrnky"/>
        <w:rFonts w:ascii="Times New Roman" w:hAnsi="Times New Roman"/>
      </w:rPr>
      <w:instrText xml:space="preserve">PAGE  </w:instrText>
    </w:r>
    <w:r w:rsidRPr="00AE6044">
      <w:rPr>
        <w:rStyle w:val="slostrnky"/>
        <w:rFonts w:ascii="Times New Roman" w:hAnsi="Times New Roman"/>
      </w:rPr>
      <w:fldChar w:fldCharType="separate"/>
    </w:r>
    <w:r w:rsidR="00476C21">
      <w:rPr>
        <w:rStyle w:val="slostrnky"/>
        <w:rFonts w:ascii="Times New Roman" w:hAnsi="Times New Roman"/>
      </w:rPr>
      <w:t>6</w:t>
    </w:r>
    <w:r w:rsidRPr="00AE6044">
      <w:rPr>
        <w:rStyle w:val="slostrnky"/>
        <w:rFonts w:ascii="Times New Roman" w:hAnsi="Times New Roman"/>
      </w:rPr>
      <w:fldChar w:fldCharType="end"/>
    </w:r>
  </w:p>
  <w:p w:rsidR="00E921E7" w:rsidRPr="00AE6044" w:rsidRDefault="00E921E7">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1D" w:rsidRDefault="001A761D" w:rsidP="00662A87">
      <w:r>
        <w:separator/>
      </w:r>
    </w:p>
  </w:footnote>
  <w:footnote w:type="continuationSeparator" w:id="0">
    <w:p w:rsidR="001A761D" w:rsidRDefault="001A761D" w:rsidP="00662A87">
      <w:r>
        <w:continuationSeparator/>
      </w:r>
    </w:p>
  </w:footnote>
  <w:footnote w:id="1">
    <w:p w:rsidR="00E921E7" w:rsidRPr="00DB152B" w:rsidRDefault="00E921E7">
      <w:pPr>
        <w:pStyle w:val="Textpoznpodarou"/>
        <w:rPr>
          <w:rFonts w:ascii="Times New Roman" w:hAnsi="Times New Roman"/>
        </w:rPr>
      </w:pPr>
      <w:r w:rsidRPr="00DB152B">
        <w:rPr>
          <w:rStyle w:val="Znakapoznpodarou"/>
          <w:rFonts w:ascii="Times New Roman" w:hAnsi="Times New Roman"/>
        </w:rPr>
        <w:footnoteRef/>
      </w:r>
      <w:r w:rsidRPr="00DB152B">
        <w:rPr>
          <w:rFonts w:ascii="Times New Roman" w:hAnsi="Times New Roman"/>
        </w:rPr>
        <w:t xml:space="preserve"> </w:t>
      </w:r>
      <w:bookmarkStart w:id="3" w:name="_Hlk161911758"/>
      <w:r w:rsidR="00120F78" w:rsidRPr="00DB152B">
        <w:rPr>
          <w:rFonts w:ascii="Times New Roman" w:hAnsi="Times New Roman"/>
          <w:sz w:val="22"/>
          <w:szCs w:val="22"/>
        </w:rPr>
        <w:t>Ad hoc poradní skupina odborníků na antimikrobiální látky (</w:t>
      </w:r>
      <w:proofErr w:type="spellStart"/>
      <w:r w:rsidR="00120F78" w:rsidRPr="00DB152B">
        <w:rPr>
          <w:rFonts w:ascii="Times New Roman" w:hAnsi="Times New Roman"/>
          <w:sz w:val="22"/>
          <w:szCs w:val="22"/>
        </w:rPr>
        <w:t>Antimicrobial</w:t>
      </w:r>
      <w:proofErr w:type="spellEnd"/>
      <w:r w:rsidR="00120F78" w:rsidRPr="00DB152B">
        <w:rPr>
          <w:rFonts w:ascii="Times New Roman" w:hAnsi="Times New Roman"/>
          <w:sz w:val="22"/>
          <w:szCs w:val="22"/>
        </w:rPr>
        <w:t xml:space="preserve"> </w:t>
      </w:r>
      <w:proofErr w:type="spellStart"/>
      <w:r w:rsidR="00120F78" w:rsidRPr="00DB152B">
        <w:rPr>
          <w:rFonts w:ascii="Times New Roman" w:hAnsi="Times New Roman"/>
          <w:sz w:val="22"/>
          <w:szCs w:val="22"/>
        </w:rPr>
        <w:t>Advice</w:t>
      </w:r>
      <w:proofErr w:type="spellEnd"/>
      <w:r w:rsidR="00120F78" w:rsidRPr="00DB152B">
        <w:rPr>
          <w:rFonts w:ascii="Times New Roman" w:hAnsi="Times New Roman"/>
          <w:sz w:val="22"/>
          <w:szCs w:val="22"/>
        </w:rPr>
        <w:t xml:space="preserve"> Ad Hoc Expert Group) agentury EMA. V této skupině působí odborníci z humánního i veterinárního lékařství. Společně vypracovávají pokyny k omezení dopadu používání antibiotik u zvířat na veřejné zdraví</w:t>
      </w:r>
      <w:r w:rsidR="000C794B">
        <w:rPr>
          <w:rFonts w:ascii="Times New Roman" w:hAnsi="Times New Roman"/>
        </w:rP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97" w:rsidRDefault="00B172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1BD6"/>
    <w:multiLevelType w:val="hybridMultilevel"/>
    <w:tmpl w:val="9FBC8A04"/>
    <w:lvl w:ilvl="0" w:tplc="EF8C9006">
      <w:start w:val="1"/>
      <w:numFmt w:val="decimal"/>
      <w:lvlText w:val="%1."/>
      <w:lvlJc w:val="left"/>
      <w:pPr>
        <w:ind w:left="1437" w:hanging="87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3BB1483F"/>
    <w:multiLevelType w:val="hybridMultilevel"/>
    <w:tmpl w:val="DE0ACA06"/>
    <w:lvl w:ilvl="0" w:tplc="BDC6C916">
      <w:start w:val="1"/>
      <w:numFmt w:val="bullet"/>
      <w:lvlText w:val=""/>
      <w:lvlJc w:val="left"/>
      <w:pPr>
        <w:ind w:left="720" w:hanging="360"/>
      </w:pPr>
      <w:rPr>
        <w:rFonts w:ascii="Symbol" w:hAnsi="Symbol"/>
      </w:rPr>
    </w:lvl>
    <w:lvl w:ilvl="1" w:tplc="D7DCD630">
      <w:start w:val="1"/>
      <w:numFmt w:val="bullet"/>
      <w:lvlText w:val=""/>
      <w:lvlJc w:val="left"/>
      <w:pPr>
        <w:ind w:left="720" w:hanging="360"/>
      </w:pPr>
      <w:rPr>
        <w:rFonts w:ascii="Symbol" w:hAnsi="Symbol"/>
      </w:rPr>
    </w:lvl>
    <w:lvl w:ilvl="2" w:tplc="66924CB0">
      <w:start w:val="1"/>
      <w:numFmt w:val="bullet"/>
      <w:lvlText w:val=""/>
      <w:lvlJc w:val="left"/>
      <w:pPr>
        <w:ind w:left="720" w:hanging="360"/>
      </w:pPr>
      <w:rPr>
        <w:rFonts w:ascii="Symbol" w:hAnsi="Symbol"/>
      </w:rPr>
    </w:lvl>
    <w:lvl w:ilvl="3" w:tplc="81B44C5A">
      <w:start w:val="1"/>
      <w:numFmt w:val="bullet"/>
      <w:lvlText w:val=""/>
      <w:lvlJc w:val="left"/>
      <w:pPr>
        <w:ind w:left="720" w:hanging="360"/>
      </w:pPr>
      <w:rPr>
        <w:rFonts w:ascii="Symbol" w:hAnsi="Symbol"/>
      </w:rPr>
    </w:lvl>
    <w:lvl w:ilvl="4" w:tplc="8E3E487A">
      <w:start w:val="1"/>
      <w:numFmt w:val="bullet"/>
      <w:lvlText w:val=""/>
      <w:lvlJc w:val="left"/>
      <w:pPr>
        <w:ind w:left="720" w:hanging="360"/>
      </w:pPr>
      <w:rPr>
        <w:rFonts w:ascii="Symbol" w:hAnsi="Symbol"/>
      </w:rPr>
    </w:lvl>
    <w:lvl w:ilvl="5" w:tplc="F79CD4FA">
      <w:start w:val="1"/>
      <w:numFmt w:val="bullet"/>
      <w:lvlText w:val=""/>
      <w:lvlJc w:val="left"/>
      <w:pPr>
        <w:ind w:left="720" w:hanging="360"/>
      </w:pPr>
      <w:rPr>
        <w:rFonts w:ascii="Symbol" w:hAnsi="Symbol"/>
      </w:rPr>
    </w:lvl>
    <w:lvl w:ilvl="6" w:tplc="1048EB4E">
      <w:start w:val="1"/>
      <w:numFmt w:val="bullet"/>
      <w:lvlText w:val=""/>
      <w:lvlJc w:val="left"/>
      <w:pPr>
        <w:ind w:left="720" w:hanging="360"/>
      </w:pPr>
      <w:rPr>
        <w:rFonts w:ascii="Symbol" w:hAnsi="Symbol"/>
      </w:rPr>
    </w:lvl>
    <w:lvl w:ilvl="7" w:tplc="A5C05A34">
      <w:start w:val="1"/>
      <w:numFmt w:val="bullet"/>
      <w:lvlText w:val=""/>
      <w:lvlJc w:val="left"/>
      <w:pPr>
        <w:ind w:left="720" w:hanging="360"/>
      </w:pPr>
      <w:rPr>
        <w:rFonts w:ascii="Symbol" w:hAnsi="Symbol"/>
      </w:rPr>
    </w:lvl>
    <w:lvl w:ilvl="8" w:tplc="DFB4C074">
      <w:start w:val="1"/>
      <w:numFmt w:val="bullet"/>
      <w:lvlText w:val=""/>
      <w:lvlJc w:val="left"/>
      <w:pPr>
        <w:ind w:left="720" w:hanging="360"/>
      </w:pPr>
      <w:rPr>
        <w:rFonts w:ascii="Symbol" w:hAnsi="Symbol"/>
      </w:rPr>
    </w:lvl>
  </w:abstractNum>
  <w:abstractNum w:abstractNumId="2" w15:restartNumberingAfterBreak="0">
    <w:nsid w:val="516160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5A"/>
    <w:rsid w:val="000011CC"/>
    <w:rsid w:val="0000365C"/>
    <w:rsid w:val="00005022"/>
    <w:rsid w:val="00005284"/>
    <w:rsid w:val="00005BA4"/>
    <w:rsid w:val="00007FAF"/>
    <w:rsid w:val="000128E6"/>
    <w:rsid w:val="00013C4C"/>
    <w:rsid w:val="00021A25"/>
    <w:rsid w:val="000273E3"/>
    <w:rsid w:val="00030EAA"/>
    <w:rsid w:val="00031497"/>
    <w:rsid w:val="00036227"/>
    <w:rsid w:val="0004128E"/>
    <w:rsid w:val="00042ECD"/>
    <w:rsid w:val="00044CED"/>
    <w:rsid w:val="00046568"/>
    <w:rsid w:val="000478B7"/>
    <w:rsid w:val="0005151B"/>
    <w:rsid w:val="00051D36"/>
    <w:rsid w:val="00054556"/>
    <w:rsid w:val="00056046"/>
    <w:rsid w:val="00056513"/>
    <w:rsid w:val="0005677D"/>
    <w:rsid w:val="00060A93"/>
    <w:rsid w:val="000621C7"/>
    <w:rsid w:val="00067A4D"/>
    <w:rsid w:val="0007002E"/>
    <w:rsid w:val="0007207F"/>
    <w:rsid w:val="0007474B"/>
    <w:rsid w:val="000747F3"/>
    <w:rsid w:val="00081337"/>
    <w:rsid w:val="00082824"/>
    <w:rsid w:val="00083B9D"/>
    <w:rsid w:val="00086C25"/>
    <w:rsid w:val="0008780A"/>
    <w:rsid w:val="000A3240"/>
    <w:rsid w:val="000A4158"/>
    <w:rsid w:val="000B1F23"/>
    <w:rsid w:val="000B2C27"/>
    <w:rsid w:val="000B2E82"/>
    <w:rsid w:val="000B477F"/>
    <w:rsid w:val="000B6A72"/>
    <w:rsid w:val="000B7438"/>
    <w:rsid w:val="000B76CC"/>
    <w:rsid w:val="000C085B"/>
    <w:rsid w:val="000C37E2"/>
    <w:rsid w:val="000C4DAD"/>
    <w:rsid w:val="000C63DB"/>
    <w:rsid w:val="000C794B"/>
    <w:rsid w:val="000D2AE0"/>
    <w:rsid w:val="000D67A8"/>
    <w:rsid w:val="000E02E8"/>
    <w:rsid w:val="000E0D50"/>
    <w:rsid w:val="000E2323"/>
    <w:rsid w:val="000E2E80"/>
    <w:rsid w:val="000E47AD"/>
    <w:rsid w:val="000E6A92"/>
    <w:rsid w:val="000F41BF"/>
    <w:rsid w:val="000F54C4"/>
    <w:rsid w:val="00101369"/>
    <w:rsid w:val="00103BE0"/>
    <w:rsid w:val="0010460B"/>
    <w:rsid w:val="0010467C"/>
    <w:rsid w:val="00105491"/>
    <w:rsid w:val="00105A83"/>
    <w:rsid w:val="00110D45"/>
    <w:rsid w:val="00114CD2"/>
    <w:rsid w:val="00116374"/>
    <w:rsid w:val="00116F3A"/>
    <w:rsid w:val="00120E05"/>
    <w:rsid w:val="00120F78"/>
    <w:rsid w:val="001357E2"/>
    <w:rsid w:val="00136F50"/>
    <w:rsid w:val="00144A6A"/>
    <w:rsid w:val="00144DD4"/>
    <w:rsid w:val="00144EA2"/>
    <w:rsid w:val="00145E07"/>
    <w:rsid w:val="001469D1"/>
    <w:rsid w:val="0014721E"/>
    <w:rsid w:val="00150AEE"/>
    <w:rsid w:val="00151A2D"/>
    <w:rsid w:val="00151DEF"/>
    <w:rsid w:val="0016008D"/>
    <w:rsid w:val="0016386F"/>
    <w:rsid w:val="00163F07"/>
    <w:rsid w:val="00165609"/>
    <w:rsid w:val="00166D24"/>
    <w:rsid w:val="00167D8E"/>
    <w:rsid w:val="00167DCC"/>
    <w:rsid w:val="00172663"/>
    <w:rsid w:val="00173334"/>
    <w:rsid w:val="00174BB6"/>
    <w:rsid w:val="00175438"/>
    <w:rsid w:val="001760CA"/>
    <w:rsid w:val="00182F1A"/>
    <w:rsid w:val="00187297"/>
    <w:rsid w:val="00193A67"/>
    <w:rsid w:val="001A17E2"/>
    <w:rsid w:val="001A367C"/>
    <w:rsid w:val="001A36E2"/>
    <w:rsid w:val="001A761D"/>
    <w:rsid w:val="001B1684"/>
    <w:rsid w:val="001B44D7"/>
    <w:rsid w:val="001B511E"/>
    <w:rsid w:val="001B78FB"/>
    <w:rsid w:val="001C3140"/>
    <w:rsid w:val="001C4B19"/>
    <w:rsid w:val="001D539A"/>
    <w:rsid w:val="001E2B78"/>
    <w:rsid w:val="001E5AF7"/>
    <w:rsid w:val="001E6DA7"/>
    <w:rsid w:val="001E7C7A"/>
    <w:rsid w:val="001F1753"/>
    <w:rsid w:val="001F1905"/>
    <w:rsid w:val="001F1D1E"/>
    <w:rsid w:val="001F4C2B"/>
    <w:rsid w:val="001F54E8"/>
    <w:rsid w:val="00200CFB"/>
    <w:rsid w:val="0020305A"/>
    <w:rsid w:val="00205CDC"/>
    <w:rsid w:val="00206752"/>
    <w:rsid w:val="002067F0"/>
    <w:rsid w:val="00210DEC"/>
    <w:rsid w:val="00215790"/>
    <w:rsid w:val="002177A3"/>
    <w:rsid w:val="00220855"/>
    <w:rsid w:val="00222D07"/>
    <w:rsid w:val="002254A2"/>
    <w:rsid w:val="00225AD9"/>
    <w:rsid w:val="002264FE"/>
    <w:rsid w:val="002266D8"/>
    <w:rsid w:val="00226B0E"/>
    <w:rsid w:val="002271C7"/>
    <w:rsid w:val="002277FF"/>
    <w:rsid w:val="00227B74"/>
    <w:rsid w:val="00232F96"/>
    <w:rsid w:val="00234C14"/>
    <w:rsid w:val="0023729F"/>
    <w:rsid w:val="002377F9"/>
    <w:rsid w:val="00244876"/>
    <w:rsid w:val="002464CD"/>
    <w:rsid w:val="00252B67"/>
    <w:rsid w:val="00261FFE"/>
    <w:rsid w:val="002624B9"/>
    <w:rsid w:val="002712C2"/>
    <w:rsid w:val="00276BBA"/>
    <w:rsid w:val="00277DC5"/>
    <w:rsid w:val="00282161"/>
    <w:rsid w:val="0028286F"/>
    <w:rsid w:val="00284196"/>
    <w:rsid w:val="002864A8"/>
    <w:rsid w:val="0028672C"/>
    <w:rsid w:val="0028676A"/>
    <w:rsid w:val="00287B07"/>
    <w:rsid w:val="00291292"/>
    <w:rsid w:val="00293434"/>
    <w:rsid w:val="00295BD9"/>
    <w:rsid w:val="002A4CBD"/>
    <w:rsid w:val="002A64F7"/>
    <w:rsid w:val="002B1382"/>
    <w:rsid w:val="002B25C2"/>
    <w:rsid w:val="002B2795"/>
    <w:rsid w:val="002C124A"/>
    <w:rsid w:val="002C1690"/>
    <w:rsid w:val="002C2153"/>
    <w:rsid w:val="002C2669"/>
    <w:rsid w:val="002C4302"/>
    <w:rsid w:val="002C6EDA"/>
    <w:rsid w:val="002D1634"/>
    <w:rsid w:val="002D2421"/>
    <w:rsid w:val="002D683A"/>
    <w:rsid w:val="002E0094"/>
    <w:rsid w:val="002E1247"/>
    <w:rsid w:val="002E61A6"/>
    <w:rsid w:val="002E6E0E"/>
    <w:rsid w:val="002F1228"/>
    <w:rsid w:val="002F1E41"/>
    <w:rsid w:val="002F23B5"/>
    <w:rsid w:val="002F263E"/>
    <w:rsid w:val="002F6873"/>
    <w:rsid w:val="00301E6C"/>
    <w:rsid w:val="0030253F"/>
    <w:rsid w:val="003029B9"/>
    <w:rsid w:val="00303C7F"/>
    <w:rsid w:val="00304977"/>
    <w:rsid w:val="00305A2D"/>
    <w:rsid w:val="00305B21"/>
    <w:rsid w:val="00305CF2"/>
    <w:rsid w:val="00307229"/>
    <w:rsid w:val="003200E1"/>
    <w:rsid w:val="00320486"/>
    <w:rsid w:val="00323C1A"/>
    <w:rsid w:val="00327B44"/>
    <w:rsid w:val="00327EDB"/>
    <w:rsid w:val="003307C5"/>
    <w:rsid w:val="00331421"/>
    <w:rsid w:val="00331DAA"/>
    <w:rsid w:val="003334AE"/>
    <w:rsid w:val="0033426C"/>
    <w:rsid w:val="0034134D"/>
    <w:rsid w:val="00341725"/>
    <w:rsid w:val="00345B7E"/>
    <w:rsid w:val="00351DEE"/>
    <w:rsid w:val="0035599D"/>
    <w:rsid w:val="00355BBB"/>
    <w:rsid w:val="00361CBD"/>
    <w:rsid w:val="00362C19"/>
    <w:rsid w:val="003647E4"/>
    <w:rsid w:val="003730E4"/>
    <w:rsid w:val="003776BC"/>
    <w:rsid w:val="00380358"/>
    <w:rsid w:val="00387297"/>
    <w:rsid w:val="00392E27"/>
    <w:rsid w:val="003A4288"/>
    <w:rsid w:val="003B01F5"/>
    <w:rsid w:val="003B3260"/>
    <w:rsid w:val="003B4CD5"/>
    <w:rsid w:val="003C1949"/>
    <w:rsid w:val="003C4552"/>
    <w:rsid w:val="003C7340"/>
    <w:rsid w:val="003D0058"/>
    <w:rsid w:val="003D08E4"/>
    <w:rsid w:val="003D2123"/>
    <w:rsid w:val="003D37C3"/>
    <w:rsid w:val="003D42D8"/>
    <w:rsid w:val="003D4ED8"/>
    <w:rsid w:val="003E1EFD"/>
    <w:rsid w:val="003E20B8"/>
    <w:rsid w:val="003E2301"/>
    <w:rsid w:val="003E3C60"/>
    <w:rsid w:val="003E47CF"/>
    <w:rsid w:val="003E6DF0"/>
    <w:rsid w:val="003F0D20"/>
    <w:rsid w:val="003F1C7F"/>
    <w:rsid w:val="0040560F"/>
    <w:rsid w:val="0041283A"/>
    <w:rsid w:val="00414E57"/>
    <w:rsid w:val="00420784"/>
    <w:rsid w:val="0042091B"/>
    <w:rsid w:val="00425A91"/>
    <w:rsid w:val="0042706D"/>
    <w:rsid w:val="00427117"/>
    <w:rsid w:val="00431763"/>
    <w:rsid w:val="00432EA3"/>
    <w:rsid w:val="00433EDF"/>
    <w:rsid w:val="00435A7D"/>
    <w:rsid w:val="004368C3"/>
    <w:rsid w:val="00440092"/>
    <w:rsid w:val="0044061D"/>
    <w:rsid w:val="00445577"/>
    <w:rsid w:val="00445616"/>
    <w:rsid w:val="00446B1C"/>
    <w:rsid w:val="00450DD3"/>
    <w:rsid w:val="00451D7A"/>
    <w:rsid w:val="0045338D"/>
    <w:rsid w:val="004604E6"/>
    <w:rsid w:val="00462E87"/>
    <w:rsid w:val="00464D8B"/>
    <w:rsid w:val="00474F47"/>
    <w:rsid w:val="00476C21"/>
    <w:rsid w:val="00477BF4"/>
    <w:rsid w:val="004805B1"/>
    <w:rsid w:val="00484041"/>
    <w:rsid w:val="004906DA"/>
    <w:rsid w:val="00492539"/>
    <w:rsid w:val="00493022"/>
    <w:rsid w:val="00493130"/>
    <w:rsid w:val="004A2D3C"/>
    <w:rsid w:val="004A4F4D"/>
    <w:rsid w:val="004A642C"/>
    <w:rsid w:val="004B1631"/>
    <w:rsid w:val="004B26BC"/>
    <w:rsid w:val="004B3666"/>
    <w:rsid w:val="004B3C3A"/>
    <w:rsid w:val="004B66E1"/>
    <w:rsid w:val="004B749D"/>
    <w:rsid w:val="004C2B47"/>
    <w:rsid w:val="004C4C73"/>
    <w:rsid w:val="004C6021"/>
    <w:rsid w:val="004D1D49"/>
    <w:rsid w:val="004D569B"/>
    <w:rsid w:val="004D57DF"/>
    <w:rsid w:val="004E3439"/>
    <w:rsid w:val="004E436E"/>
    <w:rsid w:val="004E48D1"/>
    <w:rsid w:val="004E5261"/>
    <w:rsid w:val="004E53FB"/>
    <w:rsid w:val="004E5F16"/>
    <w:rsid w:val="004F301D"/>
    <w:rsid w:val="004F681A"/>
    <w:rsid w:val="004F6A26"/>
    <w:rsid w:val="005005A2"/>
    <w:rsid w:val="00507948"/>
    <w:rsid w:val="005100E1"/>
    <w:rsid w:val="00511575"/>
    <w:rsid w:val="0051165F"/>
    <w:rsid w:val="00512DCE"/>
    <w:rsid w:val="005135B4"/>
    <w:rsid w:val="0051604F"/>
    <w:rsid w:val="00517A7D"/>
    <w:rsid w:val="00526662"/>
    <w:rsid w:val="00536046"/>
    <w:rsid w:val="00540DBC"/>
    <w:rsid w:val="00547484"/>
    <w:rsid w:val="00556414"/>
    <w:rsid w:val="00570358"/>
    <w:rsid w:val="00574DBF"/>
    <w:rsid w:val="00575BA4"/>
    <w:rsid w:val="00577B23"/>
    <w:rsid w:val="00583A07"/>
    <w:rsid w:val="005856D3"/>
    <w:rsid w:val="00585C1F"/>
    <w:rsid w:val="00590DF7"/>
    <w:rsid w:val="00591569"/>
    <w:rsid w:val="00593448"/>
    <w:rsid w:val="00596123"/>
    <w:rsid w:val="00597B56"/>
    <w:rsid w:val="005A002B"/>
    <w:rsid w:val="005A046A"/>
    <w:rsid w:val="005A7BC1"/>
    <w:rsid w:val="005B329F"/>
    <w:rsid w:val="005B41BF"/>
    <w:rsid w:val="005B421F"/>
    <w:rsid w:val="005B626E"/>
    <w:rsid w:val="005B6818"/>
    <w:rsid w:val="005B7AEB"/>
    <w:rsid w:val="005C12B6"/>
    <w:rsid w:val="005C1651"/>
    <w:rsid w:val="005C5D47"/>
    <w:rsid w:val="005D491A"/>
    <w:rsid w:val="005D6733"/>
    <w:rsid w:val="005E13BE"/>
    <w:rsid w:val="005E1EC3"/>
    <w:rsid w:val="005E2027"/>
    <w:rsid w:val="005E2789"/>
    <w:rsid w:val="005E5F67"/>
    <w:rsid w:val="005F07C4"/>
    <w:rsid w:val="005F09CF"/>
    <w:rsid w:val="005F521B"/>
    <w:rsid w:val="005F53C5"/>
    <w:rsid w:val="006003A1"/>
    <w:rsid w:val="00600A1C"/>
    <w:rsid w:val="0060216F"/>
    <w:rsid w:val="00607658"/>
    <w:rsid w:val="0061182D"/>
    <w:rsid w:val="006133F5"/>
    <w:rsid w:val="00617F9C"/>
    <w:rsid w:val="006228DD"/>
    <w:rsid w:val="00622D2C"/>
    <w:rsid w:val="006235F7"/>
    <w:rsid w:val="00624712"/>
    <w:rsid w:val="006322BB"/>
    <w:rsid w:val="00635D54"/>
    <w:rsid w:val="00640C12"/>
    <w:rsid w:val="00640FF2"/>
    <w:rsid w:val="00641A21"/>
    <w:rsid w:val="00641DFB"/>
    <w:rsid w:val="0064292D"/>
    <w:rsid w:val="006447C7"/>
    <w:rsid w:val="006457A1"/>
    <w:rsid w:val="00645F87"/>
    <w:rsid w:val="006569EB"/>
    <w:rsid w:val="006578E3"/>
    <w:rsid w:val="00662A87"/>
    <w:rsid w:val="00664054"/>
    <w:rsid w:val="0067229D"/>
    <w:rsid w:val="006739A7"/>
    <w:rsid w:val="00673AC0"/>
    <w:rsid w:val="00674569"/>
    <w:rsid w:val="00676429"/>
    <w:rsid w:val="00677EB0"/>
    <w:rsid w:val="00682110"/>
    <w:rsid w:val="00686A47"/>
    <w:rsid w:val="006872ED"/>
    <w:rsid w:val="00691DDB"/>
    <w:rsid w:val="00694C1D"/>
    <w:rsid w:val="006A1601"/>
    <w:rsid w:val="006A2E85"/>
    <w:rsid w:val="006A3885"/>
    <w:rsid w:val="006A4B25"/>
    <w:rsid w:val="006A58BF"/>
    <w:rsid w:val="006A7C51"/>
    <w:rsid w:val="006B4DBC"/>
    <w:rsid w:val="006B658D"/>
    <w:rsid w:val="006B6C50"/>
    <w:rsid w:val="006B78C4"/>
    <w:rsid w:val="006C25C8"/>
    <w:rsid w:val="006C37C4"/>
    <w:rsid w:val="006C580A"/>
    <w:rsid w:val="006C77E0"/>
    <w:rsid w:val="006D154C"/>
    <w:rsid w:val="006D1C7C"/>
    <w:rsid w:val="006E24FF"/>
    <w:rsid w:val="006E2A11"/>
    <w:rsid w:val="006E2DED"/>
    <w:rsid w:val="006E33C6"/>
    <w:rsid w:val="006E47A9"/>
    <w:rsid w:val="006E6E57"/>
    <w:rsid w:val="006E6ED3"/>
    <w:rsid w:val="006F253C"/>
    <w:rsid w:val="006F3BC1"/>
    <w:rsid w:val="006F5517"/>
    <w:rsid w:val="006F6CB7"/>
    <w:rsid w:val="00701F3F"/>
    <w:rsid w:val="007029BD"/>
    <w:rsid w:val="0070534C"/>
    <w:rsid w:val="0070589A"/>
    <w:rsid w:val="00705933"/>
    <w:rsid w:val="00716732"/>
    <w:rsid w:val="00721273"/>
    <w:rsid w:val="007212D7"/>
    <w:rsid w:val="0072260C"/>
    <w:rsid w:val="00727286"/>
    <w:rsid w:val="00732D7C"/>
    <w:rsid w:val="00733EF8"/>
    <w:rsid w:val="007342CE"/>
    <w:rsid w:val="00735B83"/>
    <w:rsid w:val="00736912"/>
    <w:rsid w:val="00737F59"/>
    <w:rsid w:val="0074100A"/>
    <w:rsid w:val="00741DBD"/>
    <w:rsid w:val="007458FD"/>
    <w:rsid w:val="00747DAF"/>
    <w:rsid w:val="007523A1"/>
    <w:rsid w:val="00753394"/>
    <w:rsid w:val="00753F7A"/>
    <w:rsid w:val="00754184"/>
    <w:rsid w:val="00754474"/>
    <w:rsid w:val="007637CA"/>
    <w:rsid w:val="00764931"/>
    <w:rsid w:val="00766DE6"/>
    <w:rsid w:val="00767F62"/>
    <w:rsid w:val="0077087C"/>
    <w:rsid w:val="00771E70"/>
    <w:rsid w:val="0077301D"/>
    <w:rsid w:val="00773C5E"/>
    <w:rsid w:val="00775B73"/>
    <w:rsid w:val="007808C3"/>
    <w:rsid w:val="00784D47"/>
    <w:rsid w:val="00793BAB"/>
    <w:rsid w:val="007943EC"/>
    <w:rsid w:val="007A0CD9"/>
    <w:rsid w:val="007A4A1E"/>
    <w:rsid w:val="007A5DBA"/>
    <w:rsid w:val="007A6265"/>
    <w:rsid w:val="007A63DB"/>
    <w:rsid w:val="007C0322"/>
    <w:rsid w:val="007C1219"/>
    <w:rsid w:val="007C2BAD"/>
    <w:rsid w:val="007C3199"/>
    <w:rsid w:val="007C3B77"/>
    <w:rsid w:val="007C65F8"/>
    <w:rsid w:val="007D61DF"/>
    <w:rsid w:val="007E31C2"/>
    <w:rsid w:val="007E3953"/>
    <w:rsid w:val="007E4139"/>
    <w:rsid w:val="007F11C2"/>
    <w:rsid w:val="007F317A"/>
    <w:rsid w:val="007F7AE5"/>
    <w:rsid w:val="007F7C5F"/>
    <w:rsid w:val="00800C3C"/>
    <w:rsid w:val="0080146C"/>
    <w:rsid w:val="00802575"/>
    <w:rsid w:val="008027F2"/>
    <w:rsid w:val="00806ADA"/>
    <w:rsid w:val="008148AF"/>
    <w:rsid w:val="00817DB3"/>
    <w:rsid w:val="00821447"/>
    <w:rsid w:val="00821FF9"/>
    <w:rsid w:val="008274F1"/>
    <w:rsid w:val="00830F46"/>
    <w:rsid w:val="008379D4"/>
    <w:rsid w:val="008424DF"/>
    <w:rsid w:val="0084423C"/>
    <w:rsid w:val="00845365"/>
    <w:rsid w:val="0084693A"/>
    <w:rsid w:val="00852376"/>
    <w:rsid w:val="008549A0"/>
    <w:rsid w:val="0086145D"/>
    <w:rsid w:val="00862C29"/>
    <w:rsid w:val="00863068"/>
    <w:rsid w:val="00863280"/>
    <w:rsid w:val="00865936"/>
    <w:rsid w:val="008659ED"/>
    <w:rsid w:val="00866131"/>
    <w:rsid w:val="00867D5E"/>
    <w:rsid w:val="00870C3D"/>
    <w:rsid w:val="008710B4"/>
    <w:rsid w:val="00871E32"/>
    <w:rsid w:val="00877A22"/>
    <w:rsid w:val="00880FC1"/>
    <w:rsid w:val="00882F99"/>
    <w:rsid w:val="008832F6"/>
    <w:rsid w:val="008841A3"/>
    <w:rsid w:val="0088605F"/>
    <w:rsid w:val="00895F7D"/>
    <w:rsid w:val="00895FCD"/>
    <w:rsid w:val="008A2218"/>
    <w:rsid w:val="008A25DB"/>
    <w:rsid w:val="008A6394"/>
    <w:rsid w:val="008A765C"/>
    <w:rsid w:val="008C4412"/>
    <w:rsid w:val="008D2A19"/>
    <w:rsid w:val="008D3659"/>
    <w:rsid w:val="008D5766"/>
    <w:rsid w:val="008D6E5A"/>
    <w:rsid w:val="008E1588"/>
    <w:rsid w:val="008E48E9"/>
    <w:rsid w:val="008E779F"/>
    <w:rsid w:val="008F0A2D"/>
    <w:rsid w:val="008F1D0D"/>
    <w:rsid w:val="008F524C"/>
    <w:rsid w:val="008F595B"/>
    <w:rsid w:val="009038A4"/>
    <w:rsid w:val="00903EFA"/>
    <w:rsid w:val="00906C01"/>
    <w:rsid w:val="00907071"/>
    <w:rsid w:val="00911779"/>
    <w:rsid w:val="00916834"/>
    <w:rsid w:val="00917F81"/>
    <w:rsid w:val="00933911"/>
    <w:rsid w:val="00934B54"/>
    <w:rsid w:val="00940053"/>
    <w:rsid w:val="00940FE1"/>
    <w:rsid w:val="009419AB"/>
    <w:rsid w:val="00943247"/>
    <w:rsid w:val="00946058"/>
    <w:rsid w:val="00947897"/>
    <w:rsid w:val="0095019D"/>
    <w:rsid w:val="00952C78"/>
    <w:rsid w:val="00960385"/>
    <w:rsid w:val="00961B61"/>
    <w:rsid w:val="00961FFB"/>
    <w:rsid w:val="0096392B"/>
    <w:rsid w:val="00967AB4"/>
    <w:rsid w:val="00972FCD"/>
    <w:rsid w:val="00984C32"/>
    <w:rsid w:val="0098500D"/>
    <w:rsid w:val="009929EA"/>
    <w:rsid w:val="009972F5"/>
    <w:rsid w:val="00997CBE"/>
    <w:rsid w:val="009A6082"/>
    <w:rsid w:val="009B33D6"/>
    <w:rsid w:val="009B6D77"/>
    <w:rsid w:val="009C2FD3"/>
    <w:rsid w:val="009C529D"/>
    <w:rsid w:val="009D4177"/>
    <w:rsid w:val="009D6FCD"/>
    <w:rsid w:val="009E018F"/>
    <w:rsid w:val="009E04E1"/>
    <w:rsid w:val="009E0949"/>
    <w:rsid w:val="009E5F8D"/>
    <w:rsid w:val="009E65AA"/>
    <w:rsid w:val="009F4E27"/>
    <w:rsid w:val="009F5324"/>
    <w:rsid w:val="009F5C09"/>
    <w:rsid w:val="00A06473"/>
    <w:rsid w:val="00A14594"/>
    <w:rsid w:val="00A14E24"/>
    <w:rsid w:val="00A15EC9"/>
    <w:rsid w:val="00A170C2"/>
    <w:rsid w:val="00A254E3"/>
    <w:rsid w:val="00A25917"/>
    <w:rsid w:val="00A4092E"/>
    <w:rsid w:val="00A4297E"/>
    <w:rsid w:val="00A44AB4"/>
    <w:rsid w:val="00A45848"/>
    <w:rsid w:val="00A47D91"/>
    <w:rsid w:val="00A51741"/>
    <w:rsid w:val="00A53ABC"/>
    <w:rsid w:val="00A54C47"/>
    <w:rsid w:val="00A54CEB"/>
    <w:rsid w:val="00A63A54"/>
    <w:rsid w:val="00A733B2"/>
    <w:rsid w:val="00A82E03"/>
    <w:rsid w:val="00A8340D"/>
    <w:rsid w:val="00A853DF"/>
    <w:rsid w:val="00A85802"/>
    <w:rsid w:val="00A92FBB"/>
    <w:rsid w:val="00A93688"/>
    <w:rsid w:val="00AA0219"/>
    <w:rsid w:val="00AA6E3C"/>
    <w:rsid w:val="00AC123C"/>
    <w:rsid w:val="00AD4C63"/>
    <w:rsid w:val="00AD6106"/>
    <w:rsid w:val="00AD6C31"/>
    <w:rsid w:val="00AE6044"/>
    <w:rsid w:val="00AE60B9"/>
    <w:rsid w:val="00AE7C4C"/>
    <w:rsid w:val="00AF35B8"/>
    <w:rsid w:val="00AF6E79"/>
    <w:rsid w:val="00B04380"/>
    <w:rsid w:val="00B04A72"/>
    <w:rsid w:val="00B10106"/>
    <w:rsid w:val="00B13958"/>
    <w:rsid w:val="00B141BF"/>
    <w:rsid w:val="00B144BD"/>
    <w:rsid w:val="00B17297"/>
    <w:rsid w:val="00B2415C"/>
    <w:rsid w:val="00B251F9"/>
    <w:rsid w:val="00B25467"/>
    <w:rsid w:val="00B33FC2"/>
    <w:rsid w:val="00B3750A"/>
    <w:rsid w:val="00B4128D"/>
    <w:rsid w:val="00B51CEC"/>
    <w:rsid w:val="00B54E01"/>
    <w:rsid w:val="00B572E7"/>
    <w:rsid w:val="00B61C31"/>
    <w:rsid w:val="00B62570"/>
    <w:rsid w:val="00B62A5D"/>
    <w:rsid w:val="00B64D27"/>
    <w:rsid w:val="00B6521B"/>
    <w:rsid w:val="00B663EB"/>
    <w:rsid w:val="00B664AC"/>
    <w:rsid w:val="00B729ED"/>
    <w:rsid w:val="00B83E81"/>
    <w:rsid w:val="00B845E3"/>
    <w:rsid w:val="00B92016"/>
    <w:rsid w:val="00B92216"/>
    <w:rsid w:val="00B939BD"/>
    <w:rsid w:val="00B959B2"/>
    <w:rsid w:val="00B97E77"/>
    <w:rsid w:val="00BA43CC"/>
    <w:rsid w:val="00BA6345"/>
    <w:rsid w:val="00BB369E"/>
    <w:rsid w:val="00BB60B0"/>
    <w:rsid w:val="00BB7587"/>
    <w:rsid w:val="00BC0DB7"/>
    <w:rsid w:val="00BC462E"/>
    <w:rsid w:val="00BC5D38"/>
    <w:rsid w:val="00BD090D"/>
    <w:rsid w:val="00BD0D2C"/>
    <w:rsid w:val="00BD3D00"/>
    <w:rsid w:val="00BD3EE0"/>
    <w:rsid w:val="00BD6EFF"/>
    <w:rsid w:val="00BD7C0F"/>
    <w:rsid w:val="00BE2483"/>
    <w:rsid w:val="00BE5C2C"/>
    <w:rsid w:val="00BE7027"/>
    <w:rsid w:val="00BF1727"/>
    <w:rsid w:val="00BF3F06"/>
    <w:rsid w:val="00BF4AFC"/>
    <w:rsid w:val="00BF5BFD"/>
    <w:rsid w:val="00BF64C3"/>
    <w:rsid w:val="00C004CC"/>
    <w:rsid w:val="00C028AD"/>
    <w:rsid w:val="00C106F1"/>
    <w:rsid w:val="00C124B8"/>
    <w:rsid w:val="00C16F9B"/>
    <w:rsid w:val="00C20EC5"/>
    <w:rsid w:val="00C2201C"/>
    <w:rsid w:val="00C35DC9"/>
    <w:rsid w:val="00C40FE3"/>
    <w:rsid w:val="00C441D2"/>
    <w:rsid w:val="00C45498"/>
    <w:rsid w:val="00C51DCC"/>
    <w:rsid w:val="00C5512A"/>
    <w:rsid w:val="00C56030"/>
    <w:rsid w:val="00C61CD0"/>
    <w:rsid w:val="00C62310"/>
    <w:rsid w:val="00C63DF7"/>
    <w:rsid w:val="00C65BAC"/>
    <w:rsid w:val="00C6754C"/>
    <w:rsid w:val="00C70A04"/>
    <w:rsid w:val="00C7366A"/>
    <w:rsid w:val="00C7440C"/>
    <w:rsid w:val="00C76753"/>
    <w:rsid w:val="00C80FA7"/>
    <w:rsid w:val="00C84FAF"/>
    <w:rsid w:val="00C876BE"/>
    <w:rsid w:val="00C90051"/>
    <w:rsid w:val="00C92A46"/>
    <w:rsid w:val="00C941FF"/>
    <w:rsid w:val="00C947F7"/>
    <w:rsid w:val="00C96A85"/>
    <w:rsid w:val="00C97C46"/>
    <w:rsid w:val="00CA6EF5"/>
    <w:rsid w:val="00CA7086"/>
    <w:rsid w:val="00CB2AF4"/>
    <w:rsid w:val="00CB2CB2"/>
    <w:rsid w:val="00CB7003"/>
    <w:rsid w:val="00CC1363"/>
    <w:rsid w:val="00CC4833"/>
    <w:rsid w:val="00CD06D1"/>
    <w:rsid w:val="00CD132B"/>
    <w:rsid w:val="00CD2109"/>
    <w:rsid w:val="00CD2CBD"/>
    <w:rsid w:val="00CD7E38"/>
    <w:rsid w:val="00CE1684"/>
    <w:rsid w:val="00CE3757"/>
    <w:rsid w:val="00CE3B0A"/>
    <w:rsid w:val="00CE3FC1"/>
    <w:rsid w:val="00CF0F22"/>
    <w:rsid w:val="00CF49E7"/>
    <w:rsid w:val="00D007E1"/>
    <w:rsid w:val="00D032D2"/>
    <w:rsid w:val="00D0368B"/>
    <w:rsid w:val="00D049F0"/>
    <w:rsid w:val="00D07113"/>
    <w:rsid w:val="00D1188C"/>
    <w:rsid w:val="00D11CD1"/>
    <w:rsid w:val="00D12C51"/>
    <w:rsid w:val="00D23DFB"/>
    <w:rsid w:val="00D33ED9"/>
    <w:rsid w:val="00D3470D"/>
    <w:rsid w:val="00D4024D"/>
    <w:rsid w:val="00D41C04"/>
    <w:rsid w:val="00D43672"/>
    <w:rsid w:val="00D43C7D"/>
    <w:rsid w:val="00D442DF"/>
    <w:rsid w:val="00D52973"/>
    <w:rsid w:val="00D60E99"/>
    <w:rsid w:val="00D62E9F"/>
    <w:rsid w:val="00D6423D"/>
    <w:rsid w:val="00D642C8"/>
    <w:rsid w:val="00D65275"/>
    <w:rsid w:val="00D6580A"/>
    <w:rsid w:val="00D6667A"/>
    <w:rsid w:val="00D67359"/>
    <w:rsid w:val="00D72AE5"/>
    <w:rsid w:val="00D73258"/>
    <w:rsid w:val="00D74AB6"/>
    <w:rsid w:val="00D755B3"/>
    <w:rsid w:val="00D758F4"/>
    <w:rsid w:val="00D75BDA"/>
    <w:rsid w:val="00D82ED9"/>
    <w:rsid w:val="00D8605A"/>
    <w:rsid w:val="00D876D8"/>
    <w:rsid w:val="00D93DBA"/>
    <w:rsid w:val="00DA1A87"/>
    <w:rsid w:val="00DA3535"/>
    <w:rsid w:val="00DA484B"/>
    <w:rsid w:val="00DA4A14"/>
    <w:rsid w:val="00DA4EE5"/>
    <w:rsid w:val="00DB152B"/>
    <w:rsid w:val="00DB1809"/>
    <w:rsid w:val="00DB1955"/>
    <w:rsid w:val="00DB3BFE"/>
    <w:rsid w:val="00DB3F32"/>
    <w:rsid w:val="00DB6412"/>
    <w:rsid w:val="00DC0EC3"/>
    <w:rsid w:val="00DC12DA"/>
    <w:rsid w:val="00DC26FA"/>
    <w:rsid w:val="00DC45C4"/>
    <w:rsid w:val="00DC7AE3"/>
    <w:rsid w:val="00DD2D3A"/>
    <w:rsid w:val="00DD3F89"/>
    <w:rsid w:val="00DD4039"/>
    <w:rsid w:val="00DE023D"/>
    <w:rsid w:val="00DE0623"/>
    <w:rsid w:val="00DE1C1C"/>
    <w:rsid w:val="00DE2D84"/>
    <w:rsid w:val="00DE43DB"/>
    <w:rsid w:val="00DF492A"/>
    <w:rsid w:val="00DF4D06"/>
    <w:rsid w:val="00DF7C7E"/>
    <w:rsid w:val="00E00261"/>
    <w:rsid w:val="00E05611"/>
    <w:rsid w:val="00E06268"/>
    <w:rsid w:val="00E07FB1"/>
    <w:rsid w:val="00E11A0C"/>
    <w:rsid w:val="00E11C02"/>
    <w:rsid w:val="00E12A92"/>
    <w:rsid w:val="00E13749"/>
    <w:rsid w:val="00E16EB4"/>
    <w:rsid w:val="00E216FE"/>
    <w:rsid w:val="00E22E3D"/>
    <w:rsid w:val="00E22F66"/>
    <w:rsid w:val="00E2307F"/>
    <w:rsid w:val="00E23B30"/>
    <w:rsid w:val="00E269CC"/>
    <w:rsid w:val="00E270D6"/>
    <w:rsid w:val="00E319BB"/>
    <w:rsid w:val="00E32871"/>
    <w:rsid w:val="00E37425"/>
    <w:rsid w:val="00E3789D"/>
    <w:rsid w:val="00E43338"/>
    <w:rsid w:val="00E4491E"/>
    <w:rsid w:val="00E44D28"/>
    <w:rsid w:val="00E453EC"/>
    <w:rsid w:val="00E457D7"/>
    <w:rsid w:val="00E466C3"/>
    <w:rsid w:val="00E46D11"/>
    <w:rsid w:val="00E50781"/>
    <w:rsid w:val="00E51625"/>
    <w:rsid w:val="00E51BC9"/>
    <w:rsid w:val="00E531B3"/>
    <w:rsid w:val="00E54C3C"/>
    <w:rsid w:val="00E57509"/>
    <w:rsid w:val="00E614BF"/>
    <w:rsid w:val="00E63219"/>
    <w:rsid w:val="00E66182"/>
    <w:rsid w:val="00E66BDA"/>
    <w:rsid w:val="00E66FF1"/>
    <w:rsid w:val="00E67C12"/>
    <w:rsid w:val="00E72B82"/>
    <w:rsid w:val="00E736F3"/>
    <w:rsid w:val="00E73FF7"/>
    <w:rsid w:val="00E819DE"/>
    <w:rsid w:val="00E82ECD"/>
    <w:rsid w:val="00E84264"/>
    <w:rsid w:val="00E856DA"/>
    <w:rsid w:val="00E90B67"/>
    <w:rsid w:val="00E921E7"/>
    <w:rsid w:val="00E93F93"/>
    <w:rsid w:val="00E94FC3"/>
    <w:rsid w:val="00E9586A"/>
    <w:rsid w:val="00EA1FA8"/>
    <w:rsid w:val="00EA344D"/>
    <w:rsid w:val="00EB034B"/>
    <w:rsid w:val="00EB4523"/>
    <w:rsid w:val="00EB69B9"/>
    <w:rsid w:val="00EB7E50"/>
    <w:rsid w:val="00EC287A"/>
    <w:rsid w:val="00EC5789"/>
    <w:rsid w:val="00EC64D4"/>
    <w:rsid w:val="00EC6BB1"/>
    <w:rsid w:val="00EC739B"/>
    <w:rsid w:val="00EC7D3B"/>
    <w:rsid w:val="00ED1E08"/>
    <w:rsid w:val="00ED2239"/>
    <w:rsid w:val="00ED2947"/>
    <w:rsid w:val="00ED7C52"/>
    <w:rsid w:val="00ED7D14"/>
    <w:rsid w:val="00EE0942"/>
    <w:rsid w:val="00EE2858"/>
    <w:rsid w:val="00EE428D"/>
    <w:rsid w:val="00EE7942"/>
    <w:rsid w:val="00EF2EA4"/>
    <w:rsid w:val="00EF7785"/>
    <w:rsid w:val="00F00365"/>
    <w:rsid w:val="00F0174C"/>
    <w:rsid w:val="00F01859"/>
    <w:rsid w:val="00F04081"/>
    <w:rsid w:val="00F05710"/>
    <w:rsid w:val="00F069D5"/>
    <w:rsid w:val="00F112B6"/>
    <w:rsid w:val="00F13906"/>
    <w:rsid w:val="00F13AD4"/>
    <w:rsid w:val="00F1475E"/>
    <w:rsid w:val="00F15084"/>
    <w:rsid w:val="00F21150"/>
    <w:rsid w:val="00F22803"/>
    <w:rsid w:val="00F23DD5"/>
    <w:rsid w:val="00F31E34"/>
    <w:rsid w:val="00F32A34"/>
    <w:rsid w:val="00F3406B"/>
    <w:rsid w:val="00F348E0"/>
    <w:rsid w:val="00F36C27"/>
    <w:rsid w:val="00F377EE"/>
    <w:rsid w:val="00F37898"/>
    <w:rsid w:val="00F37F8C"/>
    <w:rsid w:val="00F436DC"/>
    <w:rsid w:val="00F443AD"/>
    <w:rsid w:val="00F44452"/>
    <w:rsid w:val="00F46F2C"/>
    <w:rsid w:val="00F5217F"/>
    <w:rsid w:val="00F5224E"/>
    <w:rsid w:val="00F52688"/>
    <w:rsid w:val="00F54630"/>
    <w:rsid w:val="00F55102"/>
    <w:rsid w:val="00F56D10"/>
    <w:rsid w:val="00F632B8"/>
    <w:rsid w:val="00F646B9"/>
    <w:rsid w:val="00F65BC8"/>
    <w:rsid w:val="00F75832"/>
    <w:rsid w:val="00F75D75"/>
    <w:rsid w:val="00F777AF"/>
    <w:rsid w:val="00F77C19"/>
    <w:rsid w:val="00F80BDF"/>
    <w:rsid w:val="00F8172E"/>
    <w:rsid w:val="00F81AFB"/>
    <w:rsid w:val="00F82B40"/>
    <w:rsid w:val="00F83F8E"/>
    <w:rsid w:val="00F85ED7"/>
    <w:rsid w:val="00F90EE7"/>
    <w:rsid w:val="00F95394"/>
    <w:rsid w:val="00F955ED"/>
    <w:rsid w:val="00FA0386"/>
    <w:rsid w:val="00FA1DA0"/>
    <w:rsid w:val="00FA3BB2"/>
    <w:rsid w:val="00FA565E"/>
    <w:rsid w:val="00FB2E03"/>
    <w:rsid w:val="00FB2E98"/>
    <w:rsid w:val="00FB30B6"/>
    <w:rsid w:val="00FB37D1"/>
    <w:rsid w:val="00FB580E"/>
    <w:rsid w:val="00FC0050"/>
    <w:rsid w:val="00FC2336"/>
    <w:rsid w:val="00FC30B6"/>
    <w:rsid w:val="00FC30DE"/>
    <w:rsid w:val="00FC513E"/>
    <w:rsid w:val="00FC5457"/>
    <w:rsid w:val="00FC6828"/>
    <w:rsid w:val="00FC7B41"/>
    <w:rsid w:val="00FD0484"/>
    <w:rsid w:val="00FD171D"/>
    <w:rsid w:val="00FD2EAF"/>
    <w:rsid w:val="00FD4483"/>
    <w:rsid w:val="00FE1CA9"/>
    <w:rsid w:val="00FE36A7"/>
    <w:rsid w:val="00FE4413"/>
    <w:rsid w:val="00FF4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A46F7D-06FE-4305-8513-1E19C20F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4128E"/>
    <w:rPr>
      <w:rFonts w:ascii="Arial" w:hAnsi="Arial"/>
      <w:sz w:val="22"/>
      <w:szCs w:val="24"/>
      <w:lang w:eastAsia="en-US"/>
    </w:rPr>
  </w:style>
  <w:style w:type="paragraph" w:styleId="Nadpis5">
    <w:name w:val="heading 5"/>
    <w:basedOn w:val="Normln"/>
    <w:next w:val="Normln"/>
    <w:link w:val="Nadpis5Char"/>
    <w:qFormat/>
    <w:rsid w:val="00AE6044"/>
    <w:pPr>
      <w:keepNext/>
      <w:spacing w:before="280" w:after="220"/>
      <w:outlineLvl w:val="4"/>
    </w:pPr>
    <w:rPr>
      <w:rFonts w:ascii="Verdana" w:eastAsia="Verdana" w:hAnsi="Verdana" w:cs="Arial"/>
      <w:b/>
      <w:bCs/>
      <w:i/>
      <w:kern w:val="32"/>
      <w:sz w:val="18"/>
      <w:szCs w:val="1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906DA"/>
    <w:pPr>
      <w:tabs>
        <w:tab w:val="right" w:pos="9072"/>
      </w:tabs>
    </w:pPr>
  </w:style>
  <w:style w:type="paragraph" w:styleId="Zpat">
    <w:name w:val="footer"/>
    <w:basedOn w:val="Normln"/>
    <w:rsid w:val="004906DA"/>
    <w:pPr>
      <w:tabs>
        <w:tab w:val="right" w:pos="9072"/>
      </w:tabs>
    </w:pPr>
  </w:style>
  <w:style w:type="character" w:styleId="slostrnky">
    <w:name w:val="page number"/>
    <w:rsid w:val="004906DA"/>
    <w:rPr>
      <w:rFonts w:ascii="Arial" w:hAnsi="Arial"/>
      <w:sz w:val="22"/>
    </w:rPr>
  </w:style>
  <w:style w:type="table" w:styleId="Mkatabulky">
    <w:name w:val="Table Grid"/>
    <w:basedOn w:val="Normlntabulka"/>
    <w:rsid w:val="007E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BF5BFD"/>
    <w:rPr>
      <w:rFonts w:ascii="Tahoma" w:hAnsi="Tahoma" w:cs="Tahoma"/>
      <w:sz w:val="16"/>
      <w:szCs w:val="16"/>
    </w:rPr>
  </w:style>
  <w:style w:type="character" w:styleId="slodku">
    <w:name w:val="line number"/>
    <w:basedOn w:val="Standardnpsmoodstavce"/>
    <w:rsid w:val="00BF5BFD"/>
  </w:style>
  <w:style w:type="character" w:customStyle="1" w:styleId="CharacterStyle2">
    <w:name w:val="Character Style 2"/>
    <w:rsid w:val="00F77C19"/>
    <w:rPr>
      <w:sz w:val="24"/>
    </w:rPr>
  </w:style>
  <w:style w:type="paragraph" w:customStyle="1" w:styleId="Style1">
    <w:name w:val="Style 1"/>
    <w:rsid w:val="00F77C19"/>
    <w:pPr>
      <w:widowControl w:val="0"/>
      <w:autoSpaceDE w:val="0"/>
      <w:autoSpaceDN w:val="0"/>
      <w:adjustRightInd w:val="0"/>
    </w:pPr>
    <w:rPr>
      <w:lang w:eastAsia="en-GB"/>
    </w:rPr>
  </w:style>
  <w:style w:type="paragraph" w:customStyle="1" w:styleId="Style3">
    <w:name w:val="Style 3"/>
    <w:rsid w:val="00F77C19"/>
    <w:pPr>
      <w:widowControl w:val="0"/>
      <w:autoSpaceDE w:val="0"/>
      <w:autoSpaceDN w:val="0"/>
      <w:ind w:left="144"/>
    </w:pPr>
    <w:rPr>
      <w:sz w:val="24"/>
      <w:szCs w:val="24"/>
      <w:lang w:eastAsia="en-GB"/>
    </w:rPr>
  </w:style>
  <w:style w:type="character" w:styleId="Odkaznakoment">
    <w:name w:val="annotation reference"/>
    <w:rsid w:val="00CD7E38"/>
    <w:rPr>
      <w:sz w:val="16"/>
      <w:szCs w:val="16"/>
    </w:rPr>
  </w:style>
  <w:style w:type="paragraph" w:styleId="Textkomente">
    <w:name w:val="annotation text"/>
    <w:aliases w:val="Kommentarer"/>
    <w:basedOn w:val="Normln"/>
    <w:link w:val="TextkomenteChar"/>
    <w:qFormat/>
    <w:rsid w:val="00CD7E38"/>
    <w:rPr>
      <w:sz w:val="20"/>
      <w:szCs w:val="20"/>
    </w:rPr>
  </w:style>
  <w:style w:type="character" w:customStyle="1" w:styleId="TextkomenteChar">
    <w:name w:val="Text komentáře Char"/>
    <w:aliases w:val="Kommentarer Char"/>
    <w:link w:val="Textkomente"/>
    <w:qFormat/>
    <w:rsid w:val="00CD7E38"/>
    <w:rPr>
      <w:rFonts w:ascii="Arial" w:hAnsi="Arial"/>
      <w:lang w:val="cs-CZ"/>
    </w:rPr>
  </w:style>
  <w:style w:type="paragraph" w:styleId="Pedmtkomente">
    <w:name w:val="annotation subject"/>
    <w:basedOn w:val="Textkomente"/>
    <w:next w:val="Textkomente"/>
    <w:link w:val="PedmtkomenteChar"/>
    <w:rsid w:val="00CD7E38"/>
    <w:rPr>
      <w:b/>
      <w:bCs/>
    </w:rPr>
  </w:style>
  <w:style w:type="character" w:customStyle="1" w:styleId="PedmtkomenteChar">
    <w:name w:val="Předmět komentáře Char"/>
    <w:link w:val="Pedmtkomente"/>
    <w:rsid w:val="00CD7E38"/>
    <w:rPr>
      <w:rFonts w:ascii="Arial" w:hAnsi="Arial"/>
      <w:b/>
      <w:bCs/>
      <w:lang w:val="cs-CZ"/>
    </w:rPr>
  </w:style>
  <w:style w:type="character" w:customStyle="1" w:styleId="Nadpis5Char">
    <w:name w:val="Nadpis 5 Char"/>
    <w:link w:val="Nadpis5"/>
    <w:rsid w:val="00AE6044"/>
    <w:rPr>
      <w:rFonts w:ascii="Verdana" w:eastAsia="Verdana" w:hAnsi="Verdana" w:cs="Arial"/>
      <w:b/>
      <w:bCs/>
      <w:i/>
      <w:kern w:val="32"/>
      <w:sz w:val="18"/>
      <w:szCs w:val="18"/>
      <w:lang w:val="cs-CZ" w:eastAsia="en-GB"/>
    </w:rPr>
  </w:style>
  <w:style w:type="paragraph" w:styleId="Textvysvtlivek">
    <w:name w:val="endnote text"/>
    <w:basedOn w:val="Normln"/>
    <w:link w:val="TextvysvtlivekChar"/>
    <w:rsid w:val="00AE6044"/>
    <w:pPr>
      <w:tabs>
        <w:tab w:val="left" w:pos="567"/>
      </w:tabs>
    </w:pPr>
    <w:rPr>
      <w:rFonts w:ascii="Times New Roman" w:hAnsi="Times New Roman"/>
      <w:szCs w:val="20"/>
    </w:rPr>
  </w:style>
  <w:style w:type="character" w:customStyle="1" w:styleId="TextvysvtlivekChar">
    <w:name w:val="Text vysvětlivek Char"/>
    <w:link w:val="Textvysvtlivek"/>
    <w:rsid w:val="00AE6044"/>
    <w:rPr>
      <w:sz w:val="22"/>
      <w:lang w:val="cs-CZ" w:eastAsia="en-US"/>
    </w:rPr>
  </w:style>
  <w:style w:type="paragraph" w:customStyle="1" w:styleId="SPC">
    <w:name w:val="SPC"/>
    <w:basedOn w:val="Normln"/>
    <w:rsid w:val="00AE6044"/>
    <w:pPr>
      <w:jc w:val="center"/>
    </w:pPr>
    <w:rPr>
      <w:rFonts w:ascii="Times New Roman" w:eastAsia="SimSun" w:hAnsi="Times New Roman"/>
      <w:b/>
      <w:szCs w:val="22"/>
      <w:lang w:eastAsia="zh-CN"/>
    </w:rPr>
  </w:style>
  <w:style w:type="paragraph" w:styleId="Revize">
    <w:name w:val="Revision"/>
    <w:hidden/>
    <w:uiPriority w:val="99"/>
    <w:semiHidden/>
    <w:rsid w:val="00511575"/>
    <w:rPr>
      <w:rFonts w:ascii="Arial" w:hAnsi="Arial"/>
      <w:sz w:val="22"/>
      <w:szCs w:val="24"/>
      <w:lang w:eastAsia="en-US"/>
    </w:rPr>
  </w:style>
  <w:style w:type="character" w:styleId="Hypertextovodkaz">
    <w:name w:val="Hyperlink"/>
    <w:rsid w:val="00C84FAF"/>
    <w:rPr>
      <w:color w:val="0563C1"/>
      <w:u w:val="single"/>
    </w:rPr>
  </w:style>
  <w:style w:type="character" w:customStyle="1" w:styleId="UnresolvedMention1">
    <w:name w:val="Unresolved Mention1"/>
    <w:uiPriority w:val="99"/>
    <w:semiHidden/>
    <w:unhideWhenUsed/>
    <w:rsid w:val="00C84FAF"/>
    <w:rPr>
      <w:color w:val="605E5C"/>
      <w:shd w:val="clear" w:color="auto" w:fill="E1DFDD"/>
    </w:rPr>
  </w:style>
  <w:style w:type="character" w:styleId="Zstupntext">
    <w:name w:val="Placeholder Text"/>
    <w:uiPriority w:val="99"/>
    <w:semiHidden/>
    <w:rsid w:val="00952C78"/>
    <w:rPr>
      <w:color w:val="808080"/>
    </w:rPr>
  </w:style>
  <w:style w:type="paragraph" w:customStyle="1" w:styleId="Default">
    <w:name w:val="Default"/>
    <w:rsid w:val="00484041"/>
    <w:pPr>
      <w:autoSpaceDE w:val="0"/>
      <w:autoSpaceDN w:val="0"/>
      <w:adjustRightInd w:val="0"/>
    </w:pPr>
    <w:rPr>
      <w:color w:val="000000"/>
      <w:sz w:val="24"/>
      <w:szCs w:val="24"/>
      <w:lang w:eastAsia="en-GB"/>
    </w:rPr>
  </w:style>
  <w:style w:type="paragraph" w:styleId="Odstavecseseznamem">
    <w:name w:val="List Paragraph"/>
    <w:basedOn w:val="Normln"/>
    <w:uiPriority w:val="34"/>
    <w:qFormat/>
    <w:rsid w:val="00387297"/>
    <w:pPr>
      <w:ind w:left="720"/>
      <w:contextualSpacing/>
    </w:pPr>
  </w:style>
  <w:style w:type="paragraph" w:styleId="Textpoznpodarou">
    <w:name w:val="footnote text"/>
    <w:basedOn w:val="Normln"/>
    <w:link w:val="TextpoznpodarouChar"/>
    <w:rsid w:val="00895F7D"/>
    <w:rPr>
      <w:sz w:val="20"/>
      <w:szCs w:val="20"/>
    </w:rPr>
  </w:style>
  <w:style w:type="character" w:customStyle="1" w:styleId="TextpoznpodarouChar">
    <w:name w:val="Text pozn. pod čarou Char"/>
    <w:link w:val="Textpoznpodarou"/>
    <w:rsid w:val="00895F7D"/>
    <w:rPr>
      <w:rFonts w:ascii="Arial" w:hAnsi="Arial"/>
      <w:lang w:eastAsia="en-US"/>
    </w:rPr>
  </w:style>
  <w:style w:type="character" w:styleId="Znakapoznpodarou">
    <w:name w:val="footnote reference"/>
    <w:rsid w:val="00895F7D"/>
    <w:rPr>
      <w:vertAlign w:val="superscript"/>
    </w:rPr>
  </w:style>
  <w:style w:type="character" w:styleId="Nevyeenzmnka">
    <w:name w:val="Unresolved Mention"/>
    <w:uiPriority w:val="99"/>
    <w:semiHidden/>
    <w:unhideWhenUsed/>
    <w:rsid w:val="00F1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4076">
      <w:bodyDiv w:val="1"/>
      <w:marLeft w:val="0"/>
      <w:marRight w:val="0"/>
      <w:marTop w:val="0"/>
      <w:marBottom w:val="0"/>
      <w:divBdr>
        <w:top w:val="none" w:sz="0" w:space="0" w:color="auto"/>
        <w:left w:val="none" w:sz="0" w:space="0" w:color="auto"/>
        <w:bottom w:val="none" w:sz="0" w:space="0" w:color="auto"/>
        <w:right w:val="none" w:sz="0" w:space="0" w:color="auto"/>
      </w:divBdr>
    </w:div>
    <w:div w:id="444619025">
      <w:bodyDiv w:val="1"/>
      <w:marLeft w:val="0"/>
      <w:marRight w:val="0"/>
      <w:marTop w:val="0"/>
      <w:marBottom w:val="0"/>
      <w:divBdr>
        <w:top w:val="none" w:sz="0" w:space="0" w:color="auto"/>
        <w:left w:val="none" w:sz="0" w:space="0" w:color="auto"/>
        <w:bottom w:val="none" w:sz="0" w:space="0" w:color="auto"/>
        <w:right w:val="none" w:sz="0" w:space="0" w:color="auto"/>
      </w:divBdr>
    </w:div>
    <w:div w:id="518156542">
      <w:bodyDiv w:val="1"/>
      <w:marLeft w:val="0"/>
      <w:marRight w:val="0"/>
      <w:marTop w:val="0"/>
      <w:marBottom w:val="0"/>
      <w:divBdr>
        <w:top w:val="none" w:sz="0" w:space="0" w:color="auto"/>
        <w:left w:val="none" w:sz="0" w:space="0" w:color="auto"/>
        <w:bottom w:val="none" w:sz="0" w:space="0" w:color="auto"/>
        <w:right w:val="none" w:sz="0" w:space="0" w:color="auto"/>
      </w:divBdr>
    </w:div>
    <w:div w:id="602688505">
      <w:bodyDiv w:val="1"/>
      <w:marLeft w:val="0"/>
      <w:marRight w:val="0"/>
      <w:marTop w:val="0"/>
      <w:marBottom w:val="0"/>
      <w:divBdr>
        <w:top w:val="none" w:sz="0" w:space="0" w:color="auto"/>
        <w:left w:val="none" w:sz="0" w:space="0" w:color="auto"/>
        <w:bottom w:val="none" w:sz="0" w:space="0" w:color="auto"/>
        <w:right w:val="none" w:sz="0" w:space="0" w:color="auto"/>
      </w:divBdr>
    </w:div>
    <w:div w:id="856962312">
      <w:bodyDiv w:val="1"/>
      <w:marLeft w:val="0"/>
      <w:marRight w:val="0"/>
      <w:marTop w:val="0"/>
      <w:marBottom w:val="0"/>
      <w:divBdr>
        <w:top w:val="none" w:sz="0" w:space="0" w:color="auto"/>
        <w:left w:val="none" w:sz="0" w:space="0" w:color="auto"/>
        <w:bottom w:val="none" w:sz="0" w:space="0" w:color="auto"/>
        <w:right w:val="none" w:sz="0" w:space="0" w:color="auto"/>
      </w:divBdr>
    </w:div>
    <w:div w:id="1029137152">
      <w:bodyDiv w:val="1"/>
      <w:marLeft w:val="0"/>
      <w:marRight w:val="0"/>
      <w:marTop w:val="0"/>
      <w:marBottom w:val="0"/>
      <w:divBdr>
        <w:top w:val="none" w:sz="0" w:space="0" w:color="auto"/>
        <w:left w:val="none" w:sz="0" w:space="0" w:color="auto"/>
        <w:bottom w:val="none" w:sz="0" w:space="0" w:color="auto"/>
        <w:right w:val="none" w:sz="0" w:space="0" w:color="auto"/>
      </w:divBdr>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
    <w:div w:id="1505243386">
      <w:bodyDiv w:val="1"/>
      <w:marLeft w:val="0"/>
      <w:marRight w:val="0"/>
      <w:marTop w:val="0"/>
      <w:marBottom w:val="0"/>
      <w:divBdr>
        <w:top w:val="none" w:sz="0" w:space="0" w:color="auto"/>
        <w:left w:val="none" w:sz="0" w:space="0" w:color="auto"/>
        <w:bottom w:val="none" w:sz="0" w:space="0" w:color="auto"/>
        <w:right w:val="none" w:sz="0" w:space="0" w:color="auto"/>
      </w:divBdr>
    </w:div>
    <w:div w:id="1562061530">
      <w:bodyDiv w:val="1"/>
      <w:marLeft w:val="0"/>
      <w:marRight w:val="0"/>
      <w:marTop w:val="0"/>
      <w:marBottom w:val="0"/>
      <w:divBdr>
        <w:top w:val="none" w:sz="0" w:space="0" w:color="auto"/>
        <w:left w:val="none" w:sz="0" w:space="0" w:color="auto"/>
        <w:bottom w:val="none" w:sz="0" w:space="0" w:color="auto"/>
        <w:right w:val="none" w:sz="0" w:space="0" w:color="auto"/>
      </w:divBdr>
    </w:div>
    <w:div w:id="1644115947">
      <w:bodyDiv w:val="1"/>
      <w:marLeft w:val="0"/>
      <w:marRight w:val="0"/>
      <w:marTop w:val="0"/>
      <w:marBottom w:val="0"/>
      <w:divBdr>
        <w:top w:val="none" w:sz="0" w:space="0" w:color="auto"/>
        <w:left w:val="none" w:sz="0" w:space="0" w:color="auto"/>
        <w:bottom w:val="none" w:sz="0" w:space="0" w:color="auto"/>
        <w:right w:val="none" w:sz="0" w:space="0" w:color="auto"/>
      </w:divBdr>
    </w:div>
    <w:div w:id="1690526006">
      <w:bodyDiv w:val="1"/>
      <w:marLeft w:val="0"/>
      <w:marRight w:val="0"/>
      <w:marTop w:val="0"/>
      <w:marBottom w:val="0"/>
      <w:divBdr>
        <w:top w:val="none" w:sz="0" w:space="0" w:color="auto"/>
        <w:left w:val="none" w:sz="0" w:space="0" w:color="auto"/>
        <w:bottom w:val="none" w:sz="0" w:space="0" w:color="auto"/>
        <w:right w:val="none" w:sz="0" w:space="0" w:color="auto"/>
      </w:divBdr>
    </w:div>
    <w:div w:id="1775054839">
      <w:bodyDiv w:val="1"/>
      <w:marLeft w:val="0"/>
      <w:marRight w:val="0"/>
      <w:marTop w:val="0"/>
      <w:marBottom w:val="0"/>
      <w:divBdr>
        <w:top w:val="none" w:sz="0" w:space="0" w:color="auto"/>
        <w:left w:val="none" w:sz="0" w:space="0" w:color="auto"/>
        <w:bottom w:val="none" w:sz="0" w:space="0" w:color="auto"/>
        <w:right w:val="none" w:sz="0" w:space="0" w:color="auto"/>
      </w:divBdr>
    </w:div>
    <w:div w:id="1988627936">
      <w:bodyDiv w:val="1"/>
      <w:marLeft w:val="0"/>
      <w:marRight w:val="0"/>
      <w:marTop w:val="0"/>
      <w:marBottom w:val="0"/>
      <w:divBdr>
        <w:top w:val="none" w:sz="0" w:space="0" w:color="auto"/>
        <w:left w:val="none" w:sz="0" w:space="0" w:color="auto"/>
        <w:bottom w:val="none" w:sz="0" w:space="0" w:color="auto"/>
        <w:right w:val="none" w:sz="0" w:space="0" w:color="auto"/>
      </w:divBdr>
    </w:div>
    <w:div w:id="2098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dicines.health.europa.eu/veterin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skvb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9ADE1FFC2A44B51CA1E3FD89473F" ma:contentTypeVersion="2" ma:contentTypeDescription="Create a new document." ma:contentTypeScope="" ma:versionID="928d5959bd78e8808e2eeea9d2684ac4">
  <xsd:schema xmlns:xsd="http://www.w3.org/2001/XMLSchema" xmlns:xs="http://www.w3.org/2001/XMLSchema" xmlns:p="http://schemas.microsoft.com/office/2006/metadata/properties" xmlns:ns2="f1f03055-f7ec-457d-bd39-2f939045cb69" xmlns:ns3="00bc127a-01a6-4069-b133-de7730de937e" targetNamespace="http://schemas.microsoft.com/office/2006/metadata/properties" ma:root="true" ma:fieldsID="6c21c076c96cb2b7b3e0c9084cae4dde" ns2:_="" ns3:_="">
    <xsd:import namespace="f1f03055-f7ec-457d-bd39-2f939045cb69"/>
    <xsd:import namespace="00bc127a-01a6-4069-b133-de7730de937e"/>
    <xsd:element name="properties">
      <xsd:complexType>
        <xsd:sequence>
          <xsd:element name="documentManagement">
            <xsd:complexType>
              <xsd:all>
                <xsd:element ref="ns2:Record_x0020_Year" minOccurs="0"/>
                <xsd:element ref="ns2:Record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03055-f7ec-457d-bd39-2f939045cb69" elementFormDefault="qualified">
    <xsd:import namespace="http://schemas.microsoft.com/office/2006/documentManagement/types"/>
    <xsd:import namespace="http://schemas.microsoft.com/office/infopath/2007/PartnerControls"/>
    <xsd:element name="Record_x0020_Year" ma:index="8" nillable="true" ma:displayName="Record Year" ma:format="Dropdown" ma:internalName="Record_x0020_Year">
      <xsd:simpleType>
        <xsd:restriction base="dms:Choice">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Record_x0020_Type" ma:index="9" nillable="true" ma:displayName="Record Type" ma:format="Dropdown" ma:internalName="Record_x0020_Type">
      <xsd:simpleType>
        <xsd:restriction base="dms:Choice">
          <xsd:enumeration value="General Operating and Administrative (ADM 01 02)"/>
          <xsd:enumeration value="Project / Portfolio Governance (R&amp;D 07 01/02)"/>
          <xsd:enumeration value="Screening Method / Protocol (R&amp;D 01 03)"/>
          <xsd:enumeration value="Exploratory and Pre-Clinical Study Record (R&amp;D 01 04/05)"/>
          <xsd:enumeration value="Clinical Study Record (R&amp;D 06 05)"/>
          <xsd:enumeration value="Procedure, Work Practice, Guideline – non-Regulated (BUS 01 05)"/>
          <xsd:enumeration value="Acquisition, Collaboration, Divestiture, Licensing (BUS 02 03)"/>
        </xsd:restriction>
      </xsd:simpleType>
    </xsd:element>
  </xsd:schema>
  <xsd:schema xmlns:xsd="http://www.w3.org/2001/XMLSchema" xmlns:xs="http://www.w3.org/2001/XMLSchema" xmlns:dms="http://schemas.microsoft.com/office/2006/documentManagement/types" xmlns:pc="http://schemas.microsoft.com/office/infopath/2007/PartnerControls" targetNamespace="00bc127a-01a6-4069-b133-de7730de937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_x0020_Year xmlns="f1f03055-f7ec-457d-bd39-2f939045cb69" xsi:nil="true"/>
    <Record_x0020_Type xmlns="f1f03055-f7ec-457d-bd39-2f939045cb6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93F5-2FAB-4544-91A2-83E152E5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03055-f7ec-457d-bd39-2f939045cb69"/>
    <ds:schemaRef ds:uri="00bc127a-01a6-4069-b133-de7730de9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AC313-A77E-4F21-BB54-F62C5D608AB5}">
  <ds:schemaRefs>
    <ds:schemaRef ds:uri="http://schemas.microsoft.com/office/2006/metadata/properties"/>
    <ds:schemaRef ds:uri="http://schemas.microsoft.com/office/infopath/2007/PartnerControls"/>
    <ds:schemaRef ds:uri="f1f03055-f7ec-457d-bd39-2f939045cb69"/>
  </ds:schemaRefs>
</ds:datastoreItem>
</file>

<file path=customXml/itemProps3.xml><?xml version="1.0" encoding="utf-8"?>
<ds:datastoreItem xmlns:ds="http://schemas.openxmlformats.org/officeDocument/2006/customXml" ds:itemID="{F072490D-480B-4F50-87E6-7EA1A4E68740}">
  <ds:schemaRefs>
    <ds:schemaRef ds:uri="http://schemas.microsoft.com/office/2006/metadata/longProperties"/>
  </ds:schemaRefs>
</ds:datastoreItem>
</file>

<file path=customXml/itemProps4.xml><?xml version="1.0" encoding="utf-8"?>
<ds:datastoreItem xmlns:ds="http://schemas.openxmlformats.org/officeDocument/2006/customXml" ds:itemID="{0EA46C41-C938-4B67-9412-F55881C8CE3C}">
  <ds:schemaRefs>
    <ds:schemaRef ds:uri="http://schemas.microsoft.com/sharepoint/v3/contenttype/forms"/>
  </ds:schemaRefs>
</ds:datastoreItem>
</file>

<file path=customXml/itemProps5.xml><?xml version="1.0" encoding="utf-8"?>
<ds:datastoreItem xmlns:ds="http://schemas.openxmlformats.org/officeDocument/2006/customXml" ds:itemID="{5CA2C353-499D-4D56-A0D7-4B3EE469E9BB}">
  <ds:schemaRefs>
    <ds:schemaRef ds:uri="http://schemas.microsoft.com/sharepoint/events"/>
  </ds:schemaRefs>
</ds:datastoreItem>
</file>

<file path=customXml/itemProps6.xml><?xml version="1.0" encoding="utf-8"?>
<ds:datastoreItem xmlns:ds="http://schemas.openxmlformats.org/officeDocument/2006/customXml" ds:itemID="{BB5A3AB1-82F1-4862-A284-AB128B7A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2243</Words>
  <Characters>13237</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 1 Revised SPC track changes</vt:lpstr>
      <vt:lpstr>annex 1 Revised SPC track changes</vt:lpstr>
    </vt:vector>
  </TitlesOfParts>
  <Company>VMD</Company>
  <LinksUpToDate>false</LinksUpToDate>
  <CharactersWithSpaces>15450</CharactersWithSpaces>
  <SharedDoc>false</SharedDoc>
  <HLinks>
    <vt:vector size="12" baseType="variant">
      <vt:variant>
        <vt:i4>7143528</vt:i4>
      </vt:variant>
      <vt:variant>
        <vt:i4>3</vt:i4>
      </vt:variant>
      <vt:variant>
        <vt:i4>0</vt:i4>
      </vt:variant>
      <vt:variant>
        <vt:i4>5</vt:i4>
      </vt:variant>
      <vt:variant>
        <vt:lpwstr>https://www.uskvbl.cz/</vt:lpwstr>
      </vt:variant>
      <vt:variant>
        <vt:lpwstr/>
      </vt: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Revised SPC track changes</dc:title>
  <dc:subject/>
  <dc:creator>shilln</dc:creator>
  <cp:keywords/>
  <cp:lastModifiedBy>Neugebauerová Kateřina</cp:lastModifiedBy>
  <cp:revision>6</cp:revision>
  <cp:lastPrinted>2024-11-13T13:57:00Z</cp:lastPrinted>
  <dcterms:created xsi:type="dcterms:W3CDTF">2024-10-30T12:21:00Z</dcterms:created>
  <dcterms:modified xsi:type="dcterms:W3CDTF">2024-11-13T13:57:00Z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0x01010052199ADE1FFC2A44B51CA1E3FD89473F</vt:lpwstr>
  </property>
  <property fmtid="{D5CDD505-2E9C-101B-9397-08002B2CF9AE}" pid="3" name="_dlc_DocId">
    <vt:lpwstr>DEPT2-8-2113</vt:lpwstr>
  </property>
  <property fmtid="{D5CDD505-2E9C-101B-9397-08002B2CF9AE}" pid="4" name="_dlc_DocIdItemGuid">
    <vt:lpwstr>2a9e7987-1a27-4f54-9dbc-ed7814e91a9f</vt:lpwstr>
  </property>
  <property fmtid="{D5CDD505-2E9C-101B-9397-08002B2CF9AE}" pid="5" name="_dlc_DocIdUrl">
    <vt:lpwstr>http://ecf.pfizer.com/vmrd/Dept2/alpharma/_layouts/DocIdRedir.aspx?ID=DEPT2-8-2113, DEPT2-8-2113</vt:lpwstr>
  </property>
</Properties>
</file>