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9CCA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bookmarkStart w:id="0" w:name="_Hlk116972686"/>
    </w:p>
    <w:p w14:paraId="745F9EB6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358A834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B397E93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7B9A344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7B96E0D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0FBFB66D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8C634EF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6E99DA5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B51C790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0B61CCA3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1F43D4A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1E022F0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EA92FF9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BA234A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8CBCD27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3D8A381F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A97C6EA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BB6EE0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3D74A0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540D30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2ED7D00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BE15CB1" w14:textId="77777777" w:rsidR="00C114FF" w:rsidRPr="00603046" w:rsidRDefault="00C114FF" w:rsidP="00603046">
      <w:pPr>
        <w:tabs>
          <w:tab w:val="clear" w:pos="567"/>
        </w:tabs>
        <w:spacing w:line="240" w:lineRule="auto"/>
        <w:jc w:val="center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PŘÍLOHA I</w:t>
      </w:r>
    </w:p>
    <w:p w14:paraId="2FADB729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365876F6" w14:textId="77777777" w:rsidR="00C114FF" w:rsidRPr="00603046" w:rsidRDefault="00C114FF" w:rsidP="00603046">
      <w:pPr>
        <w:tabs>
          <w:tab w:val="clear" w:pos="567"/>
        </w:tabs>
        <w:spacing w:line="240" w:lineRule="auto"/>
        <w:jc w:val="center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SOUHRN ÚDAJŮ O PŘÍPRAVKU</w:t>
      </w:r>
    </w:p>
    <w:p w14:paraId="7AD897C0" w14:textId="77777777" w:rsidR="00C114FF" w:rsidRPr="00603046" w:rsidRDefault="00C114FF" w:rsidP="00603046">
      <w:pPr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br w:type="page"/>
      </w:r>
      <w:bookmarkStart w:id="1" w:name="_Hlk117770994"/>
      <w:r w:rsidRPr="00603046">
        <w:rPr>
          <w:b/>
          <w:szCs w:val="22"/>
          <w:lang w:val="cs-CZ" w:bidi="cs-CZ"/>
        </w:rPr>
        <w:lastRenderedPageBreak/>
        <w:t>1.</w:t>
      </w:r>
      <w:r w:rsidRPr="00603046">
        <w:rPr>
          <w:b/>
          <w:szCs w:val="22"/>
          <w:lang w:val="cs-CZ" w:bidi="cs-CZ"/>
        </w:rPr>
        <w:tab/>
        <w:t>NÁZEV VETERINÁRNÍHO LÉČIVÉHO PŘÍPRAVKU</w:t>
      </w:r>
    </w:p>
    <w:p w14:paraId="62429F87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30EEE4C5" w14:textId="77777777" w:rsidR="00C114FF" w:rsidRPr="00603046" w:rsidRDefault="00C3781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Bimacox 2,5 mg/ml perorální suspenze pro ovce a skot</w:t>
      </w:r>
    </w:p>
    <w:p w14:paraId="57CB3487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9AB0C84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20BE5E4" w14:textId="77777777" w:rsidR="00C114FF" w:rsidRPr="00603046" w:rsidRDefault="00C114FF" w:rsidP="00603046">
      <w:pPr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2.</w:t>
      </w:r>
      <w:r w:rsidRPr="00603046">
        <w:rPr>
          <w:b/>
          <w:szCs w:val="22"/>
          <w:lang w:val="cs-CZ" w:bidi="cs-CZ"/>
        </w:rPr>
        <w:tab/>
        <w:t>KVALITATIVNÍ A KVANTITATIVNÍ SLOŽENÍ</w:t>
      </w:r>
    </w:p>
    <w:p w14:paraId="3D7F2FAC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354BD23" w14:textId="77777777" w:rsidR="004652F8" w:rsidRPr="00603046" w:rsidRDefault="004652F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Každý ml obsahuje:</w:t>
      </w:r>
    </w:p>
    <w:p w14:paraId="74E8D7E1" w14:textId="77777777" w:rsidR="004652F8" w:rsidRPr="00603046" w:rsidRDefault="004652F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3AECFB9" w14:textId="6CD2C574" w:rsidR="00C114FF" w:rsidRPr="00603046" w:rsidRDefault="00C114FF" w:rsidP="00603046">
      <w:pPr>
        <w:tabs>
          <w:tab w:val="clear" w:pos="567"/>
        </w:tabs>
        <w:spacing w:line="240" w:lineRule="auto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Léčivá látka:</w:t>
      </w:r>
    </w:p>
    <w:p w14:paraId="04639ECA" w14:textId="184F3DD0" w:rsidR="00C114FF" w:rsidRPr="00603046" w:rsidRDefault="00C37813" w:rsidP="00603046">
      <w:pPr>
        <w:tabs>
          <w:tab w:val="clear" w:pos="567"/>
        </w:tabs>
        <w:spacing w:line="240" w:lineRule="auto"/>
        <w:rPr>
          <w:iCs/>
          <w:szCs w:val="22"/>
          <w:lang w:val="pt-BR"/>
        </w:rPr>
      </w:pPr>
      <w:proofErr w:type="spellStart"/>
      <w:r w:rsidRPr="00603046">
        <w:rPr>
          <w:szCs w:val="22"/>
          <w:lang w:val="cs-CZ" w:bidi="cs-CZ"/>
        </w:rPr>
        <w:t>Diclazuril</w:t>
      </w:r>
      <w:r w:rsidR="000139CF">
        <w:rPr>
          <w:szCs w:val="22"/>
          <w:lang w:val="cs-CZ" w:bidi="cs-CZ"/>
        </w:rPr>
        <w:t>um</w:t>
      </w:r>
      <w:proofErr w:type="spellEnd"/>
      <w:r w:rsidRPr="00603046">
        <w:rPr>
          <w:szCs w:val="22"/>
          <w:lang w:val="cs-CZ" w:bidi="cs-CZ"/>
        </w:rPr>
        <w:tab/>
      </w:r>
      <w:r w:rsidRPr="00603046">
        <w:rPr>
          <w:szCs w:val="22"/>
          <w:lang w:val="cs-CZ" w:bidi="cs-CZ"/>
        </w:rPr>
        <w:tab/>
        <w:t>2,5 mg</w:t>
      </w:r>
    </w:p>
    <w:p w14:paraId="7CCF4FCB" w14:textId="77777777" w:rsidR="00C37813" w:rsidRPr="00603046" w:rsidRDefault="00C37813" w:rsidP="00603046">
      <w:pPr>
        <w:tabs>
          <w:tab w:val="clear" w:pos="567"/>
        </w:tabs>
        <w:spacing w:line="240" w:lineRule="auto"/>
        <w:rPr>
          <w:iCs/>
          <w:szCs w:val="22"/>
          <w:lang w:val="pt-BR"/>
        </w:rPr>
      </w:pPr>
    </w:p>
    <w:p w14:paraId="38352997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</w:rPr>
      </w:pPr>
      <w:r w:rsidRPr="00603046">
        <w:rPr>
          <w:b/>
          <w:szCs w:val="22"/>
          <w:lang w:val="cs-CZ" w:bidi="cs-CZ"/>
        </w:rPr>
        <w:t>Pomocné látky:</w:t>
      </w:r>
    </w:p>
    <w:p w14:paraId="6A894FA8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304E37" w:rsidRPr="00603046" w14:paraId="338A1EB0" w14:textId="77777777" w:rsidTr="00CF499F">
        <w:tc>
          <w:tcPr>
            <w:tcW w:w="4643" w:type="dxa"/>
            <w:shd w:val="clear" w:color="auto" w:fill="auto"/>
            <w:vAlign w:val="center"/>
          </w:tcPr>
          <w:p w14:paraId="30C1DD03" w14:textId="77777777" w:rsidR="00304E37" w:rsidRPr="00603046" w:rsidRDefault="00304E37" w:rsidP="00603046">
            <w:pPr>
              <w:spacing w:line="240" w:lineRule="auto"/>
              <w:rPr>
                <w:i/>
                <w:color w:val="008000"/>
                <w:szCs w:val="22"/>
              </w:rPr>
            </w:pPr>
            <w:r w:rsidRPr="00603046">
              <w:rPr>
                <w:b/>
                <w:szCs w:val="22"/>
                <w:lang w:val="cs-CZ" w:bidi="cs-CZ"/>
              </w:rPr>
              <w:t>Kvalitativní složení pomocných látek a dalších složek</w:t>
            </w:r>
          </w:p>
        </w:tc>
        <w:tc>
          <w:tcPr>
            <w:tcW w:w="4643" w:type="dxa"/>
          </w:tcPr>
          <w:p w14:paraId="18489508" w14:textId="77777777" w:rsidR="00304E37" w:rsidRPr="00603046" w:rsidRDefault="00304E37" w:rsidP="0060304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603046">
              <w:rPr>
                <w:b/>
                <w:szCs w:val="22"/>
                <w:lang w:val="cs-CZ" w:bidi="cs-CZ"/>
              </w:rPr>
              <w:t>Kvantitativní složení, pokud jsou tyto informace nezbytné pro správné podání veterinárního léčivého přípravku.</w:t>
            </w:r>
          </w:p>
        </w:tc>
      </w:tr>
      <w:tr w:rsidR="00304E37" w:rsidRPr="00603046" w14:paraId="5D1F5F93" w14:textId="77777777" w:rsidTr="00CF499F">
        <w:tc>
          <w:tcPr>
            <w:tcW w:w="4643" w:type="dxa"/>
            <w:shd w:val="clear" w:color="auto" w:fill="auto"/>
            <w:vAlign w:val="center"/>
          </w:tcPr>
          <w:p w14:paraId="54C8040D" w14:textId="6CEDD9A4" w:rsidR="00304E37" w:rsidRPr="00603046" w:rsidRDefault="0038081E" w:rsidP="00603046">
            <w:pPr>
              <w:spacing w:line="240" w:lineRule="auto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szCs w:val="22"/>
                <w:lang w:val="cs-CZ" w:bidi="cs-CZ"/>
              </w:rPr>
              <w:t>Methylparaben</w:t>
            </w:r>
            <w:proofErr w:type="spellEnd"/>
            <w:r w:rsidRPr="00603046">
              <w:rPr>
                <w:szCs w:val="22"/>
                <w:lang w:val="cs-CZ" w:bidi="cs-CZ"/>
              </w:rPr>
              <w:t xml:space="preserve"> </w:t>
            </w:r>
            <w:r w:rsidR="00304E37" w:rsidRPr="00603046">
              <w:rPr>
                <w:szCs w:val="22"/>
                <w:lang w:val="cs-CZ" w:bidi="cs-CZ"/>
              </w:rPr>
              <w:t>(E218)</w:t>
            </w:r>
          </w:p>
        </w:tc>
        <w:tc>
          <w:tcPr>
            <w:tcW w:w="4643" w:type="dxa"/>
          </w:tcPr>
          <w:p w14:paraId="185056D1" w14:textId="77777777" w:rsidR="00304E37" w:rsidRPr="00603046" w:rsidRDefault="00304E37" w:rsidP="00603046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1,8 mg</w:t>
            </w:r>
          </w:p>
        </w:tc>
      </w:tr>
      <w:tr w:rsidR="00304E37" w:rsidRPr="00603046" w14:paraId="4E6CD0DA" w14:textId="77777777" w:rsidTr="00CF499F">
        <w:tc>
          <w:tcPr>
            <w:tcW w:w="4643" w:type="dxa"/>
            <w:shd w:val="clear" w:color="auto" w:fill="auto"/>
            <w:vAlign w:val="center"/>
          </w:tcPr>
          <w:p w14:paraId="17A26777" w14:textId="7BC354FF" w:rsidR="00304E37" w:rsidRPr="00603046" w:rsidRDefault="0038081E" w:rsidP="00603046">
            <w:pPr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szCs w:val="22"/>
                <w:lang w:val="cs-CZ" w:bidi="cs-CZ"/>
              </w:rPr>
              <w:t>Propylparaben</w:t>
            </w:r>
            <w:proofErr w:type="spellEnd"/>
          </w:p>
        </w:tc>
        <w:tc>
          <w:tcPr>
            <w:tcW w:w="4643" w:type="dxa"/>
          </w:tcPr>
          <w:p w14:paraId="4C680AA2" w14:textId="77777777" w:rsidR="00304E37" w:rsidRPr="00603046" w:rsidRDefault="00304E37" w:rsidP="00603046">
            <w:pPr>
              <w:spacing w:line="240" w:lineRule="auto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0,2 mg</w:t>
            </w:r>
          </w:p>
        </w:tc>
      </w:tr>
      <w:tr w:rsidR="00304E37" w:rsidRPr="00603046" w14:paraId="09A18762" w14:textId="77777777" w:rsidTr="00CF499F">
        <w:tc>
          <w:tcPr>
            <w:tcW w:w="4643" w:type="dxa"/>
            <w:shd w:val="clear" w:color="auto" w:fill="auto"/>
            <w:vAlign w:val="center"/>
          </w:tcPr>
          <w:p w14:paraId="3F951988" w14:textId="77777777" w:rsidR="00304E37" w:rsidRPr="00603046" w:rsidRDefault="00304E37" w:rsidP="00603046">
            <w:pPr>
              <w:spacing w:line="240" w:lineRule="auto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Mikrokrystalická celulóza a sodná sůl karmelózy</w:t>
            </w:r>
          </w:p>
        </w:tc>
        <w:tc>
          <w:tcPr>
            <w:tcW w:w="4643" w:type="dxa"/>
          </w:tcPr>
          <w:p w14:paraId="5601442E" w14:textId="77777777" w:rsidR="00304E37" w:rsidRPr="00603046" w:rsidRDefault="00304E37" w:rsidP="00603046">
            <w:pPr>
              <w:spacing w:line="240" w:lineRule="auto"/>
              <w:rPr>
                <w:iCs/>
                <w:szCs w:val="22"/>
              </w:rPr>
            </w:pPr>
          </w:p>
        </w:tc>
      </w:tr>
      <w:tr w:rsidR="00304E37" w:rsidRPr="00603046" w14:paraId="42E8B8B9" w14:textId="77777777" w:rsidTr="00CF499F">
        <w:tc>
          <w:tcPr>
            <w:tcW w:w="4643" w:type="dxa"/>
            <w:shd w:val="clear" w:color="auto" w:fill="auto"/>
            <w:vAlign w:val="center"/>
          </w:tcPr>
          <w:p w14:paraId="14D378F2" w14:textId="77777777" w:rsidR="00304E37" w:rsidRPr="00603046" w:rsidRDefault="00304E37" w:rsidP="00603046">
            <w:pPr>
              <w:spacing w:line="240" w:lineRule="auto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Monohydrát kyseliny citronové</w:t>
            </w:r>
          </w:p>
        </w:tc>
        <w:tc>
          <w:tcPr>
            <w:tcW w:w="4643" w:type="dxa"/>
          </w:tcPr>
          <w:p w14:paraId="0FD39430" w14:textId="77777777" w:rsidR="00304E37" w:rsidRPr="00603046" w:rsidRDefault="00304E37" w:rsidP="00603046">
            <w:pPr>
              <w:spacing w:line="240" w:lineRule="auto"/>
              <w:rPr>
                <w:iCs/>
                <w:szCs w:val="22"/>
              </w:rPr>
            </w:pPr>
          </w:p>
        </w:tc>
      </w:tr>
      <w:tr w:rsidR="00304E37" w:rsidRPr="00603046" w14:paraId="517372F4" w14:textId="77777777" w:rsidTr="00CF499F">
        <w:tc>
          <w:tcPr>
            <w:tcW w:w="4643" w:type="dxa"/>
            <w:shd w:val="clear" w:color="auto" w:fill="auto"/>
            <w:vAlign w:val="center"/>
          </w:tcPr>
          <w:p w14:paraId="75036F64" w14:textId="77777777" w:rsidR="00304E37" w:rsidRPr="00603046" w:rsidRDefault="00304E37" w:rsidP="00603046">
            <w:pPr>
              <w:spacing w:line="240" w:lineRule="auto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Polysorbát 20</w:t>
            </w:r>
          </w:p>
        </w:tc>
        <w:tc>
          <w:tcPr>
            <w:tcW w:w="4643" w:type="dxa"/>
          </w:tcPr>
          <w:p w14:paraId="1FD53588" w14:textId="77777777" w:rsidR="00304E37" w:rsidRPr="00603046" w:rsidRDefault="00304E37" w:rsidP="00603046">
            <w:pPr>
              <w:spacing w:line="240" w:lineRule="auto"/>
              <w:rPr>
                <w:iCs/>
                <w:szCs w:val="22"/>
              </w:rPr>
            </w:pPr>
          </w:p>
        </w:tc>
      </w:tr>
      <w:tr w:rsidR="00304E37" w:rsidRPr="00603046" w14:paraId="697607AF" w14:textId="77777777" w:rsidTr="00CF499F">
        <w:tc>
          <w:tcPr>
            <w:tcW w:w="4643" w:type="dxa"/>
            <w:shd w:val="clear" w:color="auto" w:fill="auto"/>
            <w:vAlign w:val="center"/>
          </w:tcPr>
          <w:p w14:paraId="550DDE98" w14:textId="77777777" w:rsidR="00304E37" w:rsidRPr="00603046" w:rsidRDefault="00304E37" w:rsidP="00603046">
            <w:pPr>
              <w:spacing w:line="240" w:lineRule="auto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Hydroxid sodný (pro úpravu pH)</w:t>
            </w:r>
          </w:p>
        </w:tc>
        <w:tc>
          <w:tcPr>
            <w:tcW w:w="4643" w:type="dxa"/>
          </w:tcPr>
          <w:p w14:paraId="102152E6" w14:textId="77777777" w:rsidR="00304E37" w:rsidRPr="00603046" w:rsidRDefault="00304E37" w:rsidP="00603046">
            <w:pPr>
              <w:spacing w:line="240" w:lineRule="auto"/>
              <w:rPr>
                <w:iCs/>
                <w:szCs w:val="22"/>
              </w:rPr>
            </w:pPr>
          </w:p>
        </w:tc>
      </w:tr>
      <w:tr w:rsidR="00304E37" w:rsidRPr="00603046" w14:paraId="17BB4766" w14:textId="77777777" w:rsidTr="00CF499F">
        <w:tc>
          <w:tcPr>
            <w:tcW w:w="4643" w:type="dxa"/>
            <w:shd w:val="clear" w:color="auto" w:fill="auto"/>
            <w:vAlign w:val="center"/>
          </w:tcPr>
          <w:p w14:paraId="7011C560" w14:textId="0FA0B48C" w:rsidR="00304E37" w:rsidRPr="00603046" w:rsidRDefault="0038081E" w:rsidP="00603046">
            <w:pPr>
              <w:spacing w:line="240" w:lineRule="auto"/>
              <w:rPr>
                <w:iCs/>
                <w:szCs w:val="22"/>
              </w:rPr>
            </w:pPr>
            <w:r>
              <w:rPr>
                <w:szCs w:val="22"/>
                <w:lang w:val="cs-CZ" w:bidi="cs-CZ"/>
              </w:rPr>
              <w:t>Čištěná</w:t>
            </w:r>
            <w:r w:rsidRPr="00603046">
              <w:rPr>
                <w:szCs w:val="22"/>
                <w:lang w:val="cs-CZ" w:bidi="cs-CZ"/>
              </w:rPr>
              <w:t xml:space="preserve"> </w:t>
            </w:r>
            <w:r w:rsidR="00304E37" w:rsidRPr="00603046">
              <w:rPr>
                <w:szCs w:val="22"/>
                <w:lang w:val="cs-CZ" w:bidi="cs-CZ"/>
              </w:rPr>
              <w:t>voda</w:t>
            </w:r>
          </w:p>
        </w:tc>
        <w:tc>
          <w:tcPr>
            <w:tcW w:w="4643" w:type="dxa"/>
          </w:tcPr>
          <w:p w14:paraId="74CDD6ED" w14:textId="77777777" w:rsidR="00304E37" w:rsidRPr="00603046" w:rsidRDefault="00304E37" w:rsidP="00603046">
            <w:pPr>
              <w:spacing w:line="240" w:lineRule="auto"/>
              <w:rPr>
                <w:iCs/>
                <w:szCs w:val="22"/>
              </w:rPr>
            </w:pPr>
          </w:p>
        </w:tc>
      </w:tr>
    </w:tbl>
    <w:p w14:paraId="06AECCE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</w:rPr>
      </w:pPr>
    </w:p>
    <w:p w14:paraId="7AF874C3" w14:textId="77777777" w:rsidR="004652F8" w:rsidRPr="00603046" w:rsidRDefault="004652F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Bílá až téměř bílá homogenní suspenze.</w:t>
      </w:r>
    </w:p>
    <w:p w14:paraId="28A466C9" w14:textId="77777777" w:rsidR="004652F8" w:rsidRPr="00603046" w:rsidRDefault="004652F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607EFE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398C5F2B" w14:textId="77777777" w:rsidR="00C114FF" w:rsidRPr="00603046" w:rsidRDefault="00C114FF" w:rsidP="00603046">
      <w:pPr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3.</w:t>
      </w:r>
      <w:r w:rsidRPr="00603046">
        <w:rPr>
          <w:b/>
          <w:szCs w:val="22"/>
          <w:lang w:val="cs-CZ" w:bidi="cs-CZ"/>
        </w:rPr>
        <w:tab/>
        <w:t>KLINICKÉ INFORMACE</w:t>
      </w:r>
    </w:p>
    <w:p w14:paraId="592BC910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FCD5FD9" w14:textId="77777777" w:rsidR="00C114FF" w:rsidRPr="00603046" w:rsidRDefault="00096E78" w:rsidP="00603046">
      <w:pPr>
        <w:tabs>
          <w:tab w:val="clear" w:pos="567"/>
        </w:tabs>
        <w:spacing w:line="240" w:lineRule="auto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3.1</w:t>
      </w:r>
      <w:r w:rsidRPr="00603046">
        <w:rPr>
          <w:b/>
          <w:szCs w:val="22"/>
          <w:lang w:val="cs-CZ" w:bidi="cs-CZ"/>
        </w:rPr>
        <w:tab/>
        <w:t>Cílové druhy zvířat</w:t>
      </w:r>
    </w:p>
    <w:p w14:paraId="04E2FD66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31FE562" w14:textId="77777777" w:rsidR="00643F02" w:rsidRPr="00603046" w:rsidRDefault="00643F02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Ovce (jehňata)</w:t>
      </w:r>
    </w:p>
    <w:p w14:paraId="49AFA456" w14:textId="77777777" w:rsidR="00643F02" w:rsidRPr="00603046" w:rsidRDefault="00643F02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Skot (telata)</w:t>
      </w:r>
    </w:p>
    <w:p w14:paraId="724058DF" w14:textId="77777777" w:rsidR="00643F02" w:rsidRPr="00603046" w:rsidRDefault="00643F02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99E56DA" w14:textId="77777777" w:rsidR="00C114FF" w:rsidRPr="00603046" w:rsidRDefault="00096E7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3.2</w:t>
      </w:r>
      <w:r w:rsidRPr="00603046">
        <w:rPr>
          <w:b/>
          <w:szCs w:val="22"/>
          <w:lang w:val="cs-CZ" w:bidi="cs-CZ"/>
        </w:rPr>
        <w:tab/>
        <w:t>Indikace pro použití pro každý cílový druh zvířat</w:t>
      </w:r>
    </w:p>
    <w:p w14:paraId="3A76BC24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81C8DD6" w14:textId="77777777" w:rsidR="00E86CEE" w:rsidRPr="00603046" w:rsidRDefault="00643F02" w:rsidP="00603046">
      <w:pPr>
        <w:tabs>
          <w:tab w:val="clear" w:pos="567"/>
        </w:tabs>
        <w:spacing w:line="240" w:lineRule="auto"/>
        <w:rPr>
          <w:szCs w:val="22"/>
          <w:u w:val="single"/>
          <w:lang w:val="pt-BR"/>
        </w:rPr>
      </w:pPr>
      <w:r w:rsidRPr="00603046">
        <w:rPr>
          <w:szCs w:val="22"/>
          <w:u w:val="single"/>
          <w:lang w:val="cs-CZ" w:bidi="cs-CZ"/>
        </w:rPr>
        <w:t>Jehňata:</w:t>
      </w:r>
    </w:p>
    <w:p w14:paraId="7A7A45FF" w14:textId="77777777" w:rsidR="00643F02" w:rsidRPr="00603046" w:rsidRDefault="0050487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Prevence kokcidiózy způsobené </w:t>
      </w:r>
      <w:r w:rsidRPr="00603046">
        <w:rPr>
          <w:i/>
          <w:szCs w:val="22"/>
          <w:lang w:val="cs-CZ" w:bidi="cs-CZ"/>
        </w:rPr>
        <w:t>Eimeria crandallis</w:t>
      </w:r>
      <w:r w:rsidRPr="00603046">
        <w:rPr>
          <w:szCs w:val="22"/>
          <w:lang w:val="cs-CZ" w:bidi="cs-CZ"/>
        </w:rPr>
        <w:t xml:space="preserve"> a </w:t>
      </w:r>
      <w:r w:rsidRPr="00603046">
        <w:rPr>
          <w:i/>
          <w:szCs w:val="22"/>
          <w:lang w:val="cs-CZ" w:bidi="cs-CZ"/>
        </w:rPr>
        <w:t>Eimeria ovinoidalis</w:t>
      </w:r>
      <w:r w:rsidRPr="00603046">
        <w:rPr>
          <w:szCs w:val="22"/>
          <w:lang w:val="cs-CZ" w:bidi="cs-CZ"/>
        </w:rPr>
        <w:t>.</w:t>
      </w:r>
    </w:p>
    <w:p w14:paraId="3FDC4032" w14:textId="77777777" w:rsidR="00643F02" w:rsidRPr="00603046" w:rsidRDefault="00643F02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F97A20A" w14:textId="77777777" w:rsidR="00643F02" w:rsidRPr="00603046" w:rsidRDefault="00643F02" w:rsidP="00603046">
      <w:pPr>
        <w:tabs>
          <w:tab w:val="clear" w:pos="567"/>
        </w:tabs>
        <w:spacing w:line="240" w:lineRule="auto"/>
        <w:rPr>
          <w:szCs w:val="22"/>
          <w:u w:val="single"/>
          <w:lang w:val="pt-BR"/>
        </w:rPr>
      </w:pPr>
      <w:r w:rsidRPr="00603046">
        <w:rPr>
          <w:szCs w:val="22"/>
          <w:u w:val="single"/>
          <w:lang w:val="cs-CZ" w:bidi="cs-CZ"/>
        </w:rPr>
        <w:t>Telata:</w:t>
      </w:r>
    </w:p>
    <w:p w14:paraId="77305EB4" w14:textId="77777777" w:rsidR="00643F02" w:rsidRPr="00603046" w:rsidRDefault="0050487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Prevence kokcidiózy způsobené </w:t>
      </w:r>
      <w:r w:rsidRPr="00603046">
        <w:rPr>
          <w:i/>
          <w:szCs w:val="22"/>
          <w:lang w:val="cs-CZ" w:bidi="cs-CZ"/>
        </w:rPr>
        <w:t>Eimeria bovis</w:t>
      </w:r>
      <w:r w:rsidRPr="00603046">
        <w:rPr>
          <w:szCs w:val="22"/>
          <w:lang w:val="cs-CZ" w:bidi="cs-CZ"/>
        </w:rPr>
        <w:t xml:space="preserve"> a </w:t>
      </w:r>
      <w:r w:rsidRPr="00603046">
        <w:rPr>
          <w:i/>
          <w:szCs w:val="22"/>
          <w:lang w:val="cs-CZ" w:bidi="cs-CZ"/>
        </w:rPr>
        <w:t>Eimeria zuernii</w:t>
      </w:r>
      <w:r w:rsidRPr="00603046">
        <w:rPr>
          <w:szCs w:val="22"/>
          <w:lang w:val="cs-CZ" w:bidi="cs-CZ"/>
        </w:rPr>
        <w:t>.</w:t>
      </w:r>
    </w:p>
    <w:p w14:paraId="15AE1003" w14:textId="77777777" w:rsidR="00E86CEE" w:rsidRPr="00603046" w:rsidRDefault="00E86CEE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1A8F6DD" w14:textId="77777777" w:rsidR="00C114FF" w:rsidRPr="00603046" w:rsidRDefault="00096E7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3.3</w:t>
      </w:r>
      <w:r w:rsidRPr="00603046">
        <w:rPr>
          <w:b/>
          <w:szCs w:val="22"/>
          <w:lang w:val="cs-CZ" w:bidi="cs-CZ"/>
        </w:rPr>
        <w:tab/>
        <w:t>Kontraindikace</w:t>
      </w:r>
    </w:p>
    <w:p w14:paraId="5A1369D4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35CFD949" w14:textId="529EFE6E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Nepoužívejte v případě přecitlivělosti na léčivou látku nebo </w:t>
      </w:r>
      <w:bookmarkStart w:id="2" w:name="_Hlk185344151"/>
      <w:r w:rsidR="00066E39">
        <w:rPr>
          <w:szCs w:val="22"/>
          <w:lang w:val="cs-CZ" w:bidi="cs-CZ"/>
        </w:rPr>
        <w:t>některou z</w:t>
      </w:r>
      <w:r w:rsidRPr="00603046">
        <w:rPr>
          <w:szCs w:val="22"/>
          <w:lang w:val="cs-CZ" w:bidi="cs-CZ"/>
        </w:rPr>
        <w:t xml:space="preserve"> pomocn</w:t>
      </w:r>
      <w:r w:rsidR="00066E39">
        <w:rPr>
          <w:szCs w:val="22"/>
          <w:lang w:val="cs-CZ" w:bidi="cs-CZ"/>
        </w:rPr>
        <w:t>ých</w:t>
      </w:r>
      <w:r w:rsidRPr="00603046">
        <w:rPr>
          <w:szCs w:val="22"/>
          <w:lang w:val="cs-CZ" w:bidi="cs-CZ"/>
        </w:rPr>
        <w:t xml:space="preserve"> </w:t>
      </w:r>
      <w:r w:rsidR="00F60CC6" w:rsidRPr="00603046">
        <w:rPr>
          <w:szCs w:val="22"/>
          <w:lang w:val="cs-CZ" w:bidi="cs-CZ"/>
        </w:rPr>
        <w:t>lá</w:t>
      </w:r>
      <w:r w:rsidR="00F60CC6">
        <w:rPr>
          <w:szCs w:val="22"/>
          <w:lang w:val="cs-CZ" w:bidi="cs-CZ"/>
        </w:rPr>
        <w:t>t</w:t>
      </w:r>
      <w:r w:rsidR="00F60CC6" w:rsidRPr="00603046">
        <w:rPr>
          <w:szCs w:val="22"/>
          <w:lang w:val="cs-CZ" w:bidi="cs-CZ"/>
        </w:rPr>
        <w:t>ek</w:t>
      </w:r>
      <w:r w:rsidRPr="00603046">
        <w:rPr>
          <w:szCs w:val="22"/>
          <w:lang w:val="cs-CZ" w:bidi="cs-CZ"/>
        </w:rPr>
        <w:t>.</w:t>
      </w:r>
    </w:p>
    <w:bookmarkEnd w:id="2"/>
    <w:p w14:paraId="01CF953F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39D4F8E" w14:textId="77777777" w:rsidR="00C114FF" w:rsidRPr="00603046" w:rsidRDefault="00096E78" w:rsidP="00603046">
      <w:pPr>
        <w:tabs>
          <w:tab w:val="clear" w:pos="567"/>
        </w:tabs>
        <w:spacing w:line="240" w:lineRule="auto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3.4</w:t>
      </w:r>
      <w:r w:rsidRPr="00603046">
        <w:rPr>
          <w:b/>
          <w:szCs w:val="22"/>
          <w:lang w:val="cs-CZ" w:bidi="cs-CZ"/>
        </w:rPr>
        <w:tab/>
        <w:t xml:space="preserve">Zvláštní upozornění </w:t>
      </w:r>
    </w:p>
    <w:p w14:paraId="1501C0E0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F510406" w14:textId="1A440586" w:rsidR="009651C4" w:rsidRPr="00603046" w:rsidRDefault="00EA33EB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bookmarkStart w:id="3" w:name="_Hlk185409122"/>
      <w:r>
        <w:rPr>
          <w:szCs w:val="22"/>
          <w:lang w:val="cs-CZ" w:bidi="cs-CZ"/>
        </w:rPr>
        <w:t>Nebyla-li potvrzena žádná anamnéza průběhu</w:t>
      </w:r>
      <w:r w:rsidR="009651C4" w:rsidRPr="00603046">
        <w:rPr>
          <w:szCs w:val="22"/>
          <w:lang w:val="cs-CZ" w:bidi="cs-CZ"/>
        </w:rPr>
        <w:t xml:space="preserve"> klinick</w:t>
      </w:r>
      <w:r>
        <w:rPr>
          <w:szCs w:val="22"/>
          <w:lang w:val="cs-CZ" w:bidi="cs-CZ"/>
        </w:rPr>
        <w:t>é</w:t>
      </w:r>
      <w:r w:rsidR="009651C4" w:rsidRPr="00603046">
        <w:rPr>
          <w:szCs w:val="22"/>
          <w:lang w:val="cs-CZ" w:bidi="cs-CZ"/>
        </w:rPr>
        <w:t xml:space="preserve"> kokcidióz</w:t>
      </w:r>
      <w:r>
        <w:rPr>
          <w:szCs w:val="22"/>
          <w:lang w:val="cs-CZ" w:bidi="cs-CZ"/>
        </w:rPr>
        <w:t>y</w:t>
      </w:r>
      <w:r w:rsidR="009651C4" w:rsidRPr="00603046">
        <w:rPr>
          <w:szCs w:val="22"/>
          <w:lang w:val="cs-CZ" w:bidi="cs-CZ"/>
        </w:rPr>
        <w:t xml:space="preserve">, </w:t>
      </w:r>
      <w:r>
        <w:rPr>
          <w:szCs w:val="22"/>
          <w:lang w:val="cs-CZ" w:bidi="cs-CZ"/>
        </w:rPr>
        <w:t xml:space="preserve">přítomnost onemocnění ve stádě nebo skupině </w:t>
      </w:r>
      <w:r w:rsidR="009651C4" w:rsidRPr="00603046">
        <w:rPr>
          <w:szCs w:val="22"/>
          <w:lang w:val="cs-CZ" w:bidi="cs-CZ"/>
        </w:rPr>
        <w:t xml:space="preserve">musí být před použitím přípravku </w:t>
      </w:r>
      <w:r>
        <w:rPr>
          <w:szCs w:val="22"/>
          <w:lang w:val="cs-CZ" w:bidi="cs-CZ"/>
        </w:rPr>
        <w:t>potvrzena</w:t>
      </w:r>
      <w:r w:rsidR="009651C4" w:rsidRPr="00603046">
        <w:rPr>
          <w:szCs w:val="22"/>
          <w:lang w:val="cs-CZ" w:bidi="cs-CZ"/>
        </w:rPr>
        <w:t>.</w:t>
      </w:r>
    </w:p>
    <w:bookmarkEnd w:id="3"/>
    <w:p w14:paraId="6214524A" w14:textId="77777777" w:rsidR="00824CBA" w:rsidRPr="00603046" w:rsidRDefault="00824CBA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0A5C151" w14:textId="7771E213" w:rsidR="00824CBA" w:rsidRPr="00603046" w:rsidRDefault="00EA33EB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bookmarkStart w:id="4" w:name="_Hlk185409134"/>
      <w:r>
        <w:rPr>
          <w:szCs w:val="22"/>
          <w:lang w:val="cs-CZ" w:bidi="cs-CZ"/>
        </w:rPr>
        <w:t>Preferované</w:t>
      </w:r>
      <w:r w:rsidRPr="00603046">
        <w:rPr>
          <w:szCs w:val="22"/>
          <w:lang w:val="cs-CZ" w:bidi="cs-CZ"/>
        </w:rPr>
        <w:t xml:space="preserve"> </w:t>
      </w:r>
      <w:r w:rsidR="00824CBA" w:rsidRPr="00603046">
        <w:rPr>
          <w:szCs w:val="22"/>
          <w:lang w:val="cs-CZ" w:bidi="cs-CZ"/>
        </w:rPr>
        <w:t>načasování léčby se řídí zn</w:t>
      </w:r>
      <w:r>
        <w:rPr>
          <w:szCs w:val="22"/>
          <w:lang w:val="cs-CZ" w:bidi="cs-CZ"/>
        </w:rPr>
        <w:t>alostí</w:t>
      </w:r>
      <w:r w:rsidR="00824CBA" w:rsidRPr="00603046">
        <w:rPr>
          <w:szCs w:val="22"/>
          <w:lang w:val="cs-CZ" w:bidi="cs-CZ"/>
        </w:rPr>
        <w:t xml:space="preserve"> epidemiologi</w:t>
      </w:r>
      <w:r>
        <w:rPr>
          <w:szCs w:val="22"/>
          <w:lang w:val="cs-CZ" w:bidi="cs-CZ"/>
        </w:rPr>
        <w:t>e</w:t>
      </w:r>
      <w:r w:rsidR="00824CBA" w:rsidRPr="00603046">
        <w:rPr>
          <w:szCs w:val="22"/>
          <w:lang w:val="cs-CZ" w:bidi="cs-CZ"/>
        </w:rPr>
        <w:t xml:space="preserve"> </w:t>
      </w:r>
      <w:proofErr w:type="spellStart"/>
      <w:r w:rsidR="00824CBA" w:rsidRPr="00603046">
        <w:rPr>
          <w:i/>
          <w:szCs w:val="22"/>
          <w:lang w:val="cs-CZ" w:bidi="cs-CZ"/>
        </w:rPr>
        <w:t>Eimeria</w:t>
      </w:r>
      <w:proofErr w:type="spellEnd"/>
      <w:r w:rsidR="00824CBA" w:rsidRPr="00603046">
        <w:rPr>
          <w:i/>
          <w:szCs w:val="22"/>
          <w:lang w:val="cs-CZ" w:bidi="cs-CZ"/>
        </w:rPr>
        <w:t xml:space="preserve"> </w:t>
      </w:r>
      <w:proofErr w:type="spellStart"/>
      <w:r w:rsidR="00824CBA" w:rsidRPr="00603046">
        <w:rPr>
          <w:szCs w:val="22"/>
          <w:lang w:val="cs-CZ" w:bidi="cs-CZ"/>
        </w:rPr>
        <w:t>spp</w:t>
      </w:r>
      <w:proofErr w:type="spellEnd"/>
      <w:r w:rsidR="00824CBA" w:rsidRPr="00603046">
        <w:rPr>
          <w:szCs w:val="22"/>
          <w:lang w:val="cs-CZ" w:bidi="cs-CZ"/>
        </w:rPr>
        <w:t>., přičemž léčba je nejúčinnější v předpatentní fázi infekce před výskytem klinických příznaků.</w:t>
      </w:r>
    </w:p>
    <w:bookmarkEnd w:id="4"/>
    <w:p w14:paraId="31F61180" w14:textId="77777777" w:rsidR="009651C4" w:rsidRPr="00603046" w:rsidRDefault="009651C4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80A2382" w14:textId="77777777" w:rsidR="00EF6ED9" w:rsidRPr="00603046" w:rsidRDefault="00836506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Telata:  V některých případech může dojít pouze k přechodnému snížení vylučování oocyst.</w:t>
      </w:r>
    </w:p>
    <w:p w14:paraId="4800FB0F" w14:textId="77777777" w:rsidR="00EF6ED9" w:rsidRPr="00603046" w:rsidRDefault="00EF6ED9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31CEAE0B" w14:textId="4700A777" w:rsidR="009651C4" w:rsidRPr="00603046" w:rsidRDefault="00F950DD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5" w:name="_Hlk185344173"/>
      <w:r w:rsidRPr="006437F1">
        <w:rPr>
          <w:color w:val="000000"/>
          <w:szCs w:val="22"/>
          <w:lang w:val="cs-CZ"/>
        </w:rPr>
        <w:t xml:space="preserve">Za použití vhodných testů (např. Testu redukce počtu </w:t>
      </w:r>
      <w:r w:rsidR="00F60CC6" w:rsidRPr="00F60CC6">
        <w:rPr>
          <w:color w:val="000000"/>
          <w:szCs w:val="22"/>
          <w:lang w:val="cs-CZ"/>
        </w:rPr>
        <w:t>vajíček – FECRT</w:t>
      </w:r>
      <w:r w:rsidRPr="006437F1">
        <w:rPr>
          <w:color w:val="000000"/>
          <w:szCs w:val="22"/>
          <w:lang w:val="cs-CZ"/>
        </w:rPr>
        <w:t xml:space="preserve">) mají být vyšetřeny podezřelé klinické případy na rezistenci k </w:t>
      </w:r>
      <w:proofErr w:type="spellStart"/>
      <w:r w:rsidRPr="006437F1">
        <w:rPr>
          <w:color w:val="000000"/>
          <w:szCs w:val="22"/>
          <w:lang w:val="cs-CZ"/>
        </w:rPr>
        <w:t>antikokcidikům</w:t>
      </w:r>
      <w:proofErr w:type="spellEnd"/>
      <w:r w:rsidRPr="006437F1">
        <w:rPr>
          <w:color w:val="000000"/>
          <w:szCs w:val="22"/>
          <w:lang w:val="cs-CZ"/>
        </w:rPr>
        <w:t xml:space="preserve">. Tam, kde výsledky testu potvrzují rezistenci k danému </w:t>
      </w:r>
      <w:proofErr w:type="spellStart"/>
      <w:r w:rsidRPr="006437F1">
        <w:rPr>
          <w:color w:val="000000"/>
          <w:szCs w:val="22"/>
          <w:lang w:val="cs-CZ"/>
        </w:rPr>
        <w:t>antikokcidiku</w:t>
      </w:r>
      <w:proofErr w:type="spellEnd"/>
      <w:r w:rsidRPr="006437F1">
        <w:rPr>
          <w:color w:val="000000"/>
          <w:szCs w:val="22"/>
          <w:lang w:val="cs-CZ"/>
        </w:rPr>
        <w:t xml:space="preserve">, mělo by být použito </w:t>
      </w:r>
      <w:proofErr w:type="spellStart"/>
      <w:r w:rsidRPr="006437F1">
        <w:rPr>
          <w:color w:val="000000"/>
          <w:szCs w:val="22"/>
          <w:lang w:val="cs-CZ"/>
        </w:rPr>
        <w:t>antikokcidikum</w:t>
      </w:r>
      <w:proofErr w:type="spellEnd"/>
      <w:r w:rsidRPr="006437F1">
        <w:rPr>
          <w:color w:val="000000"/>
          <w:szCs w:val="22"/>
          <w:lang w:val="cs-CZ"/>
        </w:rPr>
        <w:t xml:space="preserve"> patřící do jiné farmakologické skupiny s jiným způsobem účinku.</w:t>
      </w:r>
      <w:r w:rsidR="00F60CC6">
        <w:rPr>
          <w:color w:val="000000"/>
          <w:szCs w:val="22"/>
          <w:lang w:val="cs-CZ"/>
        </w:rPr>
        <w:t xml:space="preserve"> </w:t>
      </w:r>
      <w:r w:rsidR="009651C4" w:rsidRPr="00603046">
        <w:rPr>
          <w:szCs w:val="22"/>
          <w:lang w:val="cs-CZ" w:bidi="cs-CZ"/>
        </w:rPr>
        <w:t xml:space="preserve">Zkřížená rezistence mezi </w:t>
      </w:r>
      <w:proofErr w:type="spellStart"/>
      <w:r w:rsidR="009651C4" w:rsidRPr="00603046">
        <w:rPr>
          <w:szCs w:val="22"/>
          <w:lang w:val="cs-CZ" w:bidi="cs-CZ"/>
        </w:rPr>
        <w:t>toltrazurilem</w:t>
      </w:r>
      <w:proofErr w:type="spellEnd"/>
      <w:r w:rsidR="009651C4" w:rsidRPr="00603046">
        <w:rPr>
          <w:szCs w:val="22"/>
          <w:lang w:val="cs-CZ" w:bidi="cs-CZ"/>
        </w:rPr>
        <w:t xml:space="preserve"> a </w:t>
      </w:r>
      <w:proofErr w:type="spellStart"/>
      <w:r w:rsidR="009651C4" w:rsidRPr="00603046">
        <w:rPr>
          <w:szCs w:val="22"/>
          <w:lang w:val="cs-CZ" w:bidi="cs-CZ"/>
        </w:rPr>
        <w:t>di</w:t>
      </w:r>
      <w:r>
        <w:rPr>
          <w:szCs w:val="22"/>
          <w:lang w:val="cs-CZ" w:bidi="cs-CZ"/>
        </w:rPr>
        <w:t>k</w:t>
      </w:r>
      <w:r w:rsidR="009651C4" w:rsidRPr="00603046">
        <w:rPr>
          <w:szCs w:val="22"/>
          <w:lang w:val="cs-CZ" w:bidi="cs-CZ"/>
        </w:rPr>
        <w:t>lazurilem</w:t>
      </w:r>
      <w:proofErr w:type="spellEnd"/>
      <w:r w:rsidR="009651C4" w:rsidRPr="00603046">
        <w:rPr>
          <w:szCs w:val="22"/>
          <w:lang w:val="cs-CZ" w:bidi="cs-CZ"/>
        </w:rPr>
        <w:t xml:space="preserve"> je možná a měla by být zkoumána. Použití </w:t>
      </w:r>
      <w:proofErr w:type="spellStart"/>
      <w:r w:rsidR="009651C4" w:rsidRPr="00603046">
        <w:rPr>
          <w:szCs w:val="22"/>
          <w:lang w:val="cs-CZ" w:bidi="cs-CZ"/>
        </w:rPr>
        <w:t>di</w:t>
      </w:r>
      <w:r w:rsidR="00F60CC6">
        <w:rPr>
          <w:szCs w:val="22"/>
          <w:lang w:val="cs-CZ" w:bidi="cs-CZ"/>
        </w:rPr>
        <w:t>k</w:t>
      </w:r>
      <w:r w:rsidR="009651C4" w:rsidRPr="00603046">
        <w:rPr>
          <w:szCs w:val="22"/>
          <w:lang w:val="cs-CZ" w:bidi="cs-CZ"/>
        </w:rPr>
        <w:t>lazurilu</w:t>
      </w:r>
      <w:proofErr w:type="spellEnd"/>
      <w:r w:rsidR="009651C4" w:rsidRPr="00603046">
        <w:rPr>
          <w:szCs w:val="22"/>
          <w:lang w:val="cs-CZ" w:bidi="cs-CZ"/>
        </w:rPr>
        <w:t xml:space="preserve"> je třeba pečlivě zvážit, pokud testy citlivosti prokázaly rezistenci k triazinovým derivátům, protože jeho účinnost může být snížena.</w:t>
      </w:r>
    </w:p>
    <w:bookmarkEnd w:id="5"/>
    <w:p w14:paraId="60F7A1E7" w14:textId="77777777" w:rsidR="00A7701E" w:rsidRPr="00603046" w:rsidRDefault="00A7701E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0B06D1" w14:textId="77777777" w:rsidR="00C114FF" w:rsidRPr="00603046" w:rsidRDefault="00096E78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3.5</w:t>
      </w:r>
      <w:r w:rsidRPr="00603046">
        <w:rPr>
          <w:b/>
          <w:szCs w:val="22"/>
          <w:lang w:val="cs-CZ" w:bidi="cs-CZ"/>
        </w:rPr>
        <w:tab/>
        <w:t>Zvláštní opatření pro použití</w:t>
      </w:r>
    </w:p>
    <w:p w14:paraId="1D1148FC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29A2D8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603046">
        <w:rPr>
          <w:szCs w:val="22"/>
          <w:u w:val="single"/>
          <w:lang w:val="cs-CZ" w:bidi="cs-CZ"/>
        </w:rPr>
        <w:t>Zvláštní opatření pro bezpečné použití u cílových druhů zvířat:</w:t>
      </w:r>
    </w:p>
    <w:p w14:paraId="47591441" w14:textId="53D20B9A" w:rsidR="00595287" w:rsidRPr="00603046" w:rsidRDefault="00CE5298" w:rsidP="00603046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bookmarkStart w:id="6" w:name="_Hlk185409168"/>
      <w:bookmarkStart w:id="7" w:name="_Hlk167432177"/>
      <w:r w:rsidRPr="00603046">
        <w:rPr>
          <w:szCs w:val="22"/>
          <w:lang w:val="cs-CZ" w:bidi="cs-CZ"/>
        </w:rPr>
        <w:t xml:space="preserve">Použití veterinárního léčivého přípravku by mělo být založeno na identifikaci a </w:t>
      </w:r>
      <w:bookmarkStart w:id="8" w:name="_Hlk185344191"/>
      <w:r w:rsidR="00212740">
        <w:rPr>
          <w:szCs w:val="22"/>
          <w:lang w:val="cs-CZ" w:bidi="cs-CZ"/>
        </w:rPr>
        <w:t>výsledku stanove</w:t>
      </w:r>
      <w:r w:rsidRPr="00603046">
        <w:rPr>
          <w:szCs w:val="22"/>
          <w:lang w:val="cs-CZ" w:bidi="cs-CZ"/>
        </w:rPr>
        <w:t xml:space="preserve">ní </w:t>
      </w:r>
      <w:bookmarkEnd w:id="8"/>
      <w:r w:rsidRPr="00603046">
        <w:rPr>
          <w:szCs w:val="22"/>
          <w:lang w:val="cs-CZ" w:bidi="cs-CZ"/>
        </w:rPr>
        <w:t xml:space="preserve">citlivosti cílového patogenu (cílových patogenů).  Pokud to není možné, </w:t>
      </w:r>
      <w:r w:rsidR="00EE2E53">
        <w:rPr>
          <w:szCs w:val="22"/>
          <w:lang w:val="cs-CZ" w:bidi="cs-CZ"/>
        </w:rPr>
        <w:t xml:space="preserve">je nutné založit </w:t>
      </w:r>
      <w:r w:rsidRPr="00603046">
        <w:rPr>
          <w:szCs w:val="22"/>
          <w:lang w:val="cs-CZ" w:bidi="cs-CZ"/>
        </w:rPr>
        <w:t>léčb</w:t>
      </w:r>
      <w:r w:rsidR="00EE2E53">
        <w:rPr>
          <w:szCs w:val="22"/>
          <w:lang w:val="cs-CZ" w:bidi="cs-CZ"/>
        </w:rPr>
        <w:t>u</w:t>
      </w:r>
      <w:r w:rsidRPr="00603046">
        <w:rPr>
          <w:szCs w:val="22"/>
          <w:lang w:val="cs-CZ" w:bidi="cs-CZ"/>
        </w:rPr>
        <w:t xml:space="preserve"> na</w:t>
      </w:r>
      <w:r w:rsidR="00504153">
        <w:rPr>
          <w:szCs w:val="22"/>
          <w:lang w:val="cs-CZ" w:bidi="cs-CZ"/>
        </w:rPr>
        <w:t xml:space="preserve"> místních (regionální, na úrovni farmy)</w:t>
      </w:r>
      <w:r w:rsidRPr="00603046">
        <w:rPr>
          <w:szCs w:val="22"/>
          <w:lang w:val="cs-CZ" w:bidi="cs-CZ"/>
        </w:rPr>
        <w:t xml:space="preserve"> epidemiologických informacích a znalost</w:t>
      </w:r>
      <w:r w:rsidR="00504153">
        <w:rPr>
          <w:szCs w:val="22"/>
          <w:lang w:val="cs-CZ" w:bidi="cs-CZ"/>
        </w:rPr>
        <w:t>ech</w:t>
      </w:r>
      <w:r w:rsidRPr="00603046">
        <w:rPr>
          <w:szCs w:val="22"/>
          <w:lang w:val="cs-CZ" w:bidi="cs-CZ"/>
        </w:rPr>
        <w:t xml:space="preserve"> citlivosti cílových patogenů.</w:t>
      </w:r>
    </w:p>
    <w:bookmarkEnd w:id="6"/>
    <w:p w14:paraId="3F6AEF02" w14:textId="77777777" w:rsidR="00E766BB" w:rsidRPr="00603046" w:rsidRDefault="00E766BB" w:rsidP="00603046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</w:p>
    <w:p w14:paraId="04600110" w14:textId="77777777" w:rsidR="00595287" w:rsidRPr="00603046" w:rsidRDefault="00595287" w:rsidP="00603046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03046">
        <w:rPr>
          <w:szCs w:val="22"/>
          <w:lang w:val="cs-CZ" w:bidi="cs-CZ"/>
        </w:rPr>
        <w:t>Použití veterinárního léčivého přípravku by mělo být v souladu s oficiálními, národními a regionálními antimikrobiálními politikami.</w:t>
      </w:r>
    </w:p>
    <w:p w14:paraId="7215746A" w14:textId="77777777" w:rsidR="00E766BB" w:rsidRPr="00603046" w:rsidRDefault="00E766BB" w:rsidP="00603046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</w:p>
    <w:p w14:paraId="3C1FE9CA" w14:textId="630B1137" w:rsidR="00A84DB6" w:rsidRPr="00603046" w:rsidRDefault="00A84DB6" w:rsidP="00603046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bookmarkStart w:id="9" w:name="_Hlk185344207"/>
      <w:r w:rsidRPr="00603046">
        <w:rPr>
          <w:szCs w:val="22"/>
          <w:lang w:val="cs-CZ" w:bidi="cs-CZ"/>
        </w:rPr>
        <w:t>Kokcidióza je indikátorem nedostatečné hygieny ve stádu/</w:t>
      </w:r>
      <w:r w:rsidR="00E63124">
        <w:rPr>
          <w:szCs w:val="22"/>
          <w:lang w:val="cs-CZ" w:bidi="cs-CZ"/>
        </w:rPr>
        <w:t>kotci</w:t>
      </w:r>
      <w:r w:rsidRPr="00603046">
        <w:rPr>
          <w:szCs w:val="22"/>
          <w:lang w:val="cs-CZ" w:bidi="cs-CZ"/>
        </w:rPr>
        <w:t xml:space="preserve">.  Doporučuje se zlepšit hygienu a ošetřit všechna jehňata ve skupině a všechna telata v </w:t>
      </w:r>
      <w:r w:rsidR="00E63124">
        <w:rPr>
          <w:szCs w:val="22"/>
          <w:lang w:val="cs-CZ" w:bidi="cs-CZ"/>
        </w:rPr>
        <w:t>kotci</w:t>
      </w:r>
      <w:r w:rsidRPr="00603046">
        <w:rPr>
          <w:szCs w:val="22"/>
          <w:lang w:val="cs-CZ" w:bidi="cs-CZ"/>
        </w:rPr>
        <w:t>. To přispěje ke snížení infekčního tlaku a zajistí lepší epidemiologickou kontrolu kokcidiózy.</w:t>
      </w:r>
    </w:p>
    <w:p w14:paraId="2F58B7C9" w14:textId="77777777" w:rsidR="00A84DB6" w:rsidRPr="00603046" w:rsidRDefault="00A84DB6" w:rsidP="00603046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</w:p>
    <w:p w14:paraId="798F65D8" w14:textId="1E800BE2" w:rsidR="00C114FF" w:rsidRPr="00603046" w:rsidRDefault="00E63124" w:rsidP="00603046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>
        <w:rPr>
          <w:szCs w:val="22"/>
          <w:lang w:val="cs-CZ" w:bidi="cs-CZ"/>
        </w:rPr>
        <w:t>Ke zlepšení</w:t>
      </w:r>
      <w:r w:rsidR="00A84DB6" w:rsidRPr="00603046">
        <w:rPr>
          <w:szCs w:val="22"/>
          <w:lang w:val="cs-CZ" w:bidi="cs-CZ"/>
        </w:rPr>
        <w:t xml:space="preserve"> průběhu </w:t>
      </w:r>
      <w:r>
        <w:rPr>
          <w:szCs w:val="22"/>
          <w:lang w:val="cs-CZ" w:bidi="cs-CZ"/>
        </w:rPr>
        <w:t>potvrzené</w:t>
      </w:r>
      <w:r w:rsidRPr="00603046">
        <w:rPr>
          <w:szCs w:val="22"/>
          <w:lang w:val="cs-CZ" w:bidi="cs-CZ"/>
        </w:rPr>
        <w:t xml:space="preserve"> </w:t>
      </w:r>
      <w:r w:rsidR="00A84DB6" w:rsidRPr="00603046">
        <w:rPr>
          <w:szCs w:val="22"/>
          <w:lang w:val="cs-CZ" w:bidi="cs-CZ"/>
        </w:rPr>
        <w:t>klinické kokci</w:t>
      </w:r>
      <w:r>
        <w:rPr>
          <w:szCs w:val="22"/>
          <w:lang w:val="cs-CZ" w:bidi="cs-CZ"/>
        </w:rPr>
        <w:t>diózy</w:t>
      </w:r>
      <w:r w:rsidR="00A84DB6" w:rsidRPr="00603046">
        <w:rPr>
          <w:szCs w:val="22"/>
          <w:lang w:val="cs-CZ" w:bidi="cs-CZ"/>
        </w:rPr>
        <w:t xml:space="preserve"> je u zvířat, která již vykazují příznaky průjmu, nezbytná další podpůrná léčba tekutinami.</w:t>
      </w:r>
    </w:p>
    <w:p w14:paraId="0D4308C8" w14:textId="77777777" w:rsidR="00B6531A" w:rsidRPr="00603046" w:rsidRDefault="00B6531A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B49721" w14:textId="674C864E" w:rsidR="00B36F29" w:rsidRPr="00603046" w:rsidRDefault="00B36F29" w:rsidP="00603046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03046">
        <w:rPr>
          <w:szCs w:val="22"/>
          <w:lang w:val="cs-CZ" w:bidi="cs-CZ"/>
        </w:rPr>
        <w:t xml:space="preserve">Preventivní použití tohoto veterinárního </w:t>
      </w:r>
      <w:r w:rsidR="00E63124">
        <w:rPr>
          <w:szCs w:val="22"/>
          <w:lang w:val="cs-CZ" w:bidi="cs-CZ"/>
        </w:rPr>
        <w:t xml:space="preserve">léčivého </w:t>
      </w:r>
      <w:r w:rsidRPr="00603046">
        <w:rPr>
          <w:szCs w:val="22"/>
          <w:lang w:val="cs-CZ" w:bidi="cs-CZ"/>
        </w:rPr>
        <w:t>přípravku by mělo být omezeno na zvířata s velmi vysokým rizikem infekce.</w:t>
      </w:r>
    </w:p>
    <w:p w14:paraId="2E16A8DA" w14:textId="77777777" w:rsidR="00B36F29" w:rsidRPr="00603046" w:rsidRDefault="00B36F29" w:rsidP="00603046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</w:p>
    <w:p w14:paraId="36588132" w14:textId="16BF3279" w:rsidR="00C114FF" w:rsidRPr="00123FCC" w:rsidRDefault="00A84DB6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23FCC">
        <w:rPr>
          <w:szCs w:val="22"/>
          <w:lang w:val="cs-CZ" w:bidi="cs-CZ"/>
        </w:rPr>
        <w:t xml:space="preserve">Časté a opakované používání </w:t>
      </w:r>
      <w:proofErr w:type="spellStart"/>
      <w:r w:rsidRPr="00123FCC">
        <w:rPr>
          <w:szCs w:val="22"/>
          <w:lang w:val="cs-CZ" w:bidi="cs-CZ"/>
        </w:rPr>
        <w:t>antiprotozoik</w:t>
      </w:r>
      <w:proofErr w:type="spellEnd"/>
      <w:r w:rsidRPr="00123FCC">
        <w:rPr>
          <w:szCs w:val="22"/>
          <w:lang w:val="cs-CZ" w:bidi="cs-CZ"/>
        </w:rPr>
        <w:t xml:space="preserve"> může </w:t>
      </w:r>
      <w:proofErr w:type="gramStart"/>
      <w:r w:rsidRPr="00123FCC">
        <w:rPr>
          <w:szCs w:val="22"/>
          <w:lang w:val="cs-CZ" w:bidi="cs-CZ"/>
        </w:rPr>
        <w:t xml:space="preserve">vést </w:t>
      </w:r>
      <w:r w:rsidR="00123FCC" w:rsidRPr="00123FCC">
        <w:rPr>
          <w:szCs w:val="22"/>
          <w:lang w:val="cs-CZ" w:bidi="cs-CZ"/>
        </w:rPr>
        <w:t> u</w:t>
      </w:r>
      <w:proofErr w:type="gramEnd"/>
      <w:r w:rsidR="00123FCC" w:rsidRPr="00123FCC">
        <w:rPr>
          <w:szCs w:val="22"/>
          <w:lang w:val="cs-CZ" w:bidi="cs-CZ"/>
        </w:rPr>
        <w:t xml:space="preserve"> </w:t>
      </w:r>
      <w:r w:rsidR="00123FCC" w:rsidRPr="006437F1">
        <w:rPr>
          <w:color w:val="000000"/>
          <w:szCs w:val="22"/>
          <w:lang w:val="cs-CZ"/>
        </w:rPr>
        <w:t xml:space="preserve">dotčených parazitů k </w:t>
      </w:r>
      <w:r w:rsidRPr="00123FCC">
        <w:rPr>
          <w:szCs w:val="22"/>
          <w:lang w:val="cs-CZ" w:bidi="cs-CZ"/>
        </w:rPr>
        <w:t>rozvoji rezistence .</w:t>
      </w:r>
    </w:p>
    <w:bookmarkEnd w:id="7"/>
    <w:p w14:paraId="7C61385F" w14:textId="77777777" w:rsidR="00A84DB6" w:rsidRPr="00603046" w:rsidRDefault="00A84DB6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9"/>
    <w:p w14:paraId="38BC9337" w14:textId="75C6562E" w:rsidR="00C114FF" w:rsidRPr="00603046" w:rsidRDefault="00C114FF" w:rsidP="00062ED8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603046">
        <w:rPr>
          <w:szCs w:val="22"/>
          <w:u w:val="single"/>
          <w:lang w:val="cs-CZ" w:bidi="cs-CZ"/>
        </w:rPr>
        <w:t>Zvláštní opatření</w:t>
      </w:r>
      <w:r w:rsidR="005C5656">
        <w:rPr>
          <w:szCs w:val="22"/>
          <w:u w:val="single"/>
          <w:lang w:val="cs-CZ" w:bidi="cs-CZ"/>
        </w:rPr>
        <w:t xml:space="preserve"> pro osobu,</w:t>
      </w:r>
      <w:r w:rsidRPr="00603046">
        <w:rPr>
          <w:szCs w:val="22"/>
          <w:u w:val="single"/>
          <w:lang w:val="cs-CZ" w:bidi="cs-CZ"/>
        </w:rPr>
        <w:t xml:space="preserve"> která podáv</w:t>
      </w:r>
      <w:r w:rsidR="005C5656">
        <w:rPr>
          <w:szCs w:val="22"/>
          <w:u w:val="single"/>
          <w:lang w:val="cs-CZ" w:bidi="cs-CZ"/>
        </w:rPr>
        <w:t>á</w:t>
      </w:r>
      <w:r w:rsidRPr="00603046">
        <w:rPr>
          <w:szCs w:val="22"/>
          <w:u w:val="single"/>
          <w:lang w:val="cs-CZ" w:bidi="cs-CZ"/>
        </w:rPr>
        <w:t xml:space="preserve"> veterinární léčivý přípravek zvířatům:</w:t>
      </w:r>
    </w:p>
    <w:p w14:paraId="356884D1" w14:textId="77777777" w:rsidR="00C114FF" w:rsidRPr="00603046" w:rsidRDefault="006D1BDC" w:rsidP="0060304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pt-BR"/>
        </w:rPr>
      </w:pPr>
      <w:bookmarkStart w:id="10" w:name="_Hlk167432233"/>
      <w:r w:rsidRPr="00603046">
        <w:rPr>
          <w:szCs w:val="22"/>
          <w:lang w:val="cs-CZ" w:bidi="cs-CZ"/>
        </w:rPr>
        <w:t>Po podání přípravku si umyjte ruce.</w:t>
      </w:r>
    </w:p>
    <w:bookmarkEnd w:id="10"/>
    <w:p w14:paraId="05BC059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9304103" w14:textId="77777777" w:rsidR="00295140" w:rsidRPr="00603046" w:rsidRDefault="00295140" w:rsidP="00062ED8">
      <w:pPr>
        <w:keepNext/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u w:val="single"/>
          <w:lang w:val="cs-CZ" w:bidi="cs-CZ"/>
        </w:rPr>
        <w:t>Zvláštní opatření pro ochranu životního prostředí</w:t>
      </w:r>
      <w:r w:rsidRPr="00603046">
        <w:rPr>
          <w:szCs w:val="22"/>
          <w:lang w:val="cs-CZ" w:bidi="cs-CZ"/>
        </w:rPr>
        <w:t>:</w:t>
      </w:r>
    </w:p>
    <w:p w14:paraId="6B3AD5EC" w14:textId="77777777" w:rsidR="00C114FF" w:rsidRPr="00603046" w:rsidRDefault="00295140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Neuplatňuje se.</w:t>
      </w:r>
    </w:p>
    <w:p w14:paraId="30EC7E03" w14:textId="77777777" w:rsidR="003F237D" w:rsidRPr="00603046" w:rsidRDefault="003F237D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BAAF6FA" w14:textId="77777777" w:rsidR="00C114FF" w:rsidRPr="00603046" w:rsidRDefault="00295140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3.6</w:t>
      </w:r>
      <w:r w:rsidRPr="00603046">
        <w:rPr>
          <w:b/>
          <w:szCs w:val="22"/>
          <w:lang w:val="cs-CZ" w:bidi="cs-CZ"/>
        </w:rPr>
        <w:tab/>
        <w:t>Nežádoucí příhody</w:t>
      </w:r>
    </w:p>
    <w:p w14:paraId="68D1D65F" w14:textId="77777777" w:rsidR="00295140" w:rsidRPr="00603046" w:rsidRDefault="00295140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519D699" w14:textId="77777777" w:rsidR="006D1BDC" w:rsidRPr="00603046" w:rsidRDefault="00A84DB6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bookmarkStart w:id="11" w:name="_Hlk167432320"/>
      <w:r w:rsidRPr="00603046">
        <w:rPr>
          <w:szCs w:val="22"/>
          <w:lang w:val="cs-CZ" w:bidi="cs-CZ"/>
        </w:rPr>
        <w:t>Ovce (jehňata) a skot (telata):</w:t>
      </w:r>
    </w:p>
    <w:p w14:paraId="5B4A8E7C" w14:textId="77777777" w:rsidR="006D1BDC" w:rsidRPr="00603046" w:rsidRDefault="006D1BDC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963"/>
      </w:tblGrid>
      <w:tr w:rsidR="00C02A52" w:rsidRPr="00603046" w14:paraId="32F62AA0" w14:textId="77777777" w:rsidTr="00D35149">
        <w:tc>
          <w:tcPr>
            <w:tcW w:w="1865" w:type="pct"/>
          </w:tcPr>
          <w:p w14:paraId="56492242" w14:textId="77777777" w:rsidR="00C02A52" w:rsidRPr="00603046" w:rsidRDefault="00C02A52" w:rsidP="00603046">
            <w:pPr>
              <w:spacing w:line="240" w:lineRule="auto"/>
              <w:rPr>
                <w:szCs w:val="22"/>
                <w:lang w:val="pt-BR"/>
              </w:rPr>
            </w:pPr>
            <w:r w:rsidRPr="00603046">
              <w:rPr>
                <w:szCs w:val="22"/>
                <w:lang w:val="cs-CZ" w:bidi="cs-CZ"/>
              </w:rPr>
              <w:t>Velmi vzácné</w:t>
            </w:r>
          </w:p>
          <w:p w14:paraId="4EB41771" w14:textId="77777777" w:rsidR="00C02A52" w:rsidRPr="00603046" w:rsidRDefault="00C02A52" w:rsidP="00603046">
            <w:pPr>
              <w:spacing w:line="240" w:lineRule="auto"/>
              <w:rPr>
                <w:szCs w:val="22"/>
                <w:lang w:val="pt-BR"/>
              </w:rPr>
            </w:pPr>
            <w:r w:rsidRPr="00603046">
              <w:rPr>
                <w:szCs w:val="22"/>
                <w:lang w:val="cs-CZ" w:bidi="cs-CZ"/>
              </w:rPr>
              <w:t>(&lt; 1 ošetřené zvíře / 10 000 zvířat, včetně ojedinělých hlášení):</w:t>
            </w:r>
          </w:p>
        </w:tc>
        <w:tc>
          <w:tcPr>
            <w:tcW w:w="3135" w:type="pct"/>
            <w:hideMark/>
          </w:tcPr>
          <w:p w14:paraId="6DF41F3E" w14:textId="77777777" w:rsidR="006E3304" w:rsidRPr="00603046" w:rsidRDefault="002D290D" w:rsidP="00603046">
            <w:pPr>
              <w:spacing w:line="240" w:lineRule="auto"/>
              <w:rPr>
                <w:iCs/>
                <w:szCs w:val="22"/>
                <w:lang w:val="pt-BR"/>
              </w:rPr>
            </w:pPr>
            <w:r w:rsidRPr="00603046">
              <w:rPr>
                <w:szCs w:val="22"/>
                <w:lang w:val="cs-CZ" w:bidi="cs-CZ"/>
              </w:rPr>
              <w:t>Poruchy trávicího traktu (např. průjem</w:t>
            </w:r>
            <w:r w:rsidRPr="00603046">
              <w:rPr>
                <w:szCs w:val="22"/>
                <w:vertAlign w:val="superscript"/>
                <w:lang w:val="cs-CZ" w:bidi="cs-CZ"/>
              </w:rPr>
              <w:t>1,2</w:t>
            </w:r>
            <w:r w:rsidRPr="00603046">
              <w:rPr>
                <w:szCs w:val="22"/>
                <w:lang w:val="cs-CZ" w:bidi="cs-CZ"/>
              </w:rPr>
              <w:t>);</w:t>
            </w:r>
          </w:p>
          <w:p w14:paraId="495F7B85" w14:textId="54E50910" w:rsidR="006E3304" w:rsidRPr="00603046" w:rsidRDefault="00D35149" w:rsidP="00603046">
            <w:pPr>
              <w:spacing w:line="240" w:lineRule="auto"/>
              <w:rPr>
                <w:iCs/>
                <w:szCs w:val="22"/>
                <w:lang w:val="pt-BR"/>
              </w:rPr>
            </w:pPr>
            <w:r w:rsidRPr="00603046">
              <w:rPr>
                <w:szCs w:val="22"/>
                <w:lang w:val="cs-CZ" w:bidi="cs-CZ"/>
              </w:rPr>
              <w:t xml:space="preserve">Letargie, </w:t>
            </w:r>
            <w:bookmarkStart w:id="12" w:name="_Hlk164177542"/>
            <w:r w:rsidR="00BD62EE">
              <w:rPr>
                <w:szCs w:val="22"/>
                <w:lang w:val="cs-CZ" w:bidi="cs-CZ"/>
              </w:rPr>
              <w:t>ulehnutí</w:t>
            </w:r>
          </w:p>
          <w:p w14:paraId="6F1269AA" w14:textId="77777777" w:rsidR="006E3304" w:rsidRPr="00603046" w:rsidRDefault="006E3304" w:rsidP="00603046">
            <w:pPr>
              <w:spacing w:line="240" w:lineRule="auto"/>
              <w:rPr>
                <w:iCs/>
                <w:szCs w:val="22"/>
                <w:lang w:val="pt-BR"/>
              </w:rPr>
            </w:pPr>
            <w:r w:rsidRPr="00603046">
              <w:rPr>
                <w:szCs w:val="22"/>
                <w:lang w:val="cs-CZ" w:bidi="cs-CZ"/>
              </w:rPr>
              <w:t>Rozrušení;</w:t>
            </w:r>
          </w:p>
          <w:p w14:paraId="306CA27C" w14:textId="77777777" w:rsidR="00D35149" w:rsidRPr="00603046" w:rsidRDefault="006E3304" w:rsidP="00603046">
            <w:pPr>
              <w:spacing w:line="240" w:lineRule="auto"/>
              <w:rPr>
                <w:iCs/>
                <w:szCs w:val="22"/>
                <w:lang w:val="pt-BR"/>
              </w:rPr>
            </w:pPr>
            <w:r w:rsidRPr="00603046">
              <w:rPr>
                <w:szCs w:val="22"/>
                <w:lang w:val="cs-CZ" w:bidi="cs-CZ"/>
              </w:rPr>
              <w:t>Neurologické příznaky (např. paréza)</w:t>
            </w:r>
          </w:p>
          <w:bookmarkEnd w:id="12"/>
          <w:p w14:paraId="52A22F1C" w14:textId="77777777" w:rsidR="00D35149" w:rsidRPr="00603046" w:rsidRDefault="00D35149" w:rsidP="00603046">
            <w:pPr>
              <w:spacing w:line="240" w:lineRule="auto"/>
              <w:rPr>
                <w:iCs/>
                <w:szCs w:val="22"/>
                <w:lang w:val="pt-BR"/>
              </w:rPr>
            </w:pPr>
          </w:p>
        </w:tc>
      </w:tr>
    </w:tbl>
    <w:p w14:paraId="28CE13B8" w14:textId="77777777" w:rsidR="006D1BDC" w:rsidRPr="00603046" w:rsidRDefault="006E3304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vertAlign w:val="superscript"/>
          <w:lang w:val="cs-CZ" w:bidi="cs-CZ"/>
        </w:rPr>
        <w:t>1</w:t>
      </w:r>
      <w:r w:rsidRPr="00603046">
        <w:rPr>
          <w:szCs w:val="22"/>
          <w:lang w:val="cs-CZ" w:bidi="cs-CZ"/>
        </w:rPr>
        <w:t xml:space="preserve"> s možnou přítomností krve</w:t>
      </w:r>
    </w:p>
    <w:p w14:paraId="04D73A49" w14:textId="77777777" w:rsidR="006E3304" w:rsidRPr="00603046" w:rsidRDefault="006E3304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vertAlign w:val="superscript"/>
          <w:lang w:val="cs-CZ" w:bidi="cs-CZ"/>
        </w:rPr>
        <w:t>2</w:t>
      </w:r>
      <w:r w:rsidRPr="00603046">
        <w:rPr>
          <w:szCs w:val="22"/>
          <w:lang w:val="cs-CZ" w:bidi="cs-CZ"/>
        </w:rPr>
        <w:t xml:space="preserve"> u některých léčených zvířat, i když je vylučování oocyst sníženo na velmi nízkou úroveň.</w:t>
      </w:r>
    </w:p>
    <w:p w14:paraId="4FE3BE16" w14:textId="77777777" w:rsidR="006E3304" w:rsidRPr="00603046" w:rsidRDefault="006E3304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6F003B57" w14:textId="3BC29882" w:rsidR="00247A48" w:rsidRPr="00603046" w:rsidRDefault="00247A48" w:rsidP="00603046">
      <w:pPr>
        <w:spacing w:line="240" w:lineRule="auto"/>
        <w:rPr>
          <w:szCs w:val="22"/>
          <w:lang w:val="cs-CZ"/>
        </w:rPr>
      </w:pPr>
      <w:bookmarkStart w:id="13" w:name="_Hlk66891708"/>
      <w:r w:rsidRPr="00603046">
        <w:rPr>
          <w:szCs w:val="22"/>
          <w:lang w:val="cs-CZ" w:bidi="cs-CZ"/>
        </w:rPr>
        <w:t xml:space="preserve">Hlášení nežádoucích příhod je důležité.  Umožňuje průběžné sledování bezpečnosti veterinárního léčivého přípravku.  Hlášení by měla být zasílána, nejlépe prostřednictvím veterinárního lékaře, buď držiteli rozhodnutí o registraci nebo jeho místnímu zástupci, nebo příslušnému vnitrostátnímu orgánu prostřednictvím vnitrostátního systému hlášení.  </w:t>
      </w:r>
      <w:r w:rsidR="00ED3419" w:rsidRPr="00603046">
        <w:rPr>
          <w:szCs w:val="22"/>
          <w:lang w:val="cs-CZ" w:bidi="cs-CZ"/>
        </w:rPr>
        <w:t>Příslušné kontaktní údaje naleznete také v poslední části příbalového letáku.</w:t>
      </w:r>
    </w:p>
    <w:bookmarkEnd w:id="11"/>
    <w:bookmarkEnd w:id="13"/>
    <w:p w14:paraId="76F16147" w14:textId="77777777" w:rsidR="00247A48" w:rsidRPr="00603046" w:rsidRDefault="00247A48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2DD78E" w14:textId="77777777" w:rsidR="007C6E21" w:rsidRPr="00603046" w:rsidRDefault="007C6E21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B338AD" w14:textId="77777777" w:rsidR="00B578C2" w:rsidRPr="00603046" w:rsidRDefault="00B578C2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9239BC" w14:textId="77777777" w:rsidR="00C114FF" w:rsidRPr="00603046" w:rsidRDefault="00247A48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3.7</w:t>
      </w:r>
      <w:r w:rsidRPr="00603046">
        <w:rPr>
          <w:b/>
          <w:szCs w:val="22"/>
          <w:lang w:val="cs-CZ" w:bidi="cs-CZ"/>
        </w:rPr>
        <w:tab/>
        <w:t>Použití v průběhu březosti, laktace nebo snášky</w:t>
      </w:r>
    </w:p>
    <w:p w14:paraId="1CBDC8ED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D1E7AB" w14:textId="77777777" w:rsidR="00C114FF" w:rsidRPr="00603046" w:rsidRDefault="00350DF7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Neuplatňuje se.</w:t>
      </w:r>
    </w:p>
    <w:p w14:paraId="0AB14E1C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F0E4A7C" w14:textId="77777777" w:rsidR="00C114FF" w:rsidRPr="00603046" w:rsidRDefault="00247A4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3.8</w:t>
      </w:r>
      <w:r w:rsidRPr="00603046">
        <w:rPr>
          <w:b/>
          <w:szCs w:val="22"/>
          <w:lang w:val="cs-CZ" w:bidi="cs-CZ"/>
        </w:rPr>
        <w:tab/>
        <w:t>Interakce s jinými léčivými přípravky a další formy interakce</w:t>
      </w:r>
    </w:p>
    <w:p w14:paraId="724C475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35AD68F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Nejsou známy.</w:t>
      </w:r>
    </w:p>
    <w:p w14:paraId="7EE61E10" w14:textId="77777777" w:rsidR="00C90EDA" w:rsidRPr="00603046" w:rsidRDefault="00C90EDA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D1C3E3A" w14:textId="77777777" w:rsidR="00C114FF" w:rsidRPr="00603046" w:rsidRDefault="00247A4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3.9</w:t>
      </w:r>
      <w:r w:rsidRPr="00603046">
        <w:rPr>
          <w:b/>
          <w:szCs w:val="22"/>
          <w:lang w:val="cs-CZ" w:bidi="cs-CZ"/>
        </w:rPr>
        <w:tab/>
        <w:t>Cesty podání a dávkování</w:t>
      </w:r>
    </w:p>
    <w:p w14:paraId="1F8C1F00" w14:textId="77777777" w:rsidR="007472D0" w:rsidRPr="00603046" w:rsidRDefault="007472D0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D8DF400" w14:textId="71998972" w:rsidR="00A835AD" w:rsidRPr="00603046" w:rsidRDefault="00A835AD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bookmarkStart w:id="14" w:name="_Hlk167403313"/>
      <w:r w:rsidRPr="00603046">
        <w:rPr>
          <w:szCs w:val="22"/>
          <w:lang w:val="cs-CZ" w:bidi="cs-CZ"/>
        </w:rPr>
        <w:t>Perorální po</w:t>
      </w:r>
      <w:r w:rsidR="00A67EEA">
        <w:rPr>
          <w:szCs w:val="22"/>
          <w:lang w:val="cs-CZ" w:bidi="cs-CZ"/>
        </w:rPr>
        <w:t>dání</w:t>
      </w:r>
      <w:r w:rsidRPr="00603046">
        <w:rPr>
          <w:szCs w:val="22"/>
          <w:lang w:val="cs-CZ" w:bidi="cs-CZ"/>
        </w:rPr>
        <w:t>.</w:t>
      </w:r>
    </w:p>
    <w:p w14:paraId="29D69C43" w14:textId="77777777" w:rsidR="00350DF7" w:rsidRPr="00603046" w:rsidRDefault="00350DF7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Před použitím dobře protřepejte.</w:t>
      </w:r>
    </w:p>
    <w:p w14:paraId="29357E46" w14:textId="77777777" w:rsidR="00A84DB6" w:rsidRPr="00603046" w:rsidRDefault="00A84DB6" w:rsidP="00603046">
      <w:pPr>
        <w:spacing w:line="240" w:lineRule="auto"/>
        <w:rPr>
          <w:noProof/>
          <w:szCs w:val="22"/>
          <w:lang w:val="cs-CZ"/>
        </w:rPr>
      </w:pPr>
      <w:r w:rsidRPr="00603046">
        <w:rPr>
          <w:szCs w:val="22"/>
          <w:lang w:val="cs-CZ" w:bidi="cs-CZ"/>
        </w:rPr>
        <w:t>Pro zajištění přesného dávkování se doporučuje používat vhodně kalibrované měřicí zařízení. To je důležité zejména při podávání malých objemů.</w:t>
      </w:r>
    </w:p>
    <w:p w14:paraId="043A054C" w14:textId="7A8E1794" w:rsidR="00247A48" w:rsidRPr="00603046" w:rsidRDefault="00247A48" w:rsidP="00603046">
      <w:pPr>
        <w:spacing w:line="240" w:lineRule="auto"/>
        <w:rPr>
          <w:noProof/>
          <w:szCs w:val="22"/>
          <w:lang w:val="cs-CZ"/>
        </w:rPr>
      </w:pPr>
      <w:bookmarkStart w:id="15" w:name="_Hlk185344493"/>
      <w:r w:rsidRPr="00603046">
        <w:rPr>
          <w:noProof/>
          <w:szCs w:val="22"/>
          <w:lang w:val="cs-CZ" w:bidi="cs-CZ"/>
        </w:rPr>
        <w:t xml:space="preserve">Pro zajištění správného dávkování </w:t>
      </w:r>
      <w:r w:rsidR="000C4D6E">
        <w:rPr>
          <w:noProof/>
          <w:szCs w:val="22"/>
          <w:lang w:val="cs-CZ" w:bidi="cs-CZ"/>
        </w:rPr>
        <w:t>by měla být co</w:t>
      </w:r>
      <w:r w:rsidRPr="00603046">
        <w:rPr>
          <w:noProof/>
          <w:szCs w:val="22"/>
          <w:lang w:val="cs-CZ" w:bidi="cs-CZ"/>
        </w:rPr>
        <w:t xml:space="preserve"> nejpřesněji </w:t>
      </w:r>
      <w:r w:rsidR="000C4D6E">
        <w:rPr>
          <w:noProof/>
          <w:szCs w:val="22"/>
          <w:lang w:val="cs-CZ" w:bidi="cs-CZ"/>
        </w:rPr>
        <w:t>stanovena</w:t>
      </w:r>
      <w:r w:rsidR="000C4D6E" w:rsidRPr="00603046">
        <w:rPr>
          <w:noProof/>
          <w:szCs w:val="22"/>
          <w:lang w:val="cs-CZ" w:bidi="cs-CZ"/>
        </w:rPr>
        <w:t xml:space="preserve"> </w:t>
      </w:r>
      <w:r w:rsidR="00123FCC">
        <w:rPr>
          <w:noProof/>
          <w:szCs w:val="22"/>
          <w:lang w:val="cs-CZ" w:bidi="cs-CZ"/>
        </w:rPr>
        <w:t>živ</w:t>
      </w:r>
      <w:r w:rsidR="000C4D6E">
        <w:rPr>
          <w:noProof/>
          <w:szCs w:val="22"/>
          <w:lang w:val="cs-CZ" w:bidi="cs-CZ"/>
        </w:rPr>
        <w:t>á</w:t>
      </w:r>
      <w:r w:rsidR="00123FCC" w:rsidRPr="00603046">
        <w:rPr>
          <w:noProof/>
          <w:szCs w:val="22"/>
          <w:lang w:val="cs-CZ" w:bidi="cs-CZ"/>
        </w:rPr>
        <w:t xml:space="preserve"> </w:t>
      </w:r>
      <w:r w:rsidRPr="00603046">
        <w:rPr>
          <w:noProof/>
          <w:szCs w:val="22"/>
          <w:lang w:val="cs-CZ" w:bidi="cs-CZ"/>
        </w:rPr>
        <w:t>hmotnost.</w:t>
      </w:r>
    </w:p>
    <w:p w14:paraId="40E9DB1F" w14:textId="382B776F" w:rsidR="00194593" w:rsidRPr="00603046" w:rsidRDefault="00194593" w:rsidP="00603046">
      <w:pPr>
        <w:spacing w:line="240" w:lineRule="auto"/>
        <w:rPr>
          <w:noProof/>
          <w:szCs w:val="22"/>
          <w:lang w:val="cs-CZ"/>
        </w:rPr>
      </w:pPr>
      <w:r w:rsidRPr="00603046">
        <w:rPr>
          <w:noProof/>
          <w:szCs w:val="22"/>
          <w:lang w:val="cs-CZ" w:bidi="cs-CZ"/>
        </w:rPr>
        <w:t xml:space="preserve">Pokud mají být zvířata léčena hromadně, a nikoli individuálně, měla by být rozdělena do skupin podle </w:t>
      </w:r>
      <w:r w:rsidR="000C4D6E">
        <w:rPr>
          <w:noProof/>
          <w:szCs w:val="22"/>
          <w:lang w:val="cs-CZ" w:bidi="cs-CZ"/>
        </w:rPr>
        <w:t xml:space="preserve">jejich </w:t>
      </w:r>
      <w:r w:rsidR="00123FCC">
        <w:rPr>
          <w:noProof/>
          <w:szCs w:val="22"/>
          <w:lang w:val="cs-CZ" w:bidi="cs-CZ"/>
        </w:rPr>
        <w:t>živ</w:t>
      </w:r>
      <w:r w:rsidR="00123FCC" w:rsidRPr="00603046">
        <w:rPr>
          <w:noProof/>
          <w:szCs w:val="22"/>
          <w:lang w:val="cs-CZ" w:bidi="cs-CZ"/>
        </w:rPr>
        <w:t xml:space="preserve">é </w:t>
      </w:r>
      <w:r w:rsidRPr="00603046">
        <w:rPr>
          <w:noProof/>
          <w:szCs w:val="22"/>
          <w:lang w:val="cs-CZ" w:bidi="cs-CZ"/>
        </w:rPr>
        <w:t>hmotnosti a podle toho dávkována, aby se předešlo poddávkování nebo předávkování.</w:t>
      </w:r>
    </w:p>
    <w:p w14:paraId="66881C09" w14:textId="17A3873B" w:rsidR="00194593" w:rsidRPr="00603046" w:rsidRDefault="00194593" w:rsidP="00603046">
      <w:pPr>
        <w:spacing w:line="240" w:lineRule="auto"/>
        <w:rPr>
          <w:noProof/>
          <w:szCs w:val="22"/>
          <w:lang w:val="cs-CZ"/>
        </w:rPr>
      </w:pPr>
      <w:bookmarkStart w:id="16" w:name="_Hlk185344447"/>
      <w:bookmarkEnd w:id="15"/>
      <w:r w:rsidRPr="00603046">
        <w:rPr>
          <w:noProof/>
          <w:szCs w:val="22"/>
          <w:lang w:val="cs-CZ" w:bidi="cs-CZ"/>
        </w:rPr>
        <w:t>1 mg di</w:t>
      </w:r>
      <w:r w:rsidR="00F60CC6">
        <w:rPr>
          <w:noProof/>
          <w:szCs w:val="22"/>
          <w:lang w:val="cs-CZ" w:bidi="cs-CZ"/>
        </w:rPr>
        <w:t>k</w:t>
      </w:r>
      <w:r w:rsidRPr="00603046">
        <w:rPr>
          <w:noProof/>
          <w:szCs w:val="22"/>
          <w:lang w:val="cs-CZ" w:bidi="cs-CZ"/>
        </w:rPr>
        <w:t xml:space="preserve">lazurilu na kg </w:t>
      </w:r>
      <w:r w:rsidR="00123FCC">
        <w:rPr>
          <w:noProof/>
          <w:szCs w:val="22"/>
          <w:lang w:val="cs-CZ" w:bidi="cs-CZ"/>
        </w:rPr>
        <w:t>živ</w:t>
      </w:r>
      <w:r w:rsidR="00123FCC" w:rsidRPr="00603046">
        <w:rPr>
          <w:noProof/>
          <w:szCs w:val="22"/>
          <w:lang w:val="cs-CZ" w:bidi="cs-CZ"/>
        </w:rPr>
        <w:t xml:space="preserve">é </w:t>
      </w:r>
      <w:r w:rsidRPr="00603046">
        <w:rPr>
          <w:noProof/>
          <w:szCs w:val="22"/>
          <w:lang w:val="cs-CZ" w:bidi="cs-CZ"/>
        </w:rPr>
        <w:t xml:space="preserve">hmotnosti (tj. 1 ml veterinárního léčivého přípravku na 2,5 kg </w:t>
      </w:r>
      <w:r w:rsidR="00123FCC">
        <w:rPr>
          <w:noProof/>
          <w:szCs w:val="22"/>
          <w:lang w:val="cs-CZ" w:bidi="cs-CZ"/>
        </w:rPr>
        <w:t>živ</w:t>
      </w:r>
      <w:r w:rsidR="00123FCC" w:rsidRPr="00603046">
        <w:rPr>
          <w:noProof/>
          <w:szCs w:val="22"/>
          <w:lang w:val="cs-CZ" w:bidi="cs-CZ"/>
        </w:rPr>
        <w:t xml:space="preserve">é </w:t>
      </w:r>
      <w:r w:rsidRPr="00603046">
        <w:rPr>
          <w:noProof/>
          <w:szCs w:val="22"/>
          <w:lang w:val="cs-CZ" w:bidi="cs-CZ"/>
        </w:rPr>
        <w:t>hmotnosti)</w:t>
      </w:r>
      <w:r w:rsidR="00504153">
        <w:rPr>
          <w:noProof/>
          <w:szCs w:val="22"/>
          <w:lang w:val="cs-CZ" w:bidi="cs-CZ"/>
        </w:rPr>
        <w:t>,</w:t>
      </w:r>
      <w:r w:rsidRPr="00603046">
        <w:rPr>
          <w:noProof/>
          <w:szCs w:val="22"/>
          <w:lang w:val="cs-CZ" w:bidi="cs-CZ"/>
        </w:rPr>
        <w:t xml:space="preserve"> </w:t>
      </w:r>
      <w:r w:rsidR="000C4D6E">
        <w:rPr>
          <w:noProof/>
          <w:szCs w:val="22"/>
          <w:lang w:val="cs-CZ" w:bidi="cs-CZ"/>
        </w:rPr>
        <w:t>podaný</w:t>
      </w:r>
      <w:r w:rsidR="000C4D6E" w:rsidRPr="00603046">
        <w:rPr>
          <w:noProof/>
          <w:szCs w:val="22"/>
          <w:lang w:val="cs-CZ" w:bidi="cs-CZ"/>
        </w:rPr>
        <w:t xml:space="preserve"> </w:t>
      </w:r>
      <w:r w:rsidRPr="00603046">
        <w:rPr>
          <w:noProof/>
          <w:szCs w:val="22"/>
          <w:lang w:val="cs-CZ" w:bidi="cs-CZ"/>
        </w:rPr>
        <w:t>jednorázov</w:t>
      </w:r>
      <w:r w:rsidR="000C4D6E">
        <w:rPr>
          <w:noProof/>
          <w:szCs w:val="22"/>
          <w:lang w:val="cs-CZ" w:bidi="cs-CZ"/>
        </w:rPr>
        <w:t>ě</w:t>
      </w:r>
      <w:r w:rsidRPr="00603046">
        <w:rPr>
          <w:noProof/>
          <w:szCs w:val="22"/>
          <w:lang w:val="cs-CZ" w:bidi="cs-CZ"/>
        </w:rPr>
        <w:t xml:space="preserve"> peroráln</w:t>
      </w:r>
      <w:r w:rsidR="000C4D6E">
        <w:rPr>
          <w:noProof/>
          <w:szCs w:val="22"/>
          <w:lang w:val="cs-CZ" w:bidi="cs-CZ"/>
        </w:rPr>
        <w:t>ě</w:t>
      </w:r>
      <w:r w:rsidRPr="00603046">
        <w:rPr>
          <w:noProof/>
          <w:szCs w:val="22"/>
          <w:lang w:val="cs-CZ" w:bidi="cs-CZ"/>
        </w:rPr>
        <w:t>.</w:t>
      </w:r>
    </w:p>
    <w:bookmarkEnd w:id="16"/>
    <w:p w14:paraId="0EA87511" w14:textId="77777777" w:rsidR="00567CF9" w:rsidRPr="00603046" w:rsidRDefault="00567CF9" w:rsidP="00603046">
      <w:pPr>
        <w:spacing w:line="240" w:lineRule="auto"/>
        <w:rPr>
          <w:noProof/>
          <w:szCs w:val="22"/>
          <w:lang w:val="cs-CZ"/>
        </w:rPr>
      </w:pPr>
    </w:p>
    <w:p w14:paraId="6F9FC0F3" w14:textId="7787A1E5" w:rsidR="00020683" w:rsidRPr="00603046" w:rsidRDefault="000C4D6E" w:rsidP="00603046">
      <w:pPr>
        <w:spacing w:line="240" w:lineRule="auto"/>
        <w:jc w:val="center"/>
        <w:rPr>
          <w:b/>
          <w:bCs/>
          <w:noProof/>
          <w:szCs w:val="22"/>
        </w:rPr>
      </w:pPr>
      <w:r>
        <w:rPr>
          <w:b/>
          <w:noProof/>
          <w:szCs w:val="22"/>
          <w:lang w:val="cs-CZ" w:bidi="cs-CZ"/>
        </w:rPr>
        <w:t>Příručka</w:t>
      </w:r>
      <w:r w:rsidRPr="00603046">
        <w:rPr>
          <w:b/>
          <w:noProof/>
          <w:szCs w:val="22"/>
          <w:lang w:val="cs-CZ" w:bidi="cs-CZ"/>
        </w:rPr>
        <w:t xml:space="preserve"> </w:t>
      </w:r>
      <w:r w:rsidR="00020683" w:rsidRPr="00603046">
        <w:rPr>
          <w:b/>
          <w:noProof/>
          <w:szCs w:val="22"/>
          <w:lang w:val="cs-CZ" w:bidi="cs-CZ"/>
        </w:rPr>
        <w:t>dávkování: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1576"/>
      </w:tblGrid>
      <w:tr w:rsidR="00020683" w:rsidRPr="00603046" w14:paraId="066F9FB8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5EBA17D2" w14:textId="295AC8A0" w:rsidR="00020683" w:rsidRPr="00603046" w:rsidRDefault="000C4D6E" w:rsidP="00603046">
            <w:pPr>
              <w:spacing w:line="240" w:lineRule="auto"/>
              <w:jc w:val="center"/>
              <w:rPr>
                <w:b/>
                <w:bCs/>
                <w:noProof/>
                <w:szCs w:val="22"/>
                <w:lang w:val="pt-BR"/>
              </w:rPr>
            </w:pPr>
            <w:r>
              <w:rPr>
                <w:b/>
                <w:noProof/>
                <w:szCs w:val="22"/>
                <w:lang w:val="cs-CZ" w:bidi="cs-CZ"/>
              </w:rPr>
              <w:t>Živ</w:t>
            </w:r>
            <w:r w:rsidRPr="00603046">
              <w:rPr>
                <w:b/>
                <w:noProof/>
                <w:szCs w:val="22"/>
                <w:lang w:val="cs-CZ" w:bidi="cs-CZ"/>
              </w:rPr>
              <w:t xml:space="preserve">á </w:t>
            </w:r>
            <w:r w:rsidR="00020683" w:rsidRPr="00603046">
              <w:rPr>
                <w:b/>
                <w:noProof/>
                <w:szCs w:val="22"/>
                <w:lang w:val="cs-CZ" w:bidi="cs-CZ"/>
              </w:rPr>
              <w:t>hmotnost</w:t>
            </w:r>
          </w:p>
          <w:p w14:paraId="2430C2B6" w14:textId="77777777" w:rsidR="00020683" w:rsidRPr="00603046" w:rsidRDefault="00020683" w:rsidP="00603046">
            <w:pPr>
              <w:spacing w:line="240" w:lineRule="auto"/>
              <w:jc w:val="center"/>
              <w:rPr>
                <w:b/>
                <w:bCs/>
                <w:noProof/>
                <w:szCs w:val="22"/>
                <w:lang w:val="pt-BR"/>
              </w:rPr>
            </w:pPr>
            <w:r w:rsidRPr="00603046">
              <w:rPr>
                <w:b/>
                <w:noProof/>
                <w:szCs w:val="22"/>
                <w:lang w:val="cs-CZ" w:bidi="cs-CZ"/>
              </w:rPr>
              <w:t>(Jehňata a telata)</w:t>
            </w:r>
          </w:p>
        </w:tc>
        <w:tc>
          <w:tcPr>
            <w:tcW w:w="1576" w:type="dxa"/>
            <w:shd w:val="clear" w:color="auto" w:fill="auto"/>
          </w:tcPr>
          <w:p w14:paraId="7DAA7769" w14:textId="77777777" w:rsidR="00020683" w:rsidRPr="00603046" w:rsidRDefault="00020683" w:rsidP="00603046">
            <w:pPr>
              <w:spacing w:line="240" w:lineRule="auto"/>
              <w:jc w:val="center"/>
              <w:rPr>
                <w:b/>
                <w:bCs/>
                <w:noProof/>
                <w:szCs w:val="22"/>
              </w:rPr>
            </w:pPr>
            <w:r w:rsidRPr="00603046">
              <w:rPr>
                <w:b/>
                <w:noProof/>
                <w:szCs w:val="22"/>
                <w:lang w:val="cs-CZ" w:bidi="cs-CZ"/>
              </w:rPr>
              <w:t>Objem dávky</w:t>
            </w:r>
          </w:p>
          <w:p w14:paraId="0FB3F94C" w14:textId="77777777" w:rsidR="00020683" w:rsidRPr="00603046" w:rsidRDefault="00020683" w:rsidP="00603046">
            <w:pPr>
              <w:spacing w:line="240" w:lineRule="auto"/>
              <w:jc w:val="center"/>
              <w:rPr>
                <w:b/>
                <w:bCs/>
                <w:noProof/>
                <w:szCs w:val="22"/>
              </w:rPr>
            </w:pPr>
            <w:r w:rsidRPr="00603046">
              <w:rPr>
                <w:b/>
                <w:noProof/>
                <w:szCs w:val="22"/>
                <w:lang w:val="cs-CZ" w:bidi="cs-CZ"/>
              </w:rPr>
              <w:t>1 mg/kg</w:t>
            </w:r>
          </w:p>
        </w:tc>
      </w:tr>
      <w:tr w:rsidR="00020683" w:rsidRPr="00603046" w14:paraId="7A083D27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034F17C9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5,0 kg</w:t>
            </w:r>
          </w:p>
        </w:tc>
        <w:tc>
          <w:tcPr>
            <w:tcW w:w="1576" w:type="dxa"/>
            <w:shd w:val="clear" w:color="auto" w:fill="auto"/>
          </w:tcPr>
          <w:p w14:paraId="0C502781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2 ml</w:t>
            </w:r>
          </w:p>
        </w:tc>
      </w:tr>
      <w:tr w:rsidR="00020683" w:rsidRPr="00603046" w14:paraId="65E119D9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291F0855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7,5 kg</w:t>
            </w:r>
          </w:p>
        </w:tc>
        <w:tc>
          <w:tcPr>
            <w:tcW w:w="1576" w:type="dxa"/>
            <w:shd w:val="clear" w:color="auto" w:fill="auto"/>
          </w:tcPr>
          <w:p w14:paraId="268F634C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3 ml</w:t>
            </w:r>
          </w:p>
        </w:tc>
      </w:tr>
      <w:tr w:rsidR="00020683" w:rsidRPr="00603046" w14:paraId="5082E1DD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07A97F5D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10,0 kg</w:t>
            </w:r>
          </w:p>
        </w:tc>
        <w:tc>
          <w:tcPr>
            <w:tcW w:w="1576" w:type="dxa"/>
            <w:shd w:val="clear" w:color="auto" w:fill="auto"/>
          </w:tcPr>
          <w:p w14:paraId="0C87CAFC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4 ml</w:t>
            </w:r>
          </w:p>
        </w:tc>
      </w:tr>
      <w:tr w:rsidR="00020683" w:rsidRPr="00603046" w14:paraId="4F6720A5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481FBD97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12,5 kg</w:t>
            </w:r>
          </w:p>
        </w:tc>
        <w:tc>
          <w:tcPr>
            <w:tcW w:w="1576" w:type="dxa"/>
            <w:shd w:val="clear" w:color="auto" w:fill="auto"/>
          </w:tcPr>
          <w:p w14:paraId="04B92FB0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5 ml</w:t>
            </w:r>
          </w:p>
        </w:tc>
      </w:tr>
      <w:tr w:rsidR="00020683" w:rsidRPr="00603046" w14:paraId="1C9DAC0F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425C2C23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15,0 kg</w:t>
            </w:r>
          </w:p>
        </w:tc>
        <w:tc>
          <w:tcPr>
            <w:tcW w:w="1576" w:type="dxa"/>
            <w:shd w:val="clear" w:color="auto" w:fill="auto"/>
          </w:tcPr>
          <w:p w14:paraId="65161E84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6 ml</w:t>
            </w:r>
          </w:p>
        </w:tc>
      </w:tr>
      <w:tr w:rsidR="00020683" w:rsidRPr="00603046" w14:paraId="23F01CB5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67DE89D2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20,0 kg</w:t>
            </w:r>
          </w:p>
        </w:tc>
        <w:tc>
          <w:tcPr>
            <w:tcW w:w="1576" w:type="dxa"/>
            <w:shd w:val="clear" w:color="auto" w:fill="auto"/>
          </w:tcPr>
          <w:p w14:paraId="5F5A3D57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8 ml</w:t>
            </w:r>
          </w:p>
        </w:tc>
      </w:tr>
      <w:tr w:rsidR="00020683" w:rsidRPr="00603046" w14:paraId="793C85D3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4D8A0706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25,0 kg</w:t>
            </w:r>
          </w:p>
        </w:tc>
        <w:tc>
          <w:tcPr>
            <w:tcW w:w="1576" w:type="dxa"/>
            <w:shd w:val="clear" w:color="auto" w:fill="auto"/>
          </w:tcPr>
          <w:p w14:paraId="433C3EA8" w14:textId="77777777" w:rsidR="00020683" w:rsidRPr="00603046" w:rsidRDefault="009C00D4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10 ml</w:t>
            </w:r>
          </w:p>
        </w:tc>
      </w:tr>
      <w:tr w:rsidR="00020683" w:rsidRPr="00603046" w14:paraId="5C31C0E5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21E6E4D8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50,0 kg</w:t>
            </w:r>
          </w:p>
        </w:tc>
        <w:tc>
          <w:tcPr>
            <w:tcW w:w="1576" w:type="dxa"/>
            <w:shd w:val="clear" w:color="auto" w:fill="auto"/>
          </w:tcPr>
          <w:p w14:paraId="31E5E93E" w14:textId="77777777" w:rsidR="00020683" w:rsidRPr="00603046" w:rsidRDefault="009C00D4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20 ml</w:t>
            </w:r>
          </w:p>
        </w:tc>
      </w:tr>
      <w:tr w:rsidR="00020683" w:rsidRPr="00603046" w14:paraId="676E6B80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7BC1F511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75,0 kg</w:t>
            </w:r>
          </w:p>
        </w:tc>
        <w:tc>
          <w:tcPr>
            <w:tcW w:w="1576" w:type="dxa"/>
            <w:shd w:val="clear" w:color="auto" w:fill="auto"/>
          </w:tcPr>
          <w:p w14:paraId="5AE3923F" w14:textId="77777777" w:rsidR="00020683" w:rsidRPr="00603046" w:rsidRDefault="009C00D4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30 ml</w:t>
            </w:r>
          </w:p>
        </w:tc>
      </w:tr>
      <w:tr w:rsidR="00020683" w:rsidRPr="00603046" w14:paraId="057370E1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121F0DEE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100,0 kg</w:t>
            </w:r>
          </w:p>
        </w:tc>
        <w:tc>
          <w:tcPr>
            <w:tcW w:w="1576" w:type="dxa"/>
            <w:shd w:val="clear" w:color="auto" w:fill="auto"/>
          </w:tcPr>
          <w:p w14:paraId="4C6623AD" w14:textId="77777777" w:rsidR="00020683" w:rsidRPr="00603046" w:rsidRDefault="009C00D4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40 ml</w:t>
            </w:r>
          </w:p>
        </w:tc>
      </w:tr>
      <w:tr w:rsidR="00020683" w:rsidRPr="00603046" w14:paraId="4FB69D5D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38BE10BA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150,0 kg</w:t>
            </w:r>
          </w:p>
        </w:tc>
        <w:tc>
          <w:tcPr>
            <w:tcW w:w="1576" w:type="dxa"/>
            <w:shd w:val="clear" w:color="auto" w:fill="auto"/>
          </w:tcPr>
          <w:p w14:paraId="6E9470C1" w14:textId="77777777" w:rsidR="00020683" w:rsidRPr="00603046" w:rsidRDefault="009C00D4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60 ml</w:t>
            </w:r>
          </w:p>
        </w:tc>
      </w:tr>
      <w:tr w:rsidR="00020683" w:rsidRPr="00603046" w14:paraId="4E135DE9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2BBFDF5D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175,0 kg</w:t>
            </w:r>
          </w:p>
        </w:tc>
        <w:tc>
          <w:tcPr>
            <w:tcW w:w="1576" w:type="dxa"/>
            <w:shd w:val="clear" w:color="auto" w:fill="auto"/>
          </w:tcPr>
          <w:p w14:paraId="7AE8BFCF" w14:textId="77777777" w:rsidR="00020683" w:rsidRPr="00603046" w:rsidRDefault="009C00D4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70 ml</w:t>
            </w:r>
          </w:p>
        </w:tc>
      </w:tr>
      <w:tr w:rsidR="00020683" w:rsidRPr="00603046" w14:paraId="078E4B1E" w14:textId="77777777" w:rsidTr="002150F4">
        <w:trPr>
          <w:jc w:val="center"/>
        </w:trPr>
        <w:tc>
          <w:tcPr>
            <w:tcW w:w="2209" w:type="dxa"/>
            <w:shd w:val="clear" w:color="auto" w:fill="auto"/>
          </w:tcPr>
          <w:p w14:paraId="58069B45" w14:textId="77777777" w:rsidR="00020683" w:rsidRPr="00603046" w:rsidRDefault="0002068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200,0 kg</w:t>
            </w:r>
          </w:p>
        </w:tc>
        <w:tc>
          <w:tcPr>
            <w:tcW w:w="1576" w:type="dxa"/>
            <w:shd w:val="clear" w:color="auto" w:fill="auto"/>
          </w:tcPr>
          <w:p w14:paraId="107F87ED" w14:textId="77777777" w:rsidR="00020683" w:rsidRPr="00603046" w:rsidRDefault="009C00D4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80 ml</w:t>
            </w:r>
          </w:p>
        </w:tc>
      </w:tr>
    </w:tbl>
    <w:p w14:paraId="78E48454" w14:textId="77777777" w:rsidR="00247A48" w:rsidRPr="00603046" w:rsidRDefault="00247A48" w:rsidP="00603046">
      <w:pPr>
        <w:tabs>
          <w:tab w:val="clear" w:pos="567"/>
        </w:tabs>
        <w:spacing w:line="240" w:lineRule="auto"/>
        <w:rPr>
          <w:szCs w:val="22"/>
        </w:rPr>
      </w:pPr>
    </w:p>
    <w:p w14:paraId="71B580D3" w14:textId="23B41156" w:rsidR="001633CB" w:rsidRPr="00603046" w:rsidRDefault="0048620E" w:rsidP="00603046">
      <w:pPr>
        <w:tabs>
          <w:tab w:val="clear" w:pos="567"/>
        </w:tabs>
        <w:spacing w:line="240" w:lineRule="auto"/>
        <w:rPr>
          <w:szCs w:val="22"/>
        </w:rPr>
      </w:pPr>
      <w:bookmarkStart w:id="17" w:name="_Hlk165526959"/>
      <w:bookmarkStart w:id="18" w:name="_Hlk185344504"/>
      <w:r w:rsidRPr="00603046">
        <w:rPr>
          <w:color w:val="000000"/>
          <w:szCs w:val="22"/>
          <w:lang w:val="cs-CZ" w:bidi="cs-CZ"/>
        </w:rPr>
        <w:t xml:space="preserve">Perorální suspenze by měla být podávána přímo do </w:t>
      </w:r>
      <w:r w:rsidR="00D664BB">
        <w:rPr>
          <w:color w:val="000000"/>
          <w:szCs w:val="22"/>
          <w:lang w:val="cs-CZ" w:bidi="cs-CZ"/>
        </w:rPr>
        <w:t>tlamy</w:t>
      </w:r>
      <w:r w:rsidR="00D664BB" w:rsidRPr="00603046">
        <w:rPr>
          <w:color w:val="000000"/>
          <w:szCs w:val="22"/>
          <w:lang w:val="cs-CZ" w:bidi="cs-CZ"/>
        </w:rPr>
        <w:t xml:space="preserve"> </w:t>
      </w:r>
      <w:r w:rsidRPr="00603046">
        <w:rPr>
          <w:color w:val="000000"/>
          <w:szCs w:val="22"/>
          <w:lang w:val="cs-CZ" w:bidi="cs-CZ"/>
        </w:rPr>
        <w:t xml:space="preserve">pomocí vhodného </w:t>
      </w:r>
      <w:r w:rsidR="00D664BB">
        <w:rPr>
          <w:color w:val="000000"/>
          <w:szCs w:val="22"/>
          <w:lang w:val="cs-CZ" w:bidi="cs-CZ"/>
        </w:rPr>
        <w:t xml:space="preserve">dávkovacího </w:t>
      </w:r>
      <w:r w:rsidRPr="00603046">
        <w:rPr>
          <w:color w:val="000000"/>
          <w:szCs w:val="22"/>
          <w:lang w:val="cs-CZ" w:bidi="cs-CZ"/>
        </w:rPr>
        <w:t>zařízení.</w:t>
      </w:r>
      <w:bookmarkEnd w:id="17"/>
    </w:p>
    <w:bookmarkEnd w:id="14"/>
    <w:bookmarkEnd w:id="18"/>
    <w:p w14:paraId="5B1C17A9" w14:textId="77777777" w:rsidR="001633CB" w:rsidRPr="00603046" w:rsidRDefault="001633CB" w:rsidP="00603046">
      <w:pPr>
        <w:tabs>
          <w:tab w:val="clear" w:pos="567"/>
        </w:tabs>
        <w:spacing w:line="240" w:lineRule="auto"/>
        <w:rPr>
          <w:szCs w:val="22"/>
        </w:rPr>
      </w:pPr>
    </w:p>
    <w:p w14:paraId="5FC495B8" w14:textId="77777777" w:rsidR="00C114FF" w:rsidRPr="00603046" w:rsidRDefault="003F3CE6" w:rsidP="00603046">
      <w:pPr>
        <w:tabs>
          <w:tab w:val="clear" w:pos="567"/>
        </w:tabs>
        <w:spacing w:line="240" w:lineRule="auto"/>
        <w:rPr>
          <w:b/>
          <w:bCs/>
          <w:szCs w:val="22"/>
          <w:lang w:val="pt-BR"/>
        </w:rPr>
      </w:pPr>
      <w:r w:rsidRPr="00603046">
        <w:rPr>
          <w:b/>
          <w:szCs w:val="22"/>
          <w:lang w:val="cs-CZ" w:bidi="cs-CZ"/>
        </w:rPr>
        <w:t>3.10</w:t>
      </w:r>
      <w:r w:rsidRPr="00603046">
        <w:rPr>
          <w:b/>
          <w:szCs w:val="22"/>
          <w:lang w:val="cs-CZ" w:bidi="cs-CZ"/>
        </w:rPr>
        <w:tab/>
        <w:t xml:space="preserve">Příznaky předávkování (a případně nouzové postupy a antidota) </w:t>
      </w:r>
    </w:p>
    <w:p w14:paraId="13B0A031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9FE444D" w14:textId="77777777" w:rsidR="00194593" w:rsidRPr="00603046" w:rsidRDefault="00335840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bookmarkStart w:id="19" w:name="_Hlk167432510"/>
      <w:r w:rsidRPr="00603046">
        <w:rPr>
          <w:szCs w:val="22"/>
          <w:lang w:val="cs-CZ" w:bidi="cs-CZ"/>
        </w:rPr>
        <w:t>Ovce (jehňata):  Po podání pětinásobku doporučené dávky nebyly zaznamenány žádné klinické příznaky předávkování.</w:t>
      </w:r>
    </w:p>
    <w:p w14:paraId="2A8F2946" w14:textId="77777777" w:rsidR="00194593" w:rsidRPr="00603046" w:rsidRDefault="0080712E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szCs w:val="22"/>
          <w:lang w:val="cs-CZ" w:bidi="cs-CZ"/>
        </w:rPr>
        <w:t>Skot (telata):  Po jednorázovém podání pětinásobku doporučené dávky nebyly zaznamenány žádné klinické příznaky předávkování.  Při opakovaném podání trojnásobné až pětinásobné dávky ve 3 po sobě následujících dnech lze u některých telat pozorovat změknutí a změnu barvy (tmavě hnědá) trusu.  Tato pozorování byla přechodná a vymizela bez specifické léčby.</w:t>
      </w:r>
    </w:p>
    <w:bookmarkEnd w:id="19"/>
    <w:p w14:paraId="512F1A1A" w14:textId="77777777" w:rsidR="00194593" w:rsidRPr="00603046" w:rsidRDefault="00194593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092FB7" w14:textId="77777777" w:rsidR="00FF68E7" w:rsidRPr="00603046" w:rsidRDefault="009A6509" w:rsidP="00603046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 w:rsidRPr="00603046">
        <w:rPr>
          <w:b/>
          <w:szCs w:val="22"/>
          <w:lang w:val="cs-CZ" w:bidi="cs-CZ"/>
        </w:rPr>
        <w:t>3.11</w:t>
      </w:r>
      <w:r w:rsidRPr="00603046">
        <w:rPr>
          <w:b/>
          <w:szCs w:val="22"/>
          <w:lang w:val="cs-CZ" w:bidi="cs-CZ"/>
        </w:rPr>
        <w:tab/>
        <w:t>Zvláštní omezení pro použití a zvláštní podmínky pro použití, včetně omezení pro použití</w:t>
      </w:r>
    </w:p>
    <w:p w14:paraId="5C1F747C" w14:textId="0C1C588F" w:rsidR="009A6509" w:rsidRPr="00603046" w:rsidRDefault="009A6509" w:rsidP="00603046">
      <w:pPr>
        <w:tabs>
          <w:tab w:val="clear" w:pos="567"/>
        </w:tabs>
        <w:spacing w:line="240" w:lineRule="auto"/>
        <w:ind w:left="567"/>
        <w:rPr>
          <w:b/>
          <w:bCs/>
          <w:szCs w:val="22"/>
          <w:lang w:val="cs-CZ"/>
        </w:rPr>
      </w:pPr>
      <w:r w:rsidRPr="00603046">
        <w:rPr>
          <w:b/>
          <w:szCs w:val="22"/>
          <w:lang w:val="cs-CZ" w:bidi="cs-CZ"/>
        </w:rPr>
        <w:t>antimikrobiálních a antiparazitárních veterinárních léčivých přípravků, aby se omezilo riziko vzniku rezistence</w:t>
      </w:r>
    </w:p>
    <w:p w14:paraId="3DC4A5C5" w14:textId="77777777" w:rsidR="009A6509" w:rsidRPr="00603046" w:rsidRDefault="009A6509" w:rsidP="00603046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</w:p>
    <w:p w14:paraId="3C183F8C" w14:textId="77777777" w:rsidR="009A6509" w:rsidRPr="00603046" w:rsidRDefault="009A6509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Neuplatňuje se.</w:t>
      </w:r>
    </w:p>
    <w:p w14:paraId="411D9002" w14:textId="77777777" w:rsidR="0064335B" w:rsidRPr="00603046" w:rsidRDefault="0064335B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62A8195" w14:textId="77777777" w:rsidR="00F70001" w:rsidRPr="00603046" w:rsidRDefault="009A6509" w:rsidP="00062ED8">
      <w:pPr>
        <w:keepNext/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3.12</w:t>
      </w:r>
      <w:r w:rsidRPr="00603046">
        <w:rPr>
          <w:b/>
          <w:szCs w:val="22"/>
          <w:lang w:val="cs-CZ" w:bidi="cs-CZ"/>
        </w:rPr>
        <w:tab/>
        <w:t>Ochranné lhůty</w:t>
      </w:r>
    </w:p>
    <w:p w14:paraId="47B9F756" w14:textId="77777777" w:rsidR="00F70001" w:rsidRPr="00603046" w:rsidRDefault="00F70001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4527FA6" w14:textId="4E09DFBE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bookmarkStart w:id="20" w:name="_Hlk167432551"/>
      <w:r w:rsidRPr="00603046">
        <w:rPr>
          <w:szCs w:val="22"/>
          <w:lang w:val="cs-CZ" w:bidi="cs-CZ"/>
        </w:rPr>
        <w:t>Maso:</w:t>
      </w:r>
    </w:p>
    <w:p w14:paraId="2BF7E23E" w14:textId="6BD94B25" w:rsidR="00F70001" w:rsidRPr="00603046" w:rsidRDefault="0080712E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Ovce (jehňata): </w:t>
      </w:r>
      <w:r w:rsidR="00CD110B">
        <w:rPr>
          <w:szCs w:val="22"/>
          <w:lang w:val="cs-CZ" w:bidi="cs-CZ"/>
        </w:rPr>
        <w:t>Bez ochranných lhůt.</w:t>
      </w:r>
    </w:p>
    <w:p w14:paraId="5FAF1D51" w14:textId="0A24C374" w:rsidR="00F70001" w:rsidRPr="00603046" w:rsidRDefault="0080712E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lastRenderedPageBreak/>
        <w:t xml:space="preserve">Skot (telata): </w:t>
      </w:r>
      <w:r w:rsidR="00CD110B">
        <w:rPr>
          <w:szCs w:val="22"/>
          <w:lang w:val="cs-CZ" w:bidi="cs-CZ"/>
        </w:rPr>
        <w:t>Bez ochranných lhůt.</w:t>
      </w:r>
    </w:p>
    <w:p w14:paraId="5C04A07D" w14:textId="3ADD6F40" w:rsidR="00C114FF" w:rsidRPr="00603046" w:rsidRDefault="00A84DB6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Ne</w:t>
      </w:r>
      <w:r w:rsidR="00CD110B">
        <w:rPr>
          <w:szCs w:val="22"/>
          <w:lang w:val="cs-CZ" w:bidi="cs-CZ"/>
        </w:rPr>
        <w:t>používat</w:t>
      </w:r>
      <w:r w:rsidRPr="00603046">
        <w:rPr>
          <w:szCs w:val="22"/>
          <w:lang w:val="cs-CZ" w:bidi="cs-CZ"/>
        </w:rPr>
        <w:t xml:space="preserve"> u zvířat, </w:t>
      </w:r>
      <w:r w:rsidR="00DA1014">
        <w:rPr>
          <w:szCs w:val="22"/>
          <w:lang w:val="cs-CZ" w:bidi="cs-CZ"/>
        </w:rPr>
        <w:t xml:space="preserve">jejichž mléko je určeno </w:t>
      </w:r>
      <w:r w:rsidRPr="00603046">
        <w:rPr>
          <w:szCs w:val="22"/>
          <w:lang w:val="cs-CZ" w:bidi="cs-CZ"/>
        </w:rPr>
        <w:t>pro lidskou spotřebu.</w:t>
      </w:r>
    </w:p>
    <w:bookmarkEnd w:id="20"/>
    <w:p w14:paraId="388DC31D" w14:textId="77777777" w:rsidR="00F70001" w:rsidRDefault="00F70001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606C749D" w14:textId="77777777" w:rsidR="00603046" w:rsidRPr="00603046" w:rsidRDefault="00603046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3182F1FF" w14:textId="77777777" w:rsidR="00C114FF" w:rsidRPr="00603046" w:rsidRDefault="009A6509" w:rsidP="00062ED8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  <w:r w:rsidRPr="00603046">
        <w:rPr>
          <w:b/>
          <w:szCs w:val="22"/>
          <w:lang w:val="cs-CZ" w:bidi="cs-CZ"/>
        </w:rPr>
        <w:t>4.</w:t>
      </w:r>
      <w:r w:rsidRPr="00603046">
        <w:rPr>
          <w:b/>
          <w:szCs w:val="22"/>
          <w:lang w:val="cs-CZ" w:bidi="cs-CZ"/>
        </w:rPr>
        <w:tab/>
        <w:t>FARMAKOLOGICKÉ INFORMACE</w:t>
      </w:r>
    </w:p>
    <w:p w14:paraId="078AA1E6" w14:textId="77777777" w:rsidR="004931B2" w:rsidRPr="00603046" w:rsidRDefault="004931B2" w:rsidP="00062ED8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</w:p>
    <w:p w14:paraId="6C71BB5C" w14:textId="7268166F" w:rsidR="00F70001" w:rsidRPr="00603046" w:rsidRDefault="009A6509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4.1</w:t>
      </w:r>
      <w:r w:rsidRPr="00603046">
        <w:rPr>
          <w:b/>
          <w:szCs w:val="22"/>
          <w:lang w:val="cs-CZ" w:bidi="cs-CZ"/>
        </w:rPr>
        <w:tab/>
      </w:r>
      <w:proofErr w:type="spellStart"/>
      <w:r w:rsidR="00006AD0" w:rsidRPr="00603046">
        <w:rPr>
          <w:b/>
          <w:szCs w:val="22"/>
          <w:lang w:val="cs-CZ" w:bidi="cs-CZ"/>
        </w:rPr>
        <w:t>ATCvet</w:t>
      </w:r>
      <w:proofErr w:type="spellEnd"/>
      <w:r w:rsidR="00006AD0" w:rsidRPr="00603046">
        <w:rPr>
          <w:b/>
          <w:szCs w:val="22"/>
          <w:lang w:val="cs-CZ" w:bidi="cs-CZ"/>
        </w:rPr>
        <w:t xml:space="preserve"> </w:t>
      </w:r>
      <w:r w:rsidR="00006AD0">
        <w:rPr>
          <w:b/>
          <w:szCs w:val="22"/>
          <w:lang w:val="cs-CZ" w:bidi="cs-CZ"/>
        </w:rPr>
        <w:t>k</w:t>
      </w:r>
      <w:r w:rsidRPr="00603046">
        <w:rPr>
          <w:b/>
          <w:szCs w:val="22"/>
          <w:lang w:val="cs-CZ" w:bidi="cs-CZ"/>
        </w:rPr>
        <w:t>ód:</w:t>
      </w:r>
      <w:r w:rsidR="00006AD0">
        <w:rPr>
          <w:b/>
          <w:szCs w:val="22"/>
          <w:lang w:val="cs-CZ" w:bidi="cs-CZ"/>
        </w:rPr>
        <w:t xml:space="preserve"> </w:t>
      </w:r>
      <w:bookmarkStart w:id="21" w:name="_Hlk167432595"/>
      <w:r w:rsidRPr="00603046">
        <w:rPr>
          <w:szCs w:val="22"/>
          <w:lang w:val="cs-CZ" w:bidi="cs-CZ"/>
        </w:rPr>
        <w:t>QP51BC03</w:t>
      </w:r>
      <w:bookmarkEnd w:id="21"/>
    </w:p>
    <w:p w14:paraId="622DAB36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0D0E1AF3" w14:textId="77777777" w:rsidR="00C114FF" w:rsidRPr="00603046" w:rsidRDefault="00FD1E45" w:rsidP="00603046">
      <w:pPr>
        <w:tabs>
          <w:tab w:val="clear" w:pos="567"/>
        </w:tabs>
        <w:spacing w:line="240" w:lineRule="auto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4.2</w:t>
      </w:r>
      <w:r w:rsidRPr="00603046">
        <w:rPr>
          <w:b/>
          <w:szCs w:val="22"/>
          <w:lang w:val="cs-CZ" w:bidi="cs-CZ"/>
        </w:rPr>
        <w:tab/>
        <w:t>Farmakodynamika</w:t>
      </w:r>
    </w:p>
    <w:p w14:paraId="712C9811" w14:textId="77777777" w:rsidR="00F70001" w:rsidRPr="00603046" w:rsidRDefault="00F70001" w:rsidP="00603046">
      <w:pPr>
        <w:tabs>
          <w:tab w:val="clear" w:pos="567"/>
        </w:tabs>
        <w:spacing w:line="240" w:lineRule="auto"/>
        <w:rPr>
          <w:b/>
          <w:szCs w:val="22"/>
          <w:lang w:val="pt-BR"/>
        </w:rPr>
      </w:pPr>
    </w:p>
    <w:p w14:paraId="56D2C26E" w14:textId="6011759B" w:rsidR="00F70001" w:rsidRPr="00603046" w:rsidRDefault="00F70001" w:rsidP="00603046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bookmarkStart w:id="22" w:name="_Hlk167432645"/>
      <w:proofErr w:type="spellStart"/>
      <w:r w:rsidRPr="00603046">
        <w:rPr>
          <w:szCs w:val="22"/>
          <w:lang w:val="cs-CZ" w:bidi="cs-CZ"/>
        </w:rPr>
        <w:t>Di</w:t>
      </w:r>
      <w:r w:rsidR="00F60CC6">
        <w:rPr>
          <w:szCs w:val="22"/>
          <w:lang w:val="cs-CZ" w:bidi="cs-CZ"/>
        </w:rPr>
        <w:t>k</w:t>
      </w:r>
      <w:r w:rsidRPr="00603046">
        <w:rPr>
          <w:szCs w:val="22"/>
          <w:lang w:val="cs-CZ" w:bidi="cs-CZ"/>
        </w:rPr>
        <w:t>lazuril</w:t>
      </w:r>
      <w:proofErr w:type="spellEnd"/>
      <w:r w:rsidRPr="00603046">
        <w:rPr>
          <w:szCs w:val="22"/>
          <w:lang w:val="cs-CZ" w:bidi="cs-CZ"/>
        </w:rPr>
        <w:t xml:space="preserve"> je </w:t>
      </w:r>
      <w:proofErr w:type="spellStart"/>
      <w:r w:rsidRPr="00603046">
        <w:rPr>
          <w:szCs w:val="22"/>
          <w:lang w:val="cs-CZ" w:bidi="cs-CZ"/>
        </w:rPr>
        <w:t>antikokcidikum</w:t>
      </w:r>
      <w:proofErr w:type="spellEnd"/>
      <w:r w:rsidRPr="00603046">
        <w:rPr>
          <w:szCs w:val="22"/>
          <w:lang w:val="cs-CZ" w:bidi="cs-CZ"/>
        </w:rPr>
        <w:t xml:space="preserve"> ze skupiny </w:t>
      </w:r>
      <w:proofErr w:type="spellStart"/>
      <w:r w:rsidRPr="00603046">
        <w:rPr>
          <w:szCs w:val="22"/>
          <w:lang w:val="cs-CZ" w:bidi="cs-CZ"/>
        </w:rPr>
        <w:t>benzenacetonitrilů</w:t>
      </w:r>
      <w:proofErr w:type="spellEnd"/>
      <w:r w:rsidRPr="00603046">
        <w:rPr>
          <w:szCs w:val="22"/>
          <w:lang w:val="cs-CZ" w:bidi="cs-CZ"/>
        </w:rPr>
        <w:t xml:space="preserve"> a má </w:t>
      </w:r>
      <w:proofErr w:type="spellStart"/>
      <w:r w:rsidRPr="00603046">
        <w:rPr>
          <w:szCs w:val="22"/>
          <w:lang w:val="cs-CZ" w:bidi="cs-CZ"/>
        </w:rPr>
        <w:t>antikokcidi</w:t>
      </w:r>
      <w:r w:rsidR="00D664BB">
        <w:rPr>
          <w:szCs w:val="22"/>
          <w:lang w:val="cs-CZ" w:bidi="cs-CZ"/>
        </w:rPr>
        <w:t>ální</w:t>
      </w:r>
      <w:proofErr w:type="spellEnd"/>
      <w:r w:rsidR="00D664BB">
        <w:rPr>
          <w:szCs w:val="22"/>
          <w:lang w:val="cs-CZ" w:bidi="cs-CZ"/>
        </w:rPr>
        <w:t xml:space="preserve"> účinek</w:t>
      </w:r>
      <w:r w:rsidRPr="00603046">
        <w:rPr>
          <w:szCs w:val="22"/>
          <w:lang w:val="cs-CZ" w:bidi="cs-CZ"/>
        </w:rPr>
        <w:t xml:space="preserve"> proti druhům rodu </w:t>
      </w:r>
      <w:r w:rsidRPr="00603046">
        <w:rPr>
          <w:i/>
          <w:szCs w:val="22"/>
          <w:lang w:val="cs-CZ" w:bidi="cs-CZ"/>
        </w:rPr>
        <w:t>Eimeria</w:t>
      </w:r>
      <w:r w:rsidRPr="00603046">
        <w:rPr>
          <w:szCs w:val="22"/>
          <w:lang w:val="cs-CZ" w:bidi="cs-CZ"/>
        </w:rPr>
        <w:t>.  V závislosti na dru</w:t>
      </w:r>
      <w:r w:rsidR="00D664BB">
        <w:rPr>
          <w:szCs w:val="22"/>
          <w:lang w:val="cs-CZ" w:bidi="cs-CZ"/>
        </w:rPr>
        <w:t>zích</w:t>
      </w:r>
      <w:r w:rsidRPr="00603046">
        <w:rPr>
          <w:szCs w:val="22"/>
          <w:lang w:val="cs-CZ" w:bidi="cs-CZ"/>
        </w:rPr>
        <w:t xml:space="preserve"> kokcidií </w:t>
      </w:r>
      <w:r w:rsidR="00D664BB">
        <w:rPr>
          <w:szCs w:val="22"/>
          <w:lang w:val="cs-CZ" w:bidi="cs-CZ"/>
        </w:rPr>
        <w:t>má</w:t>
      </w:r>
      <w:r w:rsidR="00D664BB" w:rsidRPr="00603046">
        <w:rPr>
          <w:szCs w:val="22"/>
          <w:lang w:val="cs-CZ" w:bidi="cs-CZ"/>
        </w:rPr>
        <w:t xml:space="preserve"> </w:t>
      </w:r>
      <w:proofErr w:type="spellStart"/>
      <w:r w:rsidRPr="00603046">
        <w:rPr>
          <w:szCs w:val="22"/>
          <w:lang w:val="cs-CZ" w:bidi="cs-CZ"/>
        </w:rPr>
        <w:t>di</w:t>
      </w:r>
      <w:r w:rsidR="00F60CC6">
        <w:rPr>
          <w:szCs w:val="22"/>
          <w:lang w:val="cs-CZ" w:bidi="cs-CZ"/>
        </w:rPr>
        <w:t>k</w:t>
      </w:r>
      <w:r w:rsidRPr="00603046">
        <w:rPr>
          <w:szCs w:val="22"/>
          <w:lang w:val="cs-CZ" w:bidi="cs-CZ"/>
        </w:rPr>
        <w:t>lazuril</w:t>
      </w:r>
      <w:proofErr w:type="spellEnd"/>
      <w:r w:rsidRPr="00603046">
        <w:rPr>
          <w:szCs w:val="22"/>
          <w:lang w:val="cs-CZ" w:bidi="cs-CZ"/>
        </w:rPr>
        <w:t xml:space="preserve"> </w:t>
      </w:r>
      <w:proofErr w:type="spellStart"/>
      <w:r w:rsidRPr="00603046">
        <w:rPr>
          <w:szCs w:val="22"/>
          <w:lang w:val="cs-CZ" w:bidi="cs-CZ"/>
        </w:rPr>
        <w:t>kokcidiocidn</w:t>
      </w:r>
      <w:r w:rsidR="00D664BB">
        <w:rPr>
          <w:szCs w:val="22"/>
          <w:lang w:val="cs-CZ" w:bidi="cs-CZ"/>
        </w:rPr>
        <w:t>í</w:t>
      </w:r>
      <w:proofErr w:type="spellEnd"/>
      <w:r w:rsidR="00D664BB">
        <w:rPr>
          <w:szCs w:val="22"/>
          <w:lang w:val="cs-CZ" w:bidi="cs-CZ"/>
        </w:rPr>
        <w:t xml:space="preserve"> účinek</w:t>
      </w:r>
      <w:r w:rsidRPr="00603046">
        <w:rPr>
          <w:szCs w:val="22"/>
          <w:lang w:val="cs-CZ" w:bidi="cs-CZ"/>
        </w:rPr>
        <w:t xml:space="preserve"> na asexuální nebo sexuální stádia vývojového cyklu parazita.  Léčba </w:t>
      </w:r>
      <w:proofErr w:type="spellStart"/>
      <w:r w:rsidRPr="00603046">
        <w:rPr>
          <w:szCs w:val="22"/>
          <w:lang w:val="cs-CZ" w:bidi="cs-CZ"/>
        </w:rPr>
        <w:t>di</w:t>
      </w:r>
      <w:r w:rsidR="00F60CC6">
        <w:rPr>
          <w:szCs w:val="22"/>
          <w:lang w:val="cs-CZ" w:bidi="cs-CZ"/>
        </w:rPr>
        <w:t>k</w:t>
      </w:r>
      <w:r w:rsidRPr="00603046">
        <w:rPr>
          <w:szCs w:val="22"/>
          <w:lang w:val="cs-CZ" w:bidi="cs-CZ"/>
        </w:rPr>
        <w:t>lazurilem</w:t>
      </w:r>
      <w:proofErr w:type="spellEnd"/>
      <w:r w:rsidRPr="00603046">
        <w:rPr>
          <w:szCs w:val="22"/>
          <w:lang w:val="cs-CZ" w:bidi="cs-CZ"/>
        </w:rPr>
        <w:t xml:space="preserve"> má pouze omezený účinek na střevní léze způsobené </w:t>
      </w:r>
      <w:r w:rsidR="00D664BB">
        <w:rPr>
          <w:szCs w:val="22"/>
          <w:lang w:val="cs-CZ" w:bidi="cs-CZ"/>
        </w:rPr>
        <w:t xml:space="preserve">stádii </w:t>
      </w:r>
      <w:r w:rsidR="00D664BB" w:rsidRPr="00603046">
        <w:rPr>
          <w:szCs w:val="22"/>
          <w:lang w:val="cs-CZ" w:bidi="cs-CZ"/>
        </w:rPr>
        <w:t>kokcidi</w:t>
      </w:r>
      <w:r w:rsidR="00D664BB">
        <w:rPr>
          <w:szCs w:val="22"/>
          <w:lang w:val="cs-CZ" w:bidi="cs-CZ"/>
        </w:rPr>
        <w:t>í</w:t>
      </w:r>
      <w:r w:rsidR="00D664BB" w:rsidRPr="00603046">
        <w:rPr>
          <w:szCs w:val="22"/>
          <w:lang w:val="cs-CZ" w:bidi="cs-CZ"/>
        </w:rPr>
        <w:t xml:space="preserve"> </w:t>
      </w:r>
      <w:r w:rsidRPr="00603046">
        <w:rPr>
          <w:szCs w:val="22"/>
          <w:lang w:val="cs-CZ" w:bidi="cs-CZ"/>
        </w:rPr>
        <w:t xml:space="preserve">staršími než 16 dní.  Léčba </w:t>
      </w:r>
      <w:proofErr w:type="spellStart"/>
      <w:r w:rsidRPr="00603046">
        <w:rPr>
          <w:szCs w:val="22"/>
          <w:lang w:val="cs-CZ" w:bidi="cs-CZ"/>
        </w:rPr>
        <w:t>di</w:t>
      </w:r>
      <w:r w:rsidR="00F60CC6">
        <w:rPr>
          <w:szCs w:val="22"/>
          <w:lang w:val="cs-CZ" w:bidi="cs-CZ"/>
        </w:rPr>
        <w:t>k</w:t>
      </w:r>
      <w:r w:rsidRPr="00603046">
        <w:rPr>
          <w:szCs w:val="22"/>
          <w:lang w:val="cs-CZ" w:bidi="cs-CZ"/>
        </w:rPr>
        <w:t>lazurilem</w:t>
      </w:r>
      <w:proofErr w:type="spellEnd"/>
      <w:r w:rsidRPr="00603046">
        <w:rPr>
          <w:szCs w:val="22"/>
          <w:lang w:val="cs-CZ" w:bidi="cs-CZ"/>
        </w:rPr>
        <w:t xml:space="preserve"> způsobuje přerušení </w:t>
      </w:r>
      <w:proofErr w:type="spellStart"/>
      <w:r w:rsidRPr="00603046">
        <w:rPr>
          <w:szCs w:val="22"/>
          <w:lang w:val="cs-CZ" w:bidi="cs-CZ"/>
        </w:rPr>
        <w:t>kokcidiálního</w:t>
      </w:r>
      <w:proofErr w:type="spellEnd"/>
      <w:r w:rsidRPr="00603046">
        <w:rPr>
          <w:szCs w:val="22"/>
          <w:lang w:val="cs-CZ" w:bidi="cs-CZ"/>
        </w:rPr>
        <w:t xml:space="preserve"> cyklu a vylučování oocyst přibližně na 2 týdny.  To zvířeti umožňuje překlenout období poklesu mateřské imunity (pozorované přibližně ve věku 4 týdnů).</w:t>
      </w:r>
    </w:p>
    <w:bookmarkEnd w:id="22"/>
    <w:p w14:paraId="6E79D258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8778BF" w14:textId="77777777" w:rsidR="00C114FF" w:rsidRPr="00603046" w:rsidRDefault="00FD1E45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4.3</w:t>
      </w:r>
      <w:r w:rsidRPr="00603046">
        <w:rPr>
          <w:b/>
          <w:szCs w:val="22"/>
          <w:lang w:val="cs-CZ" w:bidi="cs-CZ"/>
        </w:rPr>
        <w:tab/>
        <w:t>Farmakokinetika</w:t>
      </w:r>
    </w:p>
    <w:p w14:paraId="32301E1D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00197F" w14:textId="3230827C" w:rsidR="00691D6A" w:rsidRPr="00603046" w:rsidRDefault="00691D6A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3" w:name="_Hlk116973210"/>
      <w:r w:rsidRPr="00603046">
        <w:rPr>
          <w:szCs w:val="22"/>
          <w:lang w:val="cs-CZ" w:bidi="cs-CZ"/>
        </w:rPr>
        <w:t xml:space="preserve">Absorpce </w:t>
      </w:r>
      <w:proofErr w:type="spellStart"/>
      <w:r w:rsidRPr="00603046">
        <w:rPr>
          <w:szCs w:val="22"/>
          <w:lang w:val="cs-CZ" w:bidi="cs-CZ"/>
        </w:rPr>
        <w:t>di</w:t>
      </w:r>
      <w:r w:rsidR="00F60CC6">
        <w:rPr>
          <w:szCs w:val="22"/>
          <w:lang w:val="cs-CZ" w:bidi="cs-CZ"/>
        </w:rPr>
        <w:t>k</w:t>
      </w:r>
      <w:r w:rsidRPr="00603046">
        <w:rPr>
          <w:szCs w:val="22"/>
          <w:lang w:val="cs-CZ" w:bidi="cs-CZ"/>
        </w:rPr>
        <w:t>lazurilu</w:t>
      </w:r>
      <w:proofErr w:type="spellEnd"/>
      <w:r w:rsidRPr="00603046">
        <w:rPr>
          <w:szCs w:val="22"/>
          <w:lang w:val="cs-CZ" w:bidi="cs-CZ"/>
        </w:rPr>
        <w:t xml:space="preserve"> u jehňat je po </w:t>
      </w:r>
      <w:r w:rsidR="00D664BB" w:rsidRPr="00603046">
        <w:rPr>
          <w:szCs w:val="22"/>
          <w:lang w:val="cs-CZ" w:bidi="cs-CZ"/>
        </w:rPr>
        <w:t>perorální</w:t>
      </w:r>
      <w:r w:rsidR="00D664BB">
        <w:rPr>
          <w:szCs w:val="22"/>
          <w:lang w:val="cs-CZ" w:bidi="cs-CZ"/>
        </w:rPr>
        <w:t>m</w:t>
      </w:r>
      <w:r w:rsidR="00D664BB" w:rsidRPr="00603046">
        <w:rPr>
          <w:szCs w:val="22"/>
          <w:lang w:val="cs-CZ" w:bidi="cs-CZ"/>
        </w:rPr>
        <w:t xml:space="preserve"> </w:t>
      </w:r>
      <w:r w:rsidRPr="00603046">
        <w:rPr>
          <w:szCs w:val="22"/>
          <w:lang w:val="cs-CZ" w:bidi="cs-CZ"/>
        </w:rPr>
        <w:t xml:space="preserve">podání suspenze nízká.  </w:t>
      </w:r>
      <w:bookmarkStart w:id="24" w:name="_Hlk165527062"/>
      <w:bookmarkStart w:id="25" w:name="_Hlk164250271"/>
      <w:r w:rsidRPr="00603046">
        <w:rPr>
          <w:szCs w:val="22"/>
          <w:lang w:val="cs-CZ" w:bidi="cs-CZ"/>
        </w:rPr>
        <w:t xml:space="preserve">Po podání dávky 1 mg/kg </w:t>
      </w:r>
      <w:r w:rsidR="000C4D6E">
        <w:rPr>
          <w:szCs w:val="22"/>
          <w:lang w:val="cs-CZ" w:bidi="cs-CZ"/>
        </w:rPr>
        <w:t>živ</w:t>
      </w:r>
      <w:r w:rsidR="000C4D6E" w:rsidRPr="00603046">
        <w:rPr>
          <w:szCs w:val="22"/>
          <w:lang w:val="cs-CZ" w:bidi="cs-CZ"/>
        </w:rPr>
        <w:t xml:space="preserve">é </w:t>
      </w:r>
      <w:r w:rsidRPr="00603046">
        <w:rPr>
          <w:szCs w:val="22"/>
          <w:lang w:val="cs-CZ" w:bidi="cs-CZ"/>
        </w:rPr>
        <w:t>hmotnosti u 2–3týdenních jehňat byla průměrná maximální koncentrace 301 ng/ml dosažena přibližně 16 hodin po podání dávky</w:t>
      </w:r>
      <w:bookmarkEnd w:id="24"/>
      <w:r w:rsidRPr="00603046">
        <w:rPr>
          <w:szCs w:val="22"/>
          <w:lang w:val="cs-CZ" w:bidi="cs-CZ"/>
        </w:rPr>
        <w:t xml:space="preserve">. </w:t>
      </w:r>
      <w:r w:rsidR="00D664BB">
        <w:rPr>
          <w:szCs w:val="22"/>
          <w:lang w:val="cs-CZ" w:bidi="cs-CZ"/>
        </w:rPr>
        <w:t>Biologický p</w:t>
      </w:r>
      <w:r w:rsidRPr="00603046">
        <w:rPr>
          <w:szCs w:val="22"/>
          <w:lang w:val="cs-CZ" w:bidi="cs-CZ"/>
        </w:rPr>
        <w:t>oločas eliminace byl přibližně 60 hodin.</w:t>
      </w:r>
      <w:bookmarkEnd w:id="25"/>
      <w:r w:rsidRPr="00603046">
        <w:rPr>
          <w:szCs w:val="22"/>
          <w:lang w:val="cs-CZ" w:bidi="cs-CZ"/>
        </w:rPr>
        <w:t xml:space="preserve"> Perorální absorpce </w:t>
      </w:r>
      <w:proofErr w:type="spellStart"/>
      <w:r w:rsidRPr="00603046">
        <w:rPr>
          <w:szCs w:val="22"/>
          <w:lang w:val="cs-CZ" w:bidi="cs-CZ"/>
        </w:rPr>
        <w:t>di</w:t>
      </w:r>
      <w:r w:rsidR="00F60CC6">
        <w:rPr>
          <w:szCs w:val="22"/>
          <w:lang w:val="cs-CZ" w:bidi="cs-CZ"/>
        </w:rPr>
        <w:t>k</w:t>
      </w:r>
      <w:r w:rsidRPr="00603046">
        <w:rPr>
          <w:szCs w:val="22"/>
          <w:lang w:val="cs-CZ" w:bidi="cs-CZ"/>
        </w:rPr>
        <w:t>lazurilu</w:t>
      </w:r>
      <w:proofErr w:type="spellEnd"/>
      <w:r w:rsidRPr="00603046">
        <w:rPr>
          <w:szCs w:val="22"/>
          <w:lang w:val="cs-CZ" w:bidi="cs-CZ"/>
        </w:rPr>
        <w:t xml:space="preserve"> klesá s věkem zvířat. Studie </w:t>
      </w:r>
      <w:r w:rsidRPr="00603046">
        <w:rPr>
          <w:i/>
          <w:szCs w:val="22"/>
          <w:lang w:val="cs-CZ" w:bidi="cs-CZ"/>
        </w:rPr>
        <w:t>in vitro</w:t>
      </w:r>
      <w:r w:rsidRPr="00603046">
        <w:rPr>
          <w:szCs w:val="22"/>
          <w:lang w:val="cs-CZ" w:bidi="cs-CZ"/>
        </w:rPr>
        <w:t xml:space="preserve"> na ovčích hepatocytech prokázaly, že metabolická přeměna </w:t>
      </w:r>
      <w:proofErr w:type="spellStart"/>
      <w:r w:rsidRPr="00603046">
        <w:rPr>
          <w:szCs w:val="22"/>
          <w:lang w:val="cs-CZ" w:bidi="cs-CZ"/>
        </w:rPr>
        <w:t>di</w:t>
      </w:r>
      <w:r w:rsidR="00F60CC6">
        <w:rPr>
          <w:szCs w:val="22"/>
          <w:lang w:val="cs-CZ" w:bidi="cs-CZ"/>
        </w:rPr>
        <w:t>k</w:t>
      </w:r>
      <w:r w:rsidRPr="00603046">
        <w:rPr>
          <w:szCs w:val="22"/>
          <w:lang w:val="cs-CZ" w:bidi="cs-CZ"/>
        </w:rPr>
        <w:t>lazurilu</w:t>
      </w:r>
      <w:proofErr w:type="spellEnd"/>
      <w:r w:rsidRPr="00603046">
        <w:rPr>
          <w:szCs w:val="22"/>
          <w:lang w:val="cs-CZ" w:bidi="cs-CZ"/>
        </w:rPr>
        <w:t xml:space="preserve"> je omezená.  To</w:t>
      </w:r>
      <w:r w:rsidR="00A67EEA">
        <w:rPr>
          <w:szCs w:val="22"/>
          <w:lang w:val="cs-CZ" w:bidi="cs-CZ"/>
        </w:rPr>
        <w:t>to</w:t>
      </w:r>
      <w:r w:rsidRPr="00603046">
        <w:rPr>
          <w:szCs w:val="22"/>
          <w:lang w:val="cs-CZ" w:bidi="cs-CZ"/>
        </w:rPr>
        <w:t xml:space="preserve"> bylo pozorováno i u jiných živočišných druhů. Vylučování probíhá téměř výhradně </w:t>
      </w:r>
      <w:r w:rsidR="00D664BB">
        <w:rPr>
          <w:szCs w:val="22"/>
          <w:lang w:val="cs-CZ" w:bidi="cs-CZ"/>
        </w:rPr>
        <w:t>trusem</w:t>
      </w:r>
      <w:r w:rsidRPr="00603046">
        <w:rPr>
          <w:szCs w:val="22"/>
          <w:lang w:val="cs-CZ" w:bidi="cs-CZ"/>
        </w:rPr>
        <w:t>.</w:t>
      </w:r>
    </w:p>
    <w:p w14:paraId="4DDF0A9B" w14:textId="36D6F159" w:rsidR="00691D6A" w:rsidRPr="00603046" w:rsidRDefault="00691D6A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szCs w:val="22"/>
          <w:lang w:val="cs-CZ" w:bidi="cs-CZ"/>
        </w:rPr>
        <w:t xml:space="preserve">Při podávání </w:t>
      </w:r>
      <w:proofErr w:type="spellStart"/>
      <w:r w:rsidRPr="00603046">
        <w:rPr>
          <w:szCs w:val="22"/>
          <w:lang w:val="cs-CZ" w:bidi="cs-CZ"/>
        </w:rPr>
        <w:t>di</w:t>
      </w:r>
      <w:r w:rsidR="00F60CC6">
        <w:rPr>
          <w:szCs w:val="22"/>
          <w:lang w:val="cs-CZ" w:bidi="cs-CZ"/>
        </w:rPr>
        <w:t>k</w:t>
      </w:r>
      <w:r w:rsidRPr="00603046">
        <w:rPr>
          <w:szCs w:val="22"/>
          <w:lang w:val="cs-CZ" w:bidi="cs-CZ"/>
        </w:rPr>
        <w:t>lazurilu</w:t>
      </w:r>
      <w:proofErr w:type="spellEnd"/>
      <w:r w:rsidRPr="00603046">
        <w:rPr>
          <w:szCs w:val="22"/>
          <w:lang w:val="cs-CZ" w:bidi="cs-CZ"/>
        </w:rPr>
        <w:t xml:space="preserve"> v perorální suspenzi telatům je jeho absorpce nízká. </w:t>
      </w:r>
      <w:bookmarkStart w:id="26" w:name="_Hlk165527150"/>
      <w:r w:rsidRPr="00603046">
        <w:rPr>
          <w:szCs w:val="22"/>
          <w:lang w:val="cs-CZ" w:bidi="cs-CZ"/>
        </w:rPr>
        <w:t xml:space="preserve">Po podání dávky 1 mg/kg </w:t>
      </w:r>
      <w:r w:rsidR="000C4D6E">
        <w:rPr>
          <w:szCs w:val="22"/>
          <w:lang w:val="cs-CZ" w:bidi="cs-CZ"/>
        </w:rPr>
        <w:t>živ</w:t>
      </w:r>
      <w:r w:rsidR="000C4D6E" w:rsidRPr="00603046">
        <w:rPr>
          <w:szCs w:val="22"/>
          <w:lang w:val="cs-CZ" w:bidi="cs-CZ"/>
        </w:rPr>
        <w:t xml:space="preserve">é </w:t>
      </w:r>
      <w:r w:rsidRPr="00603046">
        <w:rPr>
          <w:szCs w:val="22"/>
          <w:lang w:val="cs-CZ" w:bidi="cs-CZ"/>
        </w:rPr>
        <w:t xml:space="preserve">hmotnosti mladým telatům bylo dosaženo průměrné maximální koncentrace 117 ng/ml přibližně 16 hodin po podání. </w:t>
      </w:r>
      <w:r w:rsidR="00A67EEA">
        <w:rPr>
          <w:szCs w:val="22"/>
          <w:lang w:val="cs-CZ" w:bidi="cs-CZ"/>
        </w:rPr>
        <w:t>Biologický p</w:t>
      </w:r>
      <w:r w:rsidRPr="00603046">
        <w:rPr>
          <w:szCs w:val="22"/>
          <w:lang w:val="cs-CZ" w:bidi="cs-CZ"/>
        </w:rPr>
        <w:t>oločas eliminace byl přibližně 15 hodin.</w:t>
      </w:r>
      <w:bookmarkEnd w:id="26"/>
    </w:p>
    <w:bookmarkEnd w:id="23"/>
    <w:p w14:paraId="00A6C4B0" w14:textId="77777777" w:rsidR="00A432E0" w:rsidRPr="00603046" w:rsidRDefault="00A432E0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D44864" w14:textId="77777777" w:rsidR="00A432E0" w:rsidRPr="00603046" w:rsidRDefault="00A432E0" w:rsidP="00062ED8">
      <w:pPr>
        <w:keepNext/>
        <w:tabs>
          <w:tab w:val="clear" w:pos="567"/>
        </w:tabs>
        <w:spacing w:line="240" w:lineRule="auto"/>
        <w:jc w:val="both"/>
        <w:rPr>
          <w:b/>
          <w:bCs/>
          <w:szCs w:val="22"/>
          <w:lang w:val="cs-CZ"/>
        </w:rPr>
      </w:pPr>
      <w:r w:rsidRPr="00603046">
        <w:rPr>
          <w:b/>
          <w:szCs w:val="22"/>
          <w:lang w:val="cs-CZ" w:bidi="cs-CZ"/>
        </w:rPr>
        <w:t>Environmentální vlastnosti</w:t>
      </w:r>
    </w:p>
    <w:p w14:paraId="670800E2" w14:textId="6BFE47E5" w:rsidR="004A2129" w:rsidRPr="00603046" w:rsidRDefault="004A2129" w:rsidP="00062ED8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0E34D2F" w14:textId="243D03B3" w:rsidR="00A432E0" w:rsidRPr="00603046" w:rsidRDefault="004A2129" w:rsidP="00062ED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27" w:name="_Hlk167432622"/>
      <w:proofErr w:type="spellStart"/>
      <w:r>
        <w:rPr>
          <w:szCs w:val="22"/>
          <w:lang w:val="cs-CZ" w:bidi="cs-CZ"/>
        </w:rPr>
        <w:t>D</w:t>
      </w:r>
      <w:r w:rsidR="00A432E0" w:rsidRPr="00603046">
        <w:rPr>
          <w:szCs w:val="22"/>
          <w:lang w:val="cs-CZ" w:bidi="cs-CZ"/>
        </w:rPr>
        <w:t>i</w:t>
      </w:r>
      <w:r w:rsidR="00F60CC6">
        <w:rPr>
          <w:szCs w:val="22"/>
          <w:lang w:val="cs-CZ" w:bidi="cs-CZ"/>
        </w:rPr>
        <w:t>k</w:t>
      </w:r>
      <w:r w:rsidR="00A432E0" w:rsidRPr="00603046">
        <w:rPr>
          <w:szCs w:val="22"/>
          <w:lang w:val="cs-CZ" w:bidi="cs-CZ"/>
        </w:rPr>
        <w:t>lazuril</w:t>
      </w:r>
      <w:proofErr w:type="spellEnd"/>
      <w:r w:rsidR="00A432E0" w:rsidRPr="00603046">
        <w:rPr>
          <w:szCs w:val="22"/>
          <w:lang w:val="cs-CZ" w:bidi="cs-CZ"/>
        </w:rPr>
        <w:t xml:space="preserve"> je velmi perzistentní</w:t>
      </w:r>
      <w:r w:rsidRPr="004A2129">
        <w:rPr>
          <w:szCs w:val="22"/>
          <w:lang w:val="cs-CZ" w:bidi="cs-CZ"/>
        </w:rPr>
        <w:t xml:space="preserve"> </w:t>
      </w:r>
      <w:r w:rsidRPr="00603046">
        <w:rPr>
          <w:szCs w:val="22"/>
          <w:lang w:val="cs-CZ" w:bidi="cs-CZ"/>
        </w:rPr>
        <w:t>v půdě</w:t>
      </w:r>
      <w:r w:rsidR="00A432E0" w:rsidRPr="00603046">
        <w:rPr>
          <w:szCs w:val="22"/>
          <w:lang w:val="cs-CZ" w:bidi="cs-CZ"/>
        </w:rPr>
        <w:t>.</w:t>
      </w:r>
    </w:p>
    <w:bookmarkEnd w:id="27"/>
    <w:p w14:paraId="2B14BF75" w14:textId="77777777" w:rsidR="00691D6A" w:rsidRPr="00603046" w:rsidRDefault="00691D6A" w:rsidP="00062ED8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601B040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D3728D" w14:textId="77777777" w:rsidR="00C114FF" w:rsidRPr="00603046" w:rsidRDefault="00FD1E45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5.</w:t>
      </w:r>
      <w:r w:rsidRPr="00603046">
        <w:rPr>
          <w:b/>
          <w:szCs w:val="22"/>
          <w:lang w:val="cs-CZ" w:bidi="cs-CZ"/>
        </w:rPr>
        <w:tab/>
        <w:t>FARMACEUTICKÉ ÚDAJE</w:t>
      </w:r>
    </w:p>
    <w:p w14:paraId="5FDE42E5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CB92374" w14:textId="77777777" w:rsidR="00C114FF" w:rsidRPr="00603046" w:rsidRDefault="00FD1E45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5.1</w:t>
      </w:r>
      <w:r w:rsidRPr="00603046">
        <w:rPr>
          <w:b/>
          <w:szCs w:val="22"/>
          <w:lang w:val="cs-CZ" w:bidi="cs-CZ"/>
        </w:rPr>
        <w:tab/>
        <w:t>Hlavní inkompatibility</w:t>
      </w:r>
    </w:p>
    <w:p w14:paraId="1592184C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BAD887" w14:textId="16ED9C74" w:rsidR="00C114FF" w:rsidRPr="00603046" w:rsidRDefault="0038081E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8" w:name="_Hlk182228222"/>
      <w:r w:rsidRPr="005B16FB">
        <w:rPr>
          <w:lang w:val="cs-CZ"/>
        </w:rPr>
        <w:t>Studie kompatibility nejsou k dispozici, a proto tento veterinární léčivý přípravek nesmí být mísen s žádnými dalšími veterinárními léčivými přípravky</w:t>
      </w:r>
      <w:bookmarkEnd w:id="28"/>
      <w:r>
        <w:t>.</w:t>
      </w:r>
    </w:p>
    <w:p w14:paraId="3B11805F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76815F" w14:textId="3836C4BE" w:rsidR="00C114FF" w:rsidRPr="00603046" w:rsidRDefault="00FD1E45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5.2</w:t>
      </w:r>
      <w:r w:rsidRPr="00603046">
        <w:rPr>
          <w:b/>
          <w:szCs w:val="22"/>
          <w:lang w:val="cs-CZ" w:bidi="cs-CZ"/>
        </w:rPr>
        <w:tab/>
        <w:t>Doba použitelnosti</w:t>
      </w:r>
    </w:p>
    <w:p w14:paraId="424DF094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133A27" w14:textId="3497D6F9" w:rsidR="00C114FF" w:rsidRPr="005B16FB" w:rsidRDefault="0038081E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9" w:name="_Hlk167432729"/>
      <w:r w:rsidRPr="005B16FB">
        <w:rPr>
          <w:lang w:val="cs-CZ"/>
        </w:rPr>
        <w:t>Doba použitelnosti veterinárního léčivého přípravku v neporušeném obalu:</w:t>
      </w:r>
      <w:r w:rsidR="00C114FF" w:rsidRPr="005B16FB">
        <w:rPr>
          <w:szCs w:val="22"/>
          <w:lang w:val="cs-CZ" w:bidi="cs-CZ"/>
        </w:rPr>
        <w:t xml:space="preserve"> 3 roky</w:t>
      </w:r>
    </w:p>
    <w:p w14:paraId="53AAC295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szCs w:val="22"/>
          <w:lang w:val="cs-CZ" w:bidi="cs-CZ"/>
        </w:rPr>
        <w:t>Doba použitelnosti po prvním otevření vnitřního obalu: 6 měsíců</w:t>
      </w:r>
    </w:p>
    <w:bookmarkEnd w:id="29"/>
    <w:p w14:paraId="58F7B4DB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E21086" w14:textId="77777777" w:rsidR="00C114FF" w:rsidRPr="00603046" w:rsidRDefault="00FD1E45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5.3</w:t>
      </w:r>
      <w:r w:rsidRPr="00603046">
        <w:rPr>
          <w:b/>
          <w:szCs w:val="22"/>
          <w:lang w:val="cs-CZ" w:bidi="cs-CZ"/>
        </w:rPr>
        <w:tab/>
        <w:t>Zvláštní opatření pro uchovávání</w:t>
      </w:r>
    </w:p>
    <w:p w14:paraId="48A0ABC9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6EB2652" w14:textId="401ED736" w:rsidR="00C114FF" w:rsidRPr="00603046" w:rsidRDefault="00FE5382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szCs w:val="22"/>
          <w:lang w:val="cs-CZ" w:bidi="cs-CZ"/>
        </w:rPr>
        <w:t xml:space="preserve">Chraňte před </w:t>
      </w:r>
      <w:r w:rsidR="0038081E">
        <w:rPr>
          <w:szCs w:val="22"/>
          <w:lang w:val="cs-CZ" w:bidi="cs-CZ"/>
        </w:rPr>
        <w:t xml:space="preserve">chladem nebo </w:t>
      </w:r>
      <w:r w:rsidRPr="00603046">
        <w:rPr>
          <w:szCs w:val="22"/>
          <w:lang w:val="cs-CZ" w:bidi="cs-CZ"/>
        </w:rPr>
        <w:t>mrazem.</w:t>
      </w:r>
    </w:p>
    <w:p w14:paraId="359EAB86" w14:textId="77777777" w:rsidR="00A251B8" w:rsidRPr="00603046" w:rsidRDefault="00A251B8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270C9F" w14:textId="77777777" w:rsidR="00C114FF" w:rsidRPr="00603046" w:rsidRDefault="00FD1E45" w:rsidP="00062ED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5.4</w:t>
      </w:r>
      <w:r w:rsidRPr="00603046">
        <w:rPr>
          <w:b/>
          <w:szCs w:val="22"/>
          <w:lang w:val="cs-CZ" w:bidi="cs-CZ"/>
        </w:rPr>
        <w:tab/>
        <w:t>Druh a složení vnitřního obalu</w:t>
      </w:r>
    </w:p>
    <w:p w14:paraId="2C1BFA8B" w14:textId="77777777" w:rsidR="00C114FF" w:rsidRPr="00603046" w:rsidRDefault="00C114FF" w:rsidP="00062ED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67649D" w14:textId="7A331AC4" w:rsidR="003D0945" w:rsidRPr="00603046" w:rsidRDefault="003D0945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szCs w:val="22"/>
          <w:lang w:val="cs-CZ" w:bidi="cs-CZ"/>
        </w:rPr>
        <w:t xml:space="preserve">Nádoba z </w:t>
      </w:r>
      <w:proofErr w:type="spellStart"/>
      <w:r w:rsidRPr="00603046">
        <w:rPr>
          <w:szCs w:val="22"/>
          <w:lang w:val="cs-CZ" w:bidi="cs-CZ"/>
        </w:rPr>
        <w:t>polyethylenu</w:t>
      </w:r>
      <w:proofErr w:type="spellEnd"/>
      <w:r w:rsidRPr="00603046">
        <w:rPr>
          <w:szCs w:val="22"/>
          <w:lang w:val="cs-CZ" w:bidi="cs-CZ"/>
        </w:rPr>
        <w:t xml:space="preserve"> s vysokou hustotou </w:t>
      </w:r>
      <w:r w:rsidR="0038081E" w:rsidRPr="00603046">
        <w:rPr>
          <w:szCs w:val="22"/>
          <w:lang w:val="cs-CZ" w:bidi="cs-CZ"/>
        </w:rPr>
        <w:t xml:space="preserve">o objemu 1 l, 2,5 l a 5 l </w:t>
      </w:r>
      <w:r w:rsidRPr="00603046">
        <w:rPr>
          <w:szCs w:val="22"/>
          <w:lang w:val="cs-CZ" w:bidi="cs-CZ"/>
        </w:rPr>
        <w:t xml:space="preserve">a </w:t>
      </w:r>
      <w:r w:rsidR="0038081E">
        <w:rPr>
          <w:szCs w:val="22"/>
          <w:lang w:val="cs-CZ" w:bidi="cs-CZ"/>
        </w:rPr>
        <w:t xml:space="preserve">s </w:t>
      </w:r>
      <w:r w:rsidRPr="00603046">
        <w:rPr>
          <w:szCs w:val="22"/>
          <w:lang w:val="cs-CZ" w:bidi="cs-CZ"/>
        </w:rPr>
        <w:t>polypropylenovým uzávěrem s hliníkovým těsněním.</w:t>
      </w:r>
    </w:p>
    <w:p w14:paraId="418BA4C4" w14:textId="77777777" w:rsidR="007732C3" w:rsidRPr="00603046" w:rsidRDefault="007732C3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3CC2DB" w14:textId="1596BD7A" w:rsidR="00C114FF" w:rsidRPr="00603046" w:rsidRDefault="00B66FA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B66FAF">
        <w:rPr>
          <w:szCs w:val="22"/>
          <w:lang w:val="cs-CZ" w:bidi="cs-CZ"/>
        </w:rPr>
        <w:t>Na trhu nemusí být všechny velikosti balení</w:t>
      </w:r>
      <w:r w:rsidR="00C114FF" w:rsidRPr="00603046">
        <w:rPr>
          <w:szCs w:val="22"/>
          <w:lang w:val="cs-CZ" w:bidi="cs-CZ"/>
        </w:rPr>
        <w:t>.</w:t>
      </w:r>
    </w:p>
    <w:p w14:paraId="12BF6862" w14:textId="77777777" w:rsidR="00FE1BAE" w:rsidRPr="00603046" w:rsidRDefault="00FE1BAE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6E4B77F" w14:textId="61909539" w:rsidR="00FD1E45" w:rsidRPr="00603046" w:rsidRDefault="00FD1E45" w:rsidP="00062ED8">
      <w:pPr>
        <w:keepNext/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lastRenderedPageBreak/>
        <w:t>5.5</w:t>
      </w:r>
      <w:r w:rsidRPr="00603046">
        <w:rPr>
          <w:b/>
          <w:szCs w:val="22"/>
          <w:lang w:val="cs-CZ" w:bidi="cs-CZ"/>
        </w:rPr>
        <w:tab/>
        <w:t>Zvláštní opatření pro likvidaci nepoužitých veterinárních léčivých přípravků nebo odpad</w:t>
      </w:r>
      <w:r w:rsidR="004A2129">
        <w:rPr>
          <w:b/>
          <w:szCs w:val="22"/>
          <w:lang w:val="cs-CZ" w:bidi="cs-CZ"/>
        </w:rPr>
        <w:t xml:space="preserve">ů, které </w:t>
      </w:r>
      <w:r w:rsidR="00C114FF" w:rsidRPr="00603046">
        <w:rPr>
          <w:b/>
          <w:szCs w:val="22"/>
          <w:lang w:val="cs-CZ" w:bidi="cs-CZ"/>
        </w:rPr>
        <w:t>pocház</w:t>
      </w:r>
      <w:r w:rsidR="004A2129">
        <w:rPr>
          <w:b/>
          <w:szCs w:val="22"/>
          <w:lang w:val="cs-CZ" w:bidi="cs-CZ"/>
        </w:rPr>
        <w:t>í</w:t>
      </w:r>
      <w:r w:rsidR="00C114FF" w:rsidRPr="00603046">
        <w:rPr>
          <w:b/>
          <w:szCs w:val="22"/>
          <w:lang w:val="cs-CZ" w:bidi="cs-CZ"/>
        </w:rPr>
        <w:t xml:space="preserve"> z těchto přípravků</w:t>
      </w:r>
    </w:p>
    <w:p w14:paraId="2F6050EA" w14:textId="77777777" w:rsidR="00C114FF" w:rsidRPr="00603046" w:rsidRDefault="00C114FF" w:rsidP="00062ED8">
      <w:pPr>
        <w:keepNext/>
        <w:tabs>
          <w:tab w:val="clear" w:pos="567"/>
        </w:tabs>
        <w:spacing w:line="240" w:lineRule="auto"/>
        <w:jc w:val="both"/>
        <w:rPr>
          <w:szCs w:val="22"/>
          <w:lang w:val="pt-BR"/>
        </w:rPr>
      </w:pPr>
    </w:p>
    <w:p w14:paraId="1D0CE951" w14:textId="30C86433" w:rsidR="00763524" w:rsidRPr="00603046" w:rsidRDefault="00763524" w:rsidP="00062ED8">
      <w:pPr>
        <w:tabs>
          <w:tab w:val="clear" w:pos="567"/>
        </w:tabs>
        <w:spacing w:line="240" w:lineRule="auto"/>
        <w:jc w:val="both"/>
        <w:rPr>
          <w:szCs w:val="22"/>
          <w:lang w:val="pt-BR"/>
        </w:rPr>
      </w:pPr>
      <w:r w:rsidRPr="00603046">
        <w:rPr>
          <w:szCs w:val="22"/>
          <w:lang w:val="cs-CZ" w:bidi="cs-CZ"/>
        </w:rPr>
        <w:t>Lé</w:t>
      </w:r>
      <w:r w:rsidR="004A2129">
        <w:rPr>
          <w:szCs w:val="22"/>
          <w:lang w:val="cs-CZ" w:bidi="cs-CZ"/>
        </w:rPr>
        <w:t xml:space="preserve">čivé přípravky se nesmí </w:t>
      </w:r>
      <w:r w:rsidRPr="00603046">
        <w:rPr>
          <w:szCs w:val="22"/>
          <w:lang w:val="cs-CZ" w:bidi="cs-CZ"/>
        </w:rPr>
        <w:t>likvidovat prostřednictvím odpadní</w:t>
      </w:r>
      <w:r w:rsidR="004A2129">
        <w:rPr>
          <w:szCs w:val="22"/>
          <w:lang w:val="cs-CZ" w:bidi="cs-CZ"/>
        </w:rPr>
        <w:t xml:space="preserve"> vody či </w:t>
      </w:r>
      <w:r w:rsidRPr="00603046">
        <w:rPr>
          <w:szCs w:val="22"/>
          <w:lang w:val="cs-CZ" w:bidi="cs-CZ"/>
        </w:rPr>
        <w:t>dom</w:t>
      </w:r>
      <w:r w:rsidR="004A2129">
        <w:rPr>
          <w:szCs w:val="22"/>
          <w:lang w:val="cs-CZ" w:bidi="cs-CZ"/>
        </w:rPr>
        <w:t xml:space="preserve">ovního </w:t>
      </w:r>
      <w:r w:rsidRPr="00603046">
        <w:rPr>
          <w:szCs w:val="22"/>
          <w:lang w:val="cs-CZ" w:bidi="cs-CZ"/>
        </w:rPr>
        <w:t>odpadu.</w:t>
      </w:r>
    </w:p>
    <w:p w14:paraId="135F86C5" w14:textId="125DF1E3" w:rsidR="0078538F" w:rsidRPr="00603046" w:rsidRDefault="004A2129" w:rsidP="00062ED8">
      <w:pPr>
        <w:tabs>
          <w:tab w:val="clear" w:pos="567"/>
        </w:tabs>
        <w:spacing w:line="240" w:lineRule="auto"/>
        <w:jc w:val="both"/>
        <w:rPr>
          <w:szCs w:val="22"/>
          <w:lang w:val="pt-BR"/>
        </w:rPr>
      </w:pPr>
      <w:r>
        <w:rPr>
          <w:szCs w:val="22"/>
          <w:lang w:val="cs-CZ" w:bidi="cs-CZ"/>
        </w:rPr>
        <w:t xml:space="preserve">Všechen </w:t>
      </w:r>
      <w:r w:rsidR="0078538F" w:rsidRPr="00603046">
        <w:rPr>
          <w:szCs w:val="22"/>
          <w:lang w:val="cs-CZ" w:bidi="cs-CZ"/>
        </w:rPr>
        <w:t>nepoužitý</w:t>
      </w:r>
      <w:r>
        <w:rPr>
          <w:szCs w:val="22"/>
          <w:lang w:val="cs-CZ" w:bidi="cs-CZ"/>
        </w:rPr>
        <w:t xml:space="preserve"> </w:t>
      </w:r>
      <w:r w:rsidR="0078538F" w:rsidRPr="00603046">
        <w:rPr>
          <w:szCs w:val="22"/>
          <w:lang w:val="cs-CZ" w:bidi="cs-CZ"/>
        </w:rPr>
        <w:t>veterinární léčivý příprav</w:t>
      </w:r>
      <w:r>
        <w:rPr>
          <w:szCs w:val="22"/>
          <w:lang w:val="cs-CZ" w:bidi="cs-CZ"/>
        </w:rPr>
        <w:t>e</w:t>
      </w:r>
      <w:r w:rsidR="0078538F" w:rsidRPr="00603046">
        <w:rPr>
          <w:szCs w:val="22"/>
          <w:lang w:val="cs-CZ" w:bidi="cs-CZ"/>
        </w:rPr>
        <w:t>k nebo odpad</w:t>
      </w:r>
      <w:r>
        <w:rPr>
          <w:szCs w:val="22"/>
          <w:lang w:val="cs-CZ" w:bidi="cs-CZ"/>
        </w:rPr>
        <w:t xml:space="preserve">, který pochází z tohoto přípravku, likvidujte odevzdáním </w:t>
      </w:r>
      <w:r w:rsidR="0078538F" w:rsidRPr="00603046">
        <w:rPr>
          <w:szCs w:val="22"/>
          <w:lang w:val="cs-CZ" w:bidi="cs-CZ"/>
        </w:rPr>
        <w:t xml:space="preserve">v souladu s místními požadavky a </w:t>
      </w:r>
      <w:r>
        <w:rPr>
          <w:szCs w:val="22"/>
          <w:lang w:val="cs-CZ" w:bidi="cs-CZ"/>
        </w:rPr>
        <w:t>národními</w:t>
      </w:r>
      <w:r w:rsidR="0078538F" w:rsidRPr="00603046">
        <w:rPr>
          <w:szCs w:val="22"/>
          <w:lang w:val="cs-CZ" w:bidi="cs-CZ"/>
        </w:rPr>
        <w:t xml:space="preserve"> systémy sběru, které </w:t>
      </w:r>
      <w:r>
        <w:rPr>
          <w:szCs w:val="22"/>
          <w:lang w:val="cs-CZ" w:bidi="cs-CZ"/>
        </w:rPr>
        <w:t xml:space="preserve">jsou platné pro příslušný </w:t>
      </w:r>
      <w:r w:rsidR="0078538F" w:rsidRPr="00603046">
        <w:rPr>
          <w:szCs w:val="22"/>
          <w:lang w:val="cs-CZ" w:bidi="cs-CZ"/>
        </w:rPr>
        <w:t>veterinární léčivý přípravek</w:t>
      </w:r>
      <w:r>
        <w:rPr>
          <w:szCs w:val="22"/>
          <w:lang w:val="cs-CZ" w:bidi="cs-CZ"/>
        </w:rPr>
        <w:t>.</w:t>
      </w:r>
    </w:p>
    <w:p w14:paraId="52C1EBD6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4815A63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1758C84" w14:textId="77777777" w:rsidR="00C114FF" w:rsidRPr="00603046" w:rsidRDefault="0078538F" w:rsidP="00603046">
      <w:pPr>
        <w:tabs>
          <w:tab w:val="clear" w:pos="567"/>
        </w:tabs>
        <w:spacing w:line="240" w:lineRule="auto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6.</w:t>
      </w:r>
      <w:r w:rsidRPr="00603046">
        <w:rPr>
          <w:b/>
          <w:szCs w:val="22"/>
          <w:lang w:val="cs-CZ" w:bidi="cs-CZ"/>
        </w:rPr>
        <w:tab/>
        <w:t>JMÉNO DRŽITELE ROZHODNUTÍ O REGISTRACI</w:t>
      </w:r>
    </w:p>
    <w:p w14:paraId="359C63D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BB0132A" w14:textId="77777777" w:rsidR="00B41F47" w:rsidRPr="00603046" w:rsidRDefault="00176B6E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Bimeda Animal Health Limited</w:t>
      </w:r>
    </w:p>
    <w:p w14:paraId="3CDC1217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61AEE268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0D3098C2" w14:textId="77777777" w:rsidR="00C114FF" w:rsidRPr="00603046" w:rsidRDefault="0078538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7.</w:t>
      </w:r>
      <w:r w:rsidRPr="00603046">
        <w:rPr>
          <w:b/>
          <w:szCs w:val="22"/>
          <w:lang w:val="cs-CZ" w:bidi="cs-CZ"/>
        </w:rPr>
        <w:tab/>
        <w:t>REGISTRAČNÍ ČÍSLO(A)</w:t>
      </w:r>
    </w:p>
    <w:p w14:paraId="1C611050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2BB8BA0" w14:textId="6FAA9391" w:rsidR="008C59C1" w:rsidRDefault="006437F1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>
        <w:rPr>
          <w:szCs w:val="22"/>
          <w:lang w:val="pt-BR"/>
        </w:rPr>
        <w:t>96/063/24-C</w:t>
      </w:r>
    </w:p>
    <w:p w14:paraId="7DEC1403" w14:textId="77777777" w:rsidR="006437F1" w:rsidRPr="00603046" w:rsidRDefault="006437F1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bookmarkStart w:id="30" w:name="_GoBack"/>
      <w:bookmarkEnd w:id="30"/>
    </w:p>
    <w:p w14:paraId="7FE86CA9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29D930C" w14:textId="77777777" w:rsidR="00C114FF" w:rsidRPr="00603046" w:rsidRDefault="0078538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8.</w:t>
      </w:r>
      <w:r w:rsidRPr="00603046">
        <w:rPr>
          <w:b/>
          <w:szCs w:val="22"/>
          <w:lang w:val="cs-CZ" w:bidi="cs-CZ"/>
        </w:rPr>
        <w:tab/>
        <w:t>DATUM PRVNÍ REGISTRACE</w:t>
      </w:r>
    </w:p>
    <w:p w14:paraId="421EEC61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375F27D8" w14:textId="1230A805" w:rsidR="00C114FF" w:rsidRPr="00603046" w:rsidRDefault="006437F1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>
        <w:rPr>
          <w:szCs w:val="22"/>
          <w:lang w:val="cs-CZ" w:bidi="cs-CZ"/>
        </w:rPr>
        <w:t>22. 1. 2025</w:t>
      </w:r>
    </w:p>
    <w:p w14:paraId="588864CE" w14:textId="77777777" w:rsidR="00D65777" w:rsidRPr="00603046" w:rsidRDefault="00D65777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03901CCA" w14:textId="77777777" w:rsidR="00D65777" w:rsidRPr="00603046" w:rsidRDefault="00D65777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AAD1EB7" w14:textId="77777777" w:rsidR="00C114FF" w:rsidRPr="00603046" w:rsidRDefault="0078538F" w:rsidP="00603046">
      <w:pPr>
        <w:tabs>
          <w:tab w:val="clear" w:pos="567"/>
        </w:tabs>
        <w:spacing w:line="240" w:lineRule="auto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9.</w:t>
      </w:r>
      <w:r w:rsidRPr="00603046">
        <w:rPr>
          <w:b/>
          <w:szCs w:val="22"/>
          <w:lang w:val="cs-CZ" w:bidi="cs-CZ"/>
        </w:rPr>
        <w:tab/>
        <w:t>DATUM POSLEDNÍ AKTUALIZACE SOUHRNU ÚDAJŮ O PŘÍPRAVKU</w:t>
      </w:r>
    </w:p>
    <w:p w14:paraId="6E802832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592FE93" w14:textId="02BF02AD" w:rsidR="00423968" w:rsidRPr="00603046" w:rsidRDefault="006437F1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>
        <w:rPr>
          <w:szCs w:val="22"/>
          <w:lang w:val="cs-CZ" w:bidi="cs-CZ"/>
        </w:rPr>
        <w:t>01/2025</w:t>
      </w:r>
    </w:p>
    <w:p w14:paraId="333D2359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B81CDEB" w14:textId="77777777" w:rsidR="00B113B9" w:rsidRPr="00603046" w:rsidRDefault="00B113B9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DC5A03D" w14:textId="77777777" w:rsidR="00C114FF" w:rsidRPr="00603046" w:rsidRDefault="0078538F" w:rsidP="00603046">
      <w:pPr>
        <w:tabs>
          <w:tab w:val="clear" w:pos="567"/>
        </w:tabs>
        <w:spacing w:line="240" w:lineRule="auto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10.</w:t>
      </w:r>
      <w:r w:rsidRPr="00603046">
        <w:rPr>
          <w:b/>
          <w:szCs w:val="22"/>
          <w:lang w:val="cs-CZ" w:bidi="cs-CZ"/>
        </w:rPr>
        <w:tab/>
        <w:t>KLASIFIKACE VETERINÁRNÍCH LÉČIVÝCH PŘÍPRAVKŮ</w:t>
      </w:r>
    </w:p>
    <w:p w14:paraId="31A12545" w14:textId="77777777" w:rsidR="0078538F" w:rsidRPr="00603046" w:rsidRDefault="0078538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0E1F8B21" w14:textId="77777777" w:rsidR="0078538F" w:rsidRPr="00603046" w:rsidRDefault="0078538F" w:rsidP="00603046">
      <w:pPr>
        <w:numPr>
          <w:ilvl w:val="12"/>
          <w:numId w:val="0"/>
        </w:numPr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Veterinární léčivý přípravek je vydáván pouze na předpis.</w:t>
      </w:r>
    </w:p>
    <w:p w14:paraId="6B293A44" w14:textId="77777777" w:rsidR="0078538F" w:rsidRPr="00603046" w:rsidRDefault="0078538F" w:rsidP="00603046">
      <w:pPr>
        <w:spacing w:line="240" w:lineRule="auto"/>
        <w:ind w:right="-318"/>
        <w:rPr>
          <w:szCs w:val="22"/>
          <w:lang w:val="pt-BR"/>
        </w:rPr>
      </w:pPr>
    </w:p>
    <w:p w14:paraId="27AD3545" w14:textId="77777777" w:rsidR="0078538F" w:rsidRPr="00603046" w:rsidRDefault="0078538F" w:rsidP="00603046">
      <w:pPr>
        <w:spacing w:line="240" w:lineRule="auto"/>
        <w:ind w:right="-318"/>
        <w:rPr>
          <w:szCs w:val="22"/>
          <w:lang w:val="pt-BR"/>
        </w:rPr>
      </w:pPr>
      <w:bookmarkStart w:id="31" w:name="_Hlk73467306"/>
      <w:r w:rsidRPr="00603046">
        <w:rPr>
          <w:szCs w:val="22"/>
          <w:lang w:val="cs-CZ" w:bidi="cs-CZ"/>
        </w:rPr>
        <w:t>Podrobné informace o tomto veterinárním léčivém přípravku jsou k dispozici v databázi přípravků Unie</w:t>
      </w:r>
      <w:r w:rsidRPr="00603046">
        <w:rPr>
          <w:i/>
          <w:szCs w:val="22"/>
          <w:lang w:val="cs-CZ" w:bidi="cs-CZ"/>
        </w:rPr>
        <w:t>.</w:t>
      </w:r>
    </w:p>
    <w:bookmarkEnd w:id="31"/>
    <w:p w14:paraId="3AE16791" w14:textId="05A0B6C6" w:rsidR="0078538F" w:rsidRPr="00603046" w:rsidRDefault="00EE3B9B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fldChar w:fldCharType="begin"/>
      </w:r>
      <w:r w:rsidRPr="00603046">
        <w:rPr>
          <w:szCs w:val="22"/>
          <w:lang w:val="pt-BR"/>
        </w:rPr>
        <w:instrText>HYPERLINK "https://medicines.health.europa.eu/veterinary"</w:instrText>
      </w:r>
      <w:r w:rsidRPr="00603046">
        <w:fldChar w:fldCharType="separate"/>
      </w:r>
      <w:r w:rsidR="00763524" w:rsidRPr="00603046">
        <w:rPr>
          <w:rStyle w:val="Hypertextovodkaz"/>
          <w:szCs w:val="22"/>
          <w:lang w:val="cs-CZ" w:bidi="cs-CZ"/>
        </w:rPr>
        <w:t>(https://medicines.health.europa.eu/veterinary)</w:t>
      </w:r>
      <w:r w:rsidRPr="00603046">
        <w:rPr>
          <w:rStyle w:val="Hypertextovodkaz"/>
          <w:szCs w:val="22"/>
          <w:lang w:val="cs-CZ" w:bidi="cs-CZ"/>
        </w:rPr>
        <w:fldChar w:fldCharType="end"/>
      </w:r>
      <w:r w:rsidR="00763524" w:rsidRPr="00603046">
        <w:rPr>
          <w:color w:val="000000"/>
          <w:szCs w:val="22"/>
          <w:lang w:val="cs-CZ" w:bidi="cs-CZ"/>
        </w:rPr>
        <w:t>.</w:t>
      </w:r>
    </w:p>
    <w:bookmarkEnd w:id="0"/>
    <w:bookmarkEnd w:id="1"/>
    <w:p w14:paraId="744EF4CC" w14:textId="31D4718B" w:rsidR="00C114FF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B40764A" w14:textId="77777777" w:rsidR="00A67EEA" w:rsidRPr="006437F1" w:rsidRDefault="00A67EEA" w:rsidP="00A67EEA">
      <w:pPr>
        <w:spacing w:line="240" w:lineRule="auto"/>
        <w:jc w:val="both"/>
      </w:pPr>
      <w:bookmarkStart w:id="32" w:name="_Hlk148432335"/>
      <w:proofErr w:type="spellStart"/>
      <w:r w:rsidRPr="006437F1">
        <w:t>Podrobné</w:t>
      </w:r>
      <w:proofErr w:type="spellEnd"/>
      <w:r w:rsidRPr="006437F1">
        <w:t xml:space="preserve"> </w:t>
      </w:r>
      <w:proofErr w:type="spellStart"/>
      <w:r w:rsidRPr="006437F1">
        <w:t>informace</w:t>
      </w:r>
      <w:proofErr w:type="spellEnd"/>
      <w:r w:rsidRPr="006437F1">
        <w:t xml:space="preserve"> o </w:t>
      </w:r>
      <w:proofErr w:type="spellStart"/>
      <w:r w:rsidRPr="006437F1">
        <w:t>tomto</w:t>
      </w:r>
      <w:proofErr w:type="spellEnd"/>
      <w:r w:rsidRPr="006437F1">
        <w:t xml:space="preserve"> </w:t>
      </w:r>
      <w:proofErr w:type="spellStart"/>
      <w:r w:rsidRPr="006437F1">
        <w:t>veterinárním</w:t>
      </w:r>
      <w:proofErr w:type="spellEnd"/>
      <w:r w:rsidRPr="006437F1">
        <w:t xml:space="preserve"> </w:t>
      </w:r>
      <w:proofErr w:type="spellStart"/>
      <w:r w:rsidRPr="006437F1">
        <w:t>léčivém</w:t>
      </w:r>
      <w:proofErr w:type="spellEnd"/>
      <w:r w:rsidRPr="006437F1">
        <w:t xml:space="preserve"> </w:t>
      </w:r>
      <w:proofErr w:type="spellStart"/>
      <w:r w:rsidRPr="006437F1">
        <w:t>přípravku</w:t>
      </w:r>
      <w:proofErr w:type="spellEnd"/>
      <w:r w:rsidRPr="006437F1">
        <w:t xml:space="preserve"> </w:t>
      </w:r>
      <w:proofErr w:type="spellStart"/>
      <w:r w:rsidRPr="006437F1">
        <w:t>naleznete</w:t>
      </w:r>
      <w:proofErr w:type="spellEnd"/>
      <w:r w:rsidRPr="006437F1">
        <w:t xml:space="preserve"> </w:t>
      </w:r>
      <w:proofErr w:type="spellStart"/>
      <w:r w:rsidRPr="006437F1">
        <w:t>také</w:t>
      </w:r>
      <w:proofErr w:type="spellEnd"/>
      <w:r w:rsidRPr="006437F1">
        <w:t xml:space="preserve"> v </w:t>
      </w:r>
      <w:proofErr w:type="spellStart"/>
      <w:r w:rsidRPr="006437F1">
        <w:t>národní</w:t>
      </w:r>
      <w:proofErr w:type="spellEnd"/>
      <w:r w:rsidRPr="006437F1">
        <w:t xml:space="preserve"> </w:t>
      </w:r>
      <w:proofErr w:type="spellStart"/>
      <w:r w:rsidRPr="006437F1">
        <w:t>databázi</w:t>
      </w:r>
      <w:proofErr w:type="spellEnd"/>
      <w:r w:rsidRPr="006437F1">
        <w:t xml:space="preserve"> (</w:t>
      </w:r>
      <w:hyperlink r:id="rId11" w:history="1">
        <w:r w:rsidRPr="006437F1">
          <w:rPr>
            <w:rStyle w:val="Hypertextovodkaz"/>
          </w:rPr>
          <w:t>https://www.uskvbl.cz</w:t>
        </w:r>
      </w:hyperlink>
      <w:r w:rsidRPr="006437F1">
        <w:t>).</w:t>
      </w:r>
    </w:p>
    <w:bookmarkEnd w:id="32"/>
    <w:p w14:paraId="3E14B62A" w14:textId="77777777" w:rsidR="00A67EEA" w:rsidRPr="00603046" w:rsidRDefault="00A67EEA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sectPr w:rsidR="00A67EEA" w:rsidRPr="00603046" w:rsidSect="007F2F03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D6AB" w14:textId="77777777" w:rsidR="006D5EBB" w:rsidRDefault="006D5EBB">
      <w:r>
        <w:separator/>
      </w:r>
    </w:p>
  </w:endnote>
  <w:endnote w:type="continuationSeparator" w:id="0">
    <w:p w14:paraId="2A6639F7" w14:textId="77777777" w:rsidR="006D5EBB" w:rsidRDefault="006D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1C6E6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  <w:lang w:val="cs-CZ" w:bidi="cs-CZ"/>
      </w:rPr>
      <w:fldChar w:fldCharType="begin"/>
    </w:r>
    <w:r w:rsidRPr="00B94A1B">
      <w:rPr>
        <w:rFonts w:ascii="Times New Roman" w:hAnsi="Times New Roman"/>
        <w:lang w:val="cs-CZ" w:bidi="cs-CZ"/>
      </w:rPr>
      <w:instrText xml:space="preserve"> PAGE  \* MERGEFORMAT </w:instrText>
    </w:r>
    <w:r w:rsidRPr="00B94A1B">
      <w:rPr>
        <w:rFonts w:ascii="Times New Roman" w:hAnsi="Times New Roman"/>
        <w:lang w:val="cs-CZ" w:bidi="cs-CZ"/>
      </w:rPr>
      <w:fldChar w:fldCharType="separate"/>
    </w:r>
    <w:r w:rsidR="003B3F42">
      <w:rPr>
        <w:rFonts w:ascii="Times New Roman" w:hAnsi="Times New Roman"/>
        <w:noProof/>
        <w:lang w:val="cs-CZ" w:bidi="cs-CZ"/>
      </w:rPr>
      <w:t>12</w:t>
    </w:r>
    <w:r w:rsidRPr="00B94A1B">
      <w:rPr>
        <w:rFonts w:ascii="Times New Roman" w:hAnsi="Times New Roman"/>
        <w:lang w:val="cs-CZ"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7B01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lang w:val="cs-CZ" w:bidi="cs-CZ"/>
      </w:rPr>
      <w:fldChar w:fldCharType="begin"/>
    </w:r>
    <w:r>
      <w:rPr>
        <w:lang w:val="cs-CZ" w:bidi="cs-CZ"/>
      </w:rPr>
      <w:instrText xml:space="preserve"> PAGE  \* MERGEFORMAT </w:instrText>
    </w:r>
    <w:r>
      <w:rPr>
        <w:lang w:val="cs-CZ" w:bidi="cs-CZ"/>
      </w:rPr>
      <w:fldChar w:fldCharType="separate"/>
    </w:r>
    <w:r w:rsidR="00495CAE">
      <w:rPr>
        <w:noProof/>
        <w:lang w:val="cs-CZ" w:bidi="cs-CZ"/>
      </w:rPr>
      <w:t>3</w:t>
    </w:r>
    <w:r>
      <w:rPr>
        <w:lang w:val="cs-CZ"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F304F" w14:textId="77777777" w:rsidR="006D5EBB" w:rsidRDefault="006D5EBB">
      <w:r>
        <w:separator/>
      </w:r>
    </w:p>
  </w:footnote>
  <w:footnote w:type="continuationSeparator" w:id="0">
    <w:p w14:paraId="66E62C1B" w14:textId="77777777" w:rsidR="006D5EBB" w:rsidRDefault="006D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A66C" w14:textId="77777777" w:rsidR="004F6F64" w:rsidRDefault="004F6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FFFFFF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8A1E52"/>
    <w:multiLevelType w:val="hybridMultilevel"/>
    <w:tmpl w:val="BF281C62"/>
    <w:lvl w:ilvl="0" w:tplc="1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6D2"/>
    <w:multiLevelType w:val="hybridMultilevel"/>
    <w:tmpl w:val="84A08A3C"/>
    <w:lvl w:ilvl="0" w:tplc="C3E24820">
      <w:start w:val="12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FFFFFFFF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FFFFFFFF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9744B4"/>
    <w:multiLevelType w:val="hybridMultilevel"/>
    <w:tmpl w:val="32F65404"/>
    <w:lvl w:ilvl="0" w:tplc="3A5C2C12">
      <w:start w:val="12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6"/>
  </w:num>
  <w:num w:numId="7">
    <w:abstractNumId w:val="21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36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38"/>
  </w:num>
  <w:num w:numId="31">
    <w:abstractNumId w:val="39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17"/>
  </w:num>
  <w:num w:numId="40">
    <w:abstractNumId w:val="3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AF7"/>
    <w:rsid w:val="00006AD0"/>
    <w:rsid w:val="000139CF"/>
    <w:rsid w:val="00016139"/>
    <w:rsid w:val="00020683"/>
    <w:rsid w:val="00021B82"/>
    <w:rsid w:val="00022454"/>
    <w:rsid w:val="00024777"/>
    <w:rsid w:val="00024E21"/>
    <w:rsid w:val="00036B35"/>
    <w:rsid w:val="00036C50"/>
    <w:rsid w:val="000500AE"/>
    <w:rsid w:val="00052D2B"/>
    <w:rsid w:val="00054F55"/>
    <w:rsid w:val="00062945"/>
    <w:rsid w:val="00062ED8"/>
    <w:rsid w:val="00065E7A"/>
    <w:rsid w:val="00066E39"/>
    <w:rsid w:val="00080453"/>
    <w:rsid w:val="0008169A"/>
    <w:rsid w:val="00083144"/>
    <w:rsid w:val="000860CE"/>
    <w:rsid w:val="00092514"/>
    <w:rsid w:val="00092A37"/>
    <w:rsid w:val="000938A6"/>
    <w:rsid w:val="00096E78"/>
    <w:rsid w:val="00097C1E"/>
    <w:rsid w:val="000A1DF5"/>
    <w:rsid w:val="000A3C4F"/>
    <w:rsid w:val="000B4D56"/>
    <w:rsid w:val="000B7873"/>
    <w:rsid w:val="000C02A1"/>
    <w:rsid w:val="000C1D4F"/>
    <w:rsid w:val="000C4D6E"/>
    <w:rsid w:val="000C687A"/>
    <w:rsid w:val="000D2D4A"/>
    <w:rsid w:val="000D67D0"/>
    <w:rsid w:val="000E195C"/>
    <w:rsid w:val="000E3602"/>
    <w:rsid w:val="000E541E"/>
    <w:rsid w:val="000E6B25"/>
    <w:rsid w:val="000F3097"/>
    <w:rsid w:val="000F38DA"/>
    <w:rsid w:val="000F5822"/>
    <w:rsid w:val="000F796B"/>
    <w:rsid w:val="0010031E"/>
    <w:rsid w:val="001012EB"/>
    <w:rsid w:val="00101751"/>
    <w:rsid w:val="00105B18"/>
    <w:rsid w:val="001078D1"/>
    <w:rsid w:val="00115782"/>
    <w:rsid w:val="00123FCC"/>
    <w:rsid w:val="00124F36"/>
    <w:rsid w:val="00125666"/>
    <w:rsid w:val="00125C80"/>
    <w:rsid w:val="0013799F"/>
    <w:rsid w:val="00140DF6"/>
    <w:rsid w:val="00145C3F"/>
    <w:rsid w:val="00145D34"/>
    <w:rsid w:val="00146284"/>
    <w:rsid w:val="0014690F"/>
    <w:rsid w:val="00150282"/>
    <w:rsid w:val="0015098E"/>
    <w:rsid w:val="00156A24"/>
    <w:rsid w:val="001633CB"/>
    <w:rsid w:val="001674D3"/>
    <w:rsid w:val="001743C5"/>
    <w:rsid w:val="00175264"/>
    <w:rsid w:val="00176B6E"/>
    <w:rsid w:val="001803D2"/>
    <w:rsid w:val="00180601"/>
    <w:rsid w:val="0018228B"/>
    <w:rsid w:val="00185B50"/>
    <w:rsid w:val="0018625C"/>
    <w:rsid w:val="00187DE7"/>
    <w:rsid w:val="00187E62"/>
    <w:rsid w:val="00192045"/>
    <w:rsid w:val="00193B14"/>
    <w:rsid w:val="00193E72"/>
    <w:rsid w:val="00194593"/>
    <w:rsid w:val="00195267"/>
    <w:rsid w:val="0019600B"/>
    <w:rsid w:val="0019686E"/>
    <w:rsid w:val="001A0E2C"/>
    <w:rsid w:val="001A28C9"/>
    <w:rsid w:val="001A34BC"/>
    <w:rsid w:val="001A4404"/>
    <w:rsid w:val="001A655E"/>
    <w:rsid w:val="001B1C77"/>
    <w:rsid w:val="001B2F94"/>
    <w:rsid w:val="001B6F4A"/>
    <w:rsid w:val="001C5288"/>
    <w:rsid w:val="001C5B03"/>
    <w:rsid w:val="001D6D96"/>
    <w:rsid w:val="001E5621"/>
    <w:rsid w:val="001F3EF9"/>
    <w:rsid w:val="001F627D"/>
    <w:rsid w:val="001F6622"/>
    <w:rsid w:val="0020126C"/>
    <w:rsid w:val="002100FC"/>
    <w:rsid w:val="0021044A"/>
    <w:rsid w:val="00212740"/>
    <w:rsid w:val="00213890"/>
    <w:rsid w:val="00214E52"/>
    <w:rsid w:val="002150F4"/>
    <w:rsid w:val="002207C0"/>
    <w:rsid w:val="00220C07"/>
    <w:rsid w:val="00224B93"/>
    <w:rsid w:val="00235A7B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554B3"/>
    <w:rsid w:val="00256792"/>
    <w:rsid w:val="00257E94"/>
    <w:rsid w:val="00265656"/>
    <w:rsid w:val="00265E77"/>
    <w:rsid w:val="00266155"/>
    <w:rsid w:val="0027270B"/>
    <w:rsid w:val="00272FA7"/>
    <w:rsid w:val="00281737"/>
    <w:rsid w:val="00282E7B"/>
    <w:rsid w:val="002838C8"/>
    <w:rsid w:val="00290805"/>
    <w:rsid w:val="00290C2A"/>
    <w:rsid w:val="00291571"/>
    <w:rsid w:val="002931DD"/>
    <w:rsid w:val="002933AD"/>
    <w:rsid w:val="00294FE4"/>
    <w:rsid w:val="00295140"/>
    <w:rsid w:val="00295798"/>
    <w:rsid w:val="002A0E7C"/>
    <w:rsid w:val="002A21ED"/>
    <w:rsid w:val="002A3F88"/>
    <w:rsid w:val="002A6D11"/>
    <w:rsid w:val="002B0D7C"/>
    <w:rsid w:val="002B0F11"/>
    <w:rsid w:val="002B2E17"/>
    <w:rsid w:val="002B499C"/>
    <w:rsid w:val="002B572D"/>
    <w:rsid w:val="002B6560"/>
    <w:rsid w:val="002C4A98"/>
    <w:rsid w:val="002C55FF"/>
    <w:rsid w:val="002C592B"/>
    <w:rsid w:val="002D290D"/>
    <w:rsid w:val="002E000C"/>
    <w:rsid w:val="002E3A90"/>
    <w:rsid w:val="002E46CC"/>
    <w:rsid w:val="002E4F48"/>
    <w:rsid w:val="002E62CB"/>
    <w:rsid w:val="002E6DF1"/>
    <w:rsid w:val="002E6ED9"/>
    <w:rsid w:val="002F0957"/>
    <w:rsid w:val="002F233D"/>
    <w:rsid w:val="002F41AD"/>
    <w:rsid w:val="002F43F6"/>
    <w:rsid w:val="002F71D5"/>
    <w:rsid w:val="003020BB"/>
    <w:rsid w:val="00302266"/>
    <w:rsid w:val="00304393"/>
    <w:rsid w:val="00304E37"/>
    <w:rsid w:val="00305AB2"/>
    <w:rsid w:val="0031032B"/>
    <w:rsid w:val="00316E87"/>
    <w:rsid w:val="00321ABA"/>
    <w:rsid w:val="0032453E"/>
    <w:rsid w:val="00324ABF"/>
    <w:rsid w:val="00325053"/>
    <w:rsid w:val="003256AC"/>
    <w:rsid w:val="0033129D"/>
    <w:rsid w:val="003320ED"/>
    <w:rsid w:val="003324BD"/>
    <w:rsid w:val="0033480E"/>
    <w:rsid w:val="00335840"/>
    <w:rsid w:val="00337123"/>
    <w:rsid w:val="00340AA8"/>
    <w:rsid w:val="00341866"/>
    <w:rsid w:val="003444ED"/>
    <w:rsid w:val="00350DF7"/>
    <w:rsid w:val="003535E0"/>
    <w:rsid w:val="00355D1A"/>
    <w:rsid w:val="0036567B"/>
    <w:rsid w:val="00366F56"/>
    <w:rsid w:val="00370D7E"/>
    <w:rsid w:val="003737C8"/>
    <w:rsid w:val="00374E33"/>
    <w:rsid w:val="00374E69"/>
    <w:rsid w:val="0037589D"/>
    <w:rsid w:val="00376BB1"/>
    <w:rsid w:val="00377E23"/>
    <w:rsid w:val="0038081E"/>
    <w:rsid w:val="0038277C"/>
    <w:rsid w:val="003841FC"/>
    <w:rsid w:val="0038638B"/>
    <w:rsid w:val="003909E0"/>
    <w:rsid w:val="00390E0B"/>
    <w:rsid w:val="00393E09"/>
    <w:rsid w:val="00395B15"/>
    <w:rsid w:val="00396026"/>
    <w:rsid w:val="00397CFD"/>
    <w:rsid w:val="003A3C22"/>
    <w:rsid w:val="003A3E2F"/>
    <w:rsid w:val="003A6CCB"/>
    <w:rsid w:val="003B10C4"/>
    <w:rsid w:val="003B3F42"/>
    <w:rsid w:val="003B48EB"/>
    <w:rsid w:val="003C33FF"/>
    <w:rsid w:val="003C64A5"/>
    <w:rsid w:val="003D03CC"/>
    <w:rsid w:val="003D0945"/>
    <w:rsid w:val="003D378C"/>
    <w:rsid w:val="003D4BB7"/>
    <w:rsid w:val="003E0116"/>
    <w:rsid w:val="003E26C3"/>
    <w:rsid w:val="003F0D6C"/>
    <w:rsid w:val="003F0F26"/>
    <w:rsid w:val="003F12D9"/>
    <w:rsid w:val="003F1B4C"/>
    <w:rsid w:val="003F237D"/>
    <w:rsid w:val="003F3CE6"/>
    <w:rsid w:val="003F677F"/>
    <w:rsid w:val="003F7D1B"/>
    <w:rsid w:val="004008F6"/>
    <w:rsid w:val="004048D3"/>
    <w:rsid w:val="004076A1"/>
    <w:rsid w:val="00412BBE"/>
    <w:rsid w:val="00414B20"/>
    <w:rsid w:val="00417DE3"/>
    <w:rsid w:val="00420850"/>
    <w:rsid w:val="00423968"/>
    <w:rsid w:val="004265A0"/>
    <w:rsid w:val="00427054"/>
    <w:rsid w:val="004304B1"/>
    <w:rsid w:val="00430BA0"/>
    <w:rsid w:val="0043320A"/>
    <w:rsid w:val="004332E3"/>
    <w:rsid w:val="004414FF"/>
    <w:rsid w:val="00442C6D"/>
    <w:rsid w:val="00446960"/>
    <w:rsid w:val="004518A6"/>
    <w:rsid w:val="00453E1D"/>
    <w:rsid w:val="00454589"/>
    <w:rsid w:val="00456ED0"/>
    <w:rsid w:val="00457550"/>
    <w:rsid w:val="0045793C"/>
    <w:rsid w:val="004652F8"/>
    <w:rsid w:val="00467938"/>
    <w:rsid w:val="00474C50"/>
    <w:rsid w:val="004760C3"/>
    <w:rsid w:val="004771F9"/>
    <w:rsid w:val="00486006"/>
    <w:rsid w:val="0048620E"/>
    <w:rsid w:val="00486BAD"/>
    <w:rsid w:val="00486BBE"/>
    <w:rsid w:val="00487123"/>
    <w:rsid w:val="004931B2"/>
    <w:rsid w:val="00495CAE"/>
    <w:rsid w:val="00497AAE"/>
    <w:rsid w:val="004A1BD5"/>
    <w:rsid w:val="004A2129"/>
    <w:rsid w:val="004A4954"/>
    <w:rsid w:val="004A61E1"/>
    <w:rsid w:val="004B2344"/>
    <w:rsid w:val="004B5DDC"/>
    <w:rsid w:val="004B798E"/>
    <w:rsid w:val="004C0542"/>
    <w:rsid w:val="004C2ABD"/>
    <w:rsid w:val="004D39B6"/>
    <w:rsid w:val="004D3E58"/>
    <w:rsid w:val="004D6746"/>
    <w:rsid w:val="004D767B"/>
    <w:rsid w:val="004E0F32"/>
    <w:rsid w:val="004E23A1"/>
    <w:rsid w:val="004E3F6B"/>
    <w:rsid w:val="004E7092"/>
    <w:rsid w:val="004E7ECE"/>
    <w:rsid w:val="004F5F67"/>
    <w:rsid w:val="004F6F64"/>
    <w:rsid w:val="004F7CC9"/>
    <w:rsid w:val="005004EC"/>
    <w:rsid w:val="00504153"/>
    <w:rsid w:val="00504878"/>
    <w:rsid w:val="00517756"/>
    <w:rsid w:val="005177B2"/>
    <w:rsid w:val="005202C6"/>
    <w:rsid w:val="00523C53"/>
    <w:rsid w:val="00527B8F"/>
    <w:rsid w:val="005374E2"/>
    <w:rsid w:val="00542012"/>
    <w:rsid w:val="00543DF5"/>
    <w:rsid w:val="00550B76"/>
    <w:rsid w:val="0055260D"/>
    <w:rsid w:val="00555422"/>
    <w:rsid w:val="00555810"/>
    <w:rsid w:val="00561FB0"/>
    <w:rsid w:val="00562DCA"/>
    <w:rsid w:val="005641E1"/>
    <w:rsid w:val="0056465C"/>
    <w:rsid w:val="0056568F"/>
    <w:rsid w:val="00567CF9"/>
    <w:rsid w:val="00570C0F"/>
    <w:rsid w:val="00575DE3"/>
    <w:rsid w:val="0057610D"/>
    <w:rsid w:val="00582578"/>
    <w:rsid w:val="00584BD5"/>
    <w:rsid w:val="0058621D"/>
    <w:rsid w:val="00595287"/>
    <w:rsid w:val="005A43AB"/>
    <w:rsid w:val="005A7FA3"/>
    <w:rsid w:val="005B04A8"/>
    <w:rsid w:val="005B0E52"/>
    <w:rsid w:val="005B16FB"/>
    <w:rsid w:val="005B1FD0"/>
    <w:rsid w:val="005B28AD"/>
    <w:rsid w:val="005B328D"/>
    <w:rsid w:val="005B3503"/>
    <w:rsid w:val="005B3EE7"/>
    <w:rsid w:val="005B4DCD"/>
    <w:rsid w:val="005B4FAD"/>
    <w:rsid w:val="005C170F"/>
    <w:rsid w:val="005C4EAF"/>
    <w:rsid w:val="005C5656"/>
    <w:rsid w:val="005D380C"/>
    <w:rsid w:val="005D6E04"/>
    <w:rsid w:val="005D7A12"/>
    <w:rsid w:val="005E4C28"/>
    <w:rsid w:val="005E53EE"/>
    <w:rsid w:val="005F0542"/>
    <w:rsid w:val="005F0F72"/>
    <w:rsid w:val="005F1C1F"/>
    <w:rsid w:val="005F251C"/>
    <w:rsid w:val="005F346D"/>
    <w:rsid w:val="005F358B"/>
    <w:rsid w:val="005F38FB"/>
    <w:rsid w:val="005F5478"/>
    <w:rsid w:val="00602D3B"/>
    <w:rsid w:val="00603046"/>
    <w:rsid w:val="0060326F"/>
    <w:rsid w:val="00604038"/>
    <w:rsid w:val="00606EA1"/>
    <w:rsid w:val="006128F0"/>
    <w:rsid w:val="00613D9A"/>
    <w:rsid w:val="00614A08"/>
    <w:rsid w:val="00614B36"/>
    <w:rsid w:val="0061726B"/>
    <w:rsid w:val="00617B81"/>
    <w:rsid w:val="0062387A"/>
    <w:rsid w:val="0063377D"/>
    <w:rsid w:val="006344BE"/>
    <w:rsid w:val="00634A66"/>
    <w:rsid w:val="00640336"/>
    <w:rsid w:val="00640FC9"/>
    <w:rsid w:val="006432F2"/>
    <w:rsid w:val="0064335B"/>
    <w:rsid w:val="006437F1"/>
    <w:rsid w:val="00643F02"/>
    <w:rsid w:val="00647939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86DD4"/>
    <w:rsid w:val="00691D6A"/>
    <w:rsid w:val="006A0D03"/>
    <w:rsid w:val="006A41E9"/>
    <w:rsid w:val="006B12CB"/>
    <w:rsid w:val="006B5916"/>
    <w:rsid w:val="006C331F"/>
    <w:rsid w:val="006C3ACC"/>
    <w:rsid w:val="006C4775"/>
    <w:rsid w:val="006C4F4A"/>
    <w:rsid w:val="006C5E80"/>
    <w:rsid w:val="006C7CEE"/>
    <w:rsid w:val="006D061B"/>
    <w:rsid w:val="006D075E"/>
    <w:rsid w:val="006D1BDC"/>
    <w:rsid w:val="006D5EBB"/>
    <w:rsid w:val="006D7C6E"/>
    <w:rsid w:val="006E2F95"/>
    <w:rsid w:val="006E3304"/>
    <w:rsid w:val="006F289D"/>
    <w:rsid w:val="006F4A1A"/>
    <w:rsid w:val="00701283"/>
    <w:rsid w:val="0070152D"/>
    <w:rsid w:val="00704BE3"/>
    <w:rsid w:val="00705EAF"/>
    <w:rsid w:val="007101CC"/>
    <w:rsid w:val="00720F22"/>
    <w:rsid w:val="0072379E"/>
    <w:rsid w:val="00724E3B"/>
    <w:rsid w:val="00725EEA"/>
    <w:rsid w:val="007276B6"/>
    <w:rsid w:val="00730CE9"/>
    <w:rsid w:val="007331A0"/>
    <w:rsid w:val="0073373D"/>
    <w:rsid w:val="0074330F"/>
    <w:rsid w:val="007439DB"/>
    <w:rsid w:val="007472D0"/>
    <w:rsid w:val="007516C4"/>
    <w:rsid w:val="007562A6"/>
    <w:rsid w:val="007568D8"/>
    <w:rsid w:val="00763524"/>
    <w:rsid w:val="00765316"/>
    <w:rsid w:val="007708C8"/>
    <w:rsid w:val="007732C3"/>
    <w:rsid w:val="0077719D"/>
    <w:rsid w:val="00780A52"/>
    <w:rsid w:val="00780DF0"/>
    <w:rsid w:val="00782F0F"/>
    <w:rsid w:val="0078538F"/>
    <w:rsid w:val="00787482"/>
    <w:rsid w:val="007A286D"/>
    <w:rsid w:val="007A38DF"/>
    <w:rsid w:val="007B20CF"/>
    <w:rsid w:val="007B2499"/>
    <w:rsid w:val="007B72E1"/>
    <w:rsid w:val="007B783A"/>
    <w:rsid w:val="007C1B95"/>
    <w:rsid w:val="007C584E"/>
    <w:rsid w:val="007C6E21"/>
    <w:rsid w:val="007D0A95"/>
    <w:rsid w:val="007D73FB"/>
    <w:rsid w:val="007E2F2D"/>
    <w:rsid w:val="007F1433"/>
    <w:rsid w:val="007F1491"/>
    <w:rsid w:val="007F2F03"/>
    <w:rsid w:val="007F6FE3"/>
    <w:rsid w:val="00800FE0"/>
    <w:rsid w:val="008022C3"/>
    <w:rsid w:val="008066AD"/>
    <w:rsid w:val="0080712E"/>
    <w:rsid w:val="00810652"/>
    <w:rsid w:val="00814AF1"/>
    <w:rsid w:val="0081517F"/>
    <w:rsid w:val="00815370"/>
    <w:rsid w:val="0082153D"/>
    <w:rsid w:val="00824CBA"/>
    <w:rsid w:val="008255AA"/>
    <w:rsid w:val="00830FF3"/>
    <w:rsid w:val="008334BF"/>
    <w:rsid w:val="00836506"/>
    <w:rsid w:val="00836B8C"/>
    <w:rsid w:val="00840062"/>
    <w:rsid w:val="008410C5"/>
    <w:rsid w:val="00846C08"/>
    <w:rsid w:val="008530E7"/>
    <w:rsid w:val="00855F21"/>
    <w:rsid w:val="00856BDB"/>
    <w:rsid w:val="00857675"/>
    <w:rsid w:val="00872C48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1DF4"/>
    <w:rsid w:val="00894E3A"/>
    <w:rsid w:val="00895A2F"/>
    <w:rsid w:val="00896EBD"/>
    <w:rsid w:val="008A4E2D"/>
    <w:rsid w:val="008A5268"/>
    <w:rsid w:val="008A5665"/>
    <w:rsid w:val="008B178C"/>
    <w:rsid w:val="008B24A8"/>
    <w:rsid w:val="008B25E4"/>
    <w:rsid w:val="008B3D78"/>
    <w:rsid w:val="008C261B"/>
    <w:rsid w:val="008C4FCA"/>
    <w:rsid w:val="008C59C1"/>
    <w:rsid w:val="008C6615"/>
    <w:rsid w:val="008C7722"/>
    <w:rsid w:val="008C7882"/>
    <w:rsid w:val="008D2261"/>
    <w:rsid w:val="008D3A34"/>
    <w:rsid w:val="008D4C28"/>
    <w:rsid w:val="008D577B"/>
    <w:rsid w:val="008D7A98"/>
    <w:rsid w:val="008E17C4"/>
    <w:rsid w:val="008E45C4"/>
    <w:rsid w:val="008E64B1"/>
    <w:rsid w:val="008E64FA"/>
    <w:rsid w:val="008E74ED"/>
    <w:rsid w:val="008F0C9B"/>
    <w:rsid w:val="008F4DEF"/>
    <w:rsid w:val="008F5CFF"/>
    <w:rsid w:val="00903D0D"/>
    <w:rsid w:val="009048E1"/>
    <w:rsid w:val="0090532C"/>
    <w:rsid w:val="0090598C"/>
    <w:rsid w:val="009071BB"/>
    <w:rsid w:val="00913885"/>
    <w:rsid w:val="00922655"/>
    <w:rsid w:val="00931D41"/>
    <w:rsid w:val="00933D18"/>
    <w:rsid w:val="009410BB"/>
    <w:rsid w:val="00942221"/>
    <w:rsid w:val="009469C2"/>
    <w:rsid w:val="009477B4"/>
    <w:rsid w:val="00950FBB"/>
    <w:rsid w:val="00951118"/>
    <w:rsid w:val="0095122F"/>
    <w:rsid w:val="00953349"/>
    <w:rsid w:val="00954E0C"/>
    <w:rsid w:val="00955721"/>
    <w:rsid w:val="00961156"/>
    <w:rsid w:val="00964F03"/>
    <w:rsid w:val="009651C4"/>
    <w:rsid w:val="00966F1F"/>
    <w:rsid w:val="00970FED"/>
    <w:rsid w:val="00975676"/>
    <w:rsid w:val="00976467"/>
    <w:rsid w:val="00976D32"/>
    <w:rsid w:val="009844F7"/>
    <w:rsid w:val="00987AB1"/>
    <w:rsid w:val="00991C11"/>
    <w:rsid w:val="009938F7"/>
    <w:rsid w:val="00997EC0"/>
    <w:rsid w:val="009A05AA"/>
    <w:rsid w:val="009A2D5A"/>
    <w:rsid w:val="009A6509"/>
    <w:rsid w:val="009B2656"/>
    <w:rsid w:val="009B2C7E"/>
    <w:rsid w:val="009B6DBD"/>
    <w:rsid w:val="009C00D4"/>
    <w:rsid w:val="009C108A"/>
    <w:rsid w:val="009C1EC8"/>
    <w:rsid w:val="009C2E47"/>
    <w:rsid w:val="009C6BFB"/>
    <w:rsid w:val="009C7031"/>
    <w:rsid w:val="009D0C05"/>
    <w:rsid w:val="009E2C00"/>
    <w:rsid w:val="009E49AD"/>
    <w:rsid w:val="009E70F4"/>
    <w:rsid w:val="009E7C93"/>
    <w:rsid w:val="009F1AD2"/>
    <w:rsid w:val="00A0479E"/>
    <w:rsid w:val="00A07979"/>
    <w:rsid w:val="00A11755"/>
    <w:rsid w:val="00A207FB"/>
    <w:rsid w:val="00A24016"/>
    <w:rsid w:val="00A251B8"/>
    <w:rsid w:val="00A265BF"/>
    <w:rsid w:val="00A26F44"/>
    <w:rsid w:val="00A27F93"/>
    <w:rsid w:val="00A34FAB"/>
    <w:rsid w:val="00A4313D"/>
    <w:rsid w:val="00A432E0"/>
    <w:rsid w:val="00A50120"/>
    <w:rsid w:val="00A60351"/>
    <w:rsid w:val="00A61C6D"/>
    <w:rsid w:val="00A63015"/>
    <w:rsid w:val="00A66254"/>
    <w:rsid w:val="00A678B4"/>
    <w:rsid w:val="00A67EEA"/>
    <w:rsid w:val="00A704A3"/>
    <w:rsid w:val="00A759B1"/>
    <w:rsid w:val="00A75E23"/>
    <w:rsid w:val="00A7701E"/>
    <w:rsid w:val="00A82AA0"/>
    <w:rsid w:val="00A82F8A"/>
    <w:rsid w:val="00A835AD"/>
    <w:rsid w:val="00A84BF0"/>
    <w:rsid w:val="00A84DB6"/>
    <w:rsid w:val="00A9226B"/>
    <w:rsid w:val="00A940B3"/>
    <w:rsid w:val="00A9575C"/>
    <w:rsid w:val="00A95B56"/>
    <w:rsid w:val="00A969AF"/>
    <w:rsid w:val="00A97004"/>
    <w:rsid w:val="00AB1A2E"/>
    <w:rsid w:val="00AB328A"/>
    <w:rsid w:val="00AB4918"/>
    <w:rsid w:val="00AB4BC8"/>
    <w:rsid w:val="00AB6800"/>
    <w:rsid w:val="00AB6BA7"/>
    <w:rsid w:val="00AB7BE8"/>
    <w:rsid w:val="00AD0710"/>
    <w:rsid w:val="00AD4DB9"/>
    <w:rsid w:val="00AD63C0"/>
    <w:rsid w:val="00AE15E9"/>
    <w:rsid w:val="00AE2916"/>
    <w:rsid w:val="00AE35B2"/>
    <w:rsid w:val="00AE6373"/>
    <w:rsid w:val="00AE6AA0"/>
    <w:rsid w:val="00AF3D7B"/>
    <w:rsid w:val="00B113B9"/>
    <w:rsid w:val="00B119A2"/>
    <w:rsid w:val="00B143D7"/>
    <w:rsid w:val="00B177F2"/>
    <w:rsid w:val="00B20001"/>
    <w:rsid w:val="00B201F1"/>
    <w:rsid w:val="00B2217C"/>
    <w:rsid w:val="00B22C4E"/>
    <w:rsid w:val="00B304E7"/>
    <w:rsid w:val="00B318B6"/>
    <w:rsid w:val="00B3635D"/>
    <w:rsid w:val="00B36F29"/>
    <w:rsid w:val="00B3733E"/>
    <w:rsid w:val="00B41F47"/>
    <w:rsid w:val="00B42D83"/>
    <w:rsid w:val="00B520DB"/>
    <w:rsid w:val="00B578C2"/>
    <w:rsid w:val="00B60AC9"/>
    <w:rsid w:val="00B6531A"/>
    <w:rsid w:val="00B65C7C"/>
    <w:rsid w:val="00B66FAF"/>
    <w:rsid w:val="00B67323"/>
    <w:rsid w:val="00B715F2"/>
    <w:rsid w:val="00B7388F"/>
    <w:rsid w:val="00B74071"/>
    <w:rsid w:val="00B7428E"/>
    <w:rsid w:val="00B74B67"/>
    <w:rsid w:val="00B75C75"/>
    <w:rsid w:val="00B779AA"/>
    <w:rsid w:val="00B81C95"/>
    <w:rsid w:val="00B82330"/>
    <w:rsid w:val="00B82ED4"/>
    <w:rsid w:val="00B8424F"/>
    <w:rsid w:val="00B86843"/>
    <w:rsid w:val="00B86896"/>
    <w:rsid w:val="00B875A6"/>
    <w:rsid w:val="00B92B06"/>
    <w:rsid w:val="00B93310"/>
    <w:rsid w:val="00B93E4C"/>
    <w:rsid w:val="00B9496F"/>
    <w:rsid w:val="00B94A1B"/>
    <w:rsid w:val="00BA5C89"/>
    <w:rsid w:val="00BA7CEE"/>
    <w:rsid w:val="00BB2539"/>
    <w:rsid w:val="00BB4CE2"/>
    <w:rsid w:val="00BB5EF0"/>
    <w:rsid w:val="00BB6724"/>
    <w:rsid w:val="00BC0EFB"/>
    <w:rsid w:val="00BC2105"/>
    <w:rsid w:val="00BC2E39"/>
    <w:rsid w:val="00BD2364"/>
    <w:rsid w:val="00BD28E3"/>
    <w:rsid w:val="00BD355B"/>
    <w:rsid w:val="00BD53D0"/>
    <w:rsid w:val="00BD62EE"/>
    <w:rsid w:val="00BE117E"/>
    <w:rsid w:val="00BE3261"/>
    <w:rsid w:val="00BF00EF"/>
    <w:rsid w:val="00BF0537"/>
    <w:rsid w:val="00BF0D70"/>
    <w:rsid w:val="00BF58FC"/>
    <w:rsid w:val="00BF5ABF"/>
    <w:rsid w:val="00C01F77"/>
    <w:rsid w:val="00C01FFC"/>
    <w:rsid w:val="00C02A52"/>
    <w:rsid w:val="00C02D87"/>
    <w:rsid w:val="00C0342A"/>
    <w:rsid w:val="00C05321"/>
    <w:rsid w:val="00C06AE4"/>
    <w:rsid w:val="00C114FF"/>
    <w:rsid w:val="00C12793"/>
    <w:rsid w:val="00C14F9A"/>
    <w:rsid w:val="00C171A1"/>
    <w:rsid w:val="00C171A4"/>
    <w:rsid w:val="00C17F12"/>
    <w:rsid w:val="00C21C1A"/>
    <w:rsid w:val="00C237E9"/>
    <w:rsid w:val="00C3042F"/>
    <w:rsid w:val="00C32989"/>
    <w:rsid w:val="00C341EC"/>
    <w:rsid w:val="00C36883"/>
    <w:rsid w:val="00C37813"/>
    <w:rsid w:val="00C40928"/>
    <w:rsid w:val="00C40CFF"/>
    <w:rsid w:val="00C42697"/>
    <w:rsid w:val="00C43403"/>
    <w:rsid w:val="00C43F01"/>
    <w:rsid w:val="00C442A2"/>
    <w:rsid w:val="00C47552"/>
    <w:rsid w:val="00C53C81"/>
    <w:rsid w:val="00C56453"/>
    <w:rsid w:val="00C5751A"/>
    <w:rsid w:val="00C57A81"/>
    <w:rsid w:val="00C60193"/>
    <w:rsid w:val="00C634D4"/>
    <w:rsid w:val="00C63AA5"/>
    <w:rsid w:val="00C65071"/>
    <w:rsid w:val="00C65E2A"/>
    <w:rsid w:val="00C66726"/>
    <w:rsid w:val="00C6727C"/>
    <w:rsid w:val="00C6744C"/>
    <w:rsid w:val="00C71F63"/>
    <w:rsid w:val="00C73134"/>
    <w:rsid w:val="00C73F6D"/>
    <w:rsid w:val="00C74F6E"/>
    <w:rsid w:val="00C77FA4"/>
    <w:rsid w:val="00C77FFA"/>
    <w:rsid w:val="00C80401"/>
    <w:rsid w:val="00C81BAC"/>
    <w:rsid w:val="00C81C97"/>
    <w:rsid w:val="00C83F9B"/>
    <w:rsid w:val="00C840C2"/>
    <w:rsid w:val="00C84101"/>
    <w:rsid w:val="00C8535F"/>
    <w:rsid w:val="00C90EDA"/>
    <w:rsid w:val="00C959E7"/>
    <w:rsid w:val="00CB183A"/>
    <w:rsid w:val="00CC1E65"/>
    <w:rsid w:val="00CC2917"/>
    <w:rsid w:val="00CC567A"/>
    <w:rsid w:val="00CC7981"/>
    <w:rsid w:val="00CD110B"/>
    <w:rsid w:val="00CD305A"/>
    <w:rsid w:val="00CD4059"/>
    <w:rsid w:val="00CD4E5A"/>
    <w:rsid w:val="00CE03CE"/>
    <w:rsid w:val="00CE5298"/>
    <w:rsid w:val="00CF056D"/>
    <w:rsid w:val="00CF0DFF"/>
    <w:rsid w:val="00CF499F"/>
    <w:rsid w:val="00D015D5"/>
    <w:rsid w:val="00D028A9"/>
    <w:rsid w:val="00D0359D"/>
    <w:rsid w:val="00D04DED"/>
    <w:rsid w:val="00D1089A"/>
    <w:rsid w:val="00D116BD"/>
    <w:rsid w:val="00D17C77"/>
    <w:rsid w:val="00D2001A"/>
    <w:rsid w:val="00D20684"/>
    <w:rsid w:val="00D22259"/>
    <w:rsid w:val="00D23DAC"/>
    <w:rsid w:val="00D26B62"/>
    <w:rsid w:val="00D35149"/>
    <w:rsid w:val="00D36405"/>
    <w:rsid w:val="00D3691A"/>
    <w:rsid w:val="00D377E2"/>
    <w:rsid w:val="00D42B36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664BB"/>
    <w:rsid w:val="00D713F1"/>
    <w:rsid w:val="00D728A0"/>
    <w:rsid w:val="00D75F3D"/>
    <w:rsid w:val="00D80086"/>
    <w:rsid w:val="00D83661"/>
    <w:rsid w:val="00D97E7D"/>
    <w:rsid w:val="00DA1014"/>
    <w:rsid w:val="00DA1C19"/>
    <w:rsid w:val="00DA2CEB"/>
    <w:rsid w:val="00DA349F"/>
    <w:rsid w:val="00DB3439"/>
    <w:rsid w:val="00DB3618"/>
    <w:rsid w:val="00DB468A"/>
    <w:rsid w:val="00DC0D59"/>
    <w:rsid w:val="00DC2946"/>
    <w:rsid w:val="00DC3D9D"/>
    <w:rsid w:val="00DC550F"/>
    <w:rsid w:val="00DC64FD"/>
    <w:rsid w:val="00DD53C3"/>
    <w:rsid w:val="00DE127F"/>
    <w:rsid w:val="00DE172E"/>
    <w:rsid w:val="00DE424A"/>
    <w:rsid w:val="00DE4419"/>
    <w:rsid w:val="00DE67C4"/>
    <w:rsid w:val="00DF0ACA"/>
    <w:rsid w:val="00DF2245"/>
    <w:rsid w:val="00DF77CF"/>
    <w:rsid w:val="00E026E8"/>
    <w:rsid w:val="00E060F7"/>
    <w:rsid w:val="00E10FDE"/>
    <w:rsid w:val="00E14C47"/>
    <w:rsid w:val="00E22698"/>
    <w:rsid w:val="00E25692"/>
    <w:rsid w:val="00E25B7C"/>
    <w:rsid w:val="00E3076B"/>
    <w:rsid w:val="00E310DE"/>
    <w:rsid w:val="00E3725B"/>
    <w:rsid w:val="00E40929"/>
    <w:rsid w:val="00E40986"/>
    <w:rsid w:val="00E434D1"/>
    <w:rsid w:val="00E44090"/>
    <w:rsid w:val="00E5494A"/>
    <w:rsid w:val="00E56CBB"/>
    <w:rsid w:val="00E61950"/>
    <w:rsid w:val="00E61E51"/>
    <w:rsid w:val="00E63124"/>
    <w:rsid w:val="00E6552A"/>
    <w:rsid w:val="00E66FE0"/>
    <w:rsid w:val="00E6707D"/>
    <w:rsid w:val="00E702FB"/>
    <w:rsid w:val="00E70E7C"/>
    <w:rsid w:val="00E71313"/>
    <w:rsid w:val="00E72606"/>
    <w:rsid w:val="00E73C3E"/>
    <w:rsid w:val="00E74050"/>
    <w:rsid w:val="00E766BB"/>
    <w:rsid w:val="00E80787"/>
    <w:rsid w:val="00E82496"/>
    <w:rsid w:val="00E834CD"/>
    <w:rsid w:val="00E84E9D"/>
    <w:rsid w:val="00E8652D"/>
    <w:rsid w:val="00E86CEE"/>
    <w:rsid w:val="00E935AF"/>
    <w:rsid w:val="00E93C3B"/>
    <w:rsid w:val="00EA17F3"/>
    <w:rsid w:val="00EA33EB"/>
    <w:rsid w:val="00EA65C8"/>
    <w:rsid w:val="00EB0E20"/>
    <w:rsid w:val="00EB15C1"/>
    <w:rsid w:val="00EB1A80"/>
    <w:rsid w:val="00EB2273"/>
    <w:rsid w:val="00EB457B"/>
    <w:rsid w:val="00EC1315"/>
    <w:rsid w:val="00EC4F3A"/>
    <w:rsid w:val="00EC5E74"/>
    <w:rsid w:val="00EC7864"/>
    <w:rsid w:val="00ED1F51"/>
    <w:rsid w:val="00ED3419"/>
    <w:rsid w:val="00ED594D"/>
    <w:rsid w:val="00EE2E53"/>
    <w:rsid w:val="00EE2FF7"/>
    <w:rsid w:val="00EE36E1"/>
    <w:rsid w:val="00EE3B9B"/>
    <w:rsid w:val="00EE7AC7"/>
    <w:rsid w:val="00EE7B3F"/>
    <w:rsid w:val="00EF6ED9"/>
    <w:rsid w:val="00F0054D"/>
    <w:rsid w:val="00F02467"/>
    <w:rsid w:val="00F04D0E"/>
    <w:rsid w:val="00F12214"/>
    <w:rsid w:val="00F12565"/>
    <w:rsid w:val="00F144BE"/>
    <w:rsid w:val="00F14ACA"/>
    <w:rsid w:val="00F15D05"/>
    <w:rsid w:val="00F17A0C"/>
    <w:rsid w:val="00F17C8E"/>
    <w:rsid w:val="00F213B2"/>
    <w:rsid w:val="00F23927"/>
    <w:rsid w:val="00F2555C"/>
    <w:rsid w:val="00F26A05"/>
    <w:rsid w:val="00F307CE"/>
    <w:rsid w:val="00F30937"/>
    <w:rsid w:val="00F3378F"/>
    <w:rsid w:val="00F354C5"/>
    <w:rsid w:val="00F37108"/>
    <w:rsid w:val="00F40449"/>
    <w:rsid w:val="00F47BAA"/>
    <w:rsid w:val="00F520FE"/>
    <w:rsid w:val="00F52EAB"/>
    <w:rsid w:val="00F55073"/>
    <w:rsid w:val="00F55A04"/>
    <w:rsid w:val="00F575FD"/>
    <w:rsid w:val="00F60CC6"/>
    <w:rsid w:val="00F61A31"/>
    <w:rsid w:val="00F67A2D"/>
    <w:rsid w:val="00F70001"/>
    <w:rsid w:val="00F70A1B"/>
    <w:rsid w:val="00F72FDF"/>
    <w:rsid w:val="00F74283"/>
    <w:rsid w:val="00F75960"/>
    <w:rsid w:val="00F773EB"/>
    <w:rsid w:val="00F804D1"/>
    <w:rsid w:val="00F81C0F"/>
    <w:rsid w:val="00F82526"/>
    <w:rsid w:val="00F84672"/>
    <w:rsid w:val="00F84802"/>
    <w:rsid w:val="00F90CA6"/>
    <w:rsid w:val="00F950DD"/>
    <w:rsid w:val="00F95A8C"/>
    <w:rsid w:val="00F96C22"/>
    <w:rsid w:val="00FA06FD"/>
    <w:rsid w:val="00FA510E"/>
    <w:rsid w:val="00FA515B"/>
    <w:rsid w:val="00FA6B90"/>
    <w:rsid w:val="00FA74CB"/>
    <w:rsid w:val="00FB207A"/>
    <w:rsid w:val="00FB2886"/>
    <w:rsid w:val="00FB466E"/>
    <w:rsid w:val="00FC3EEF"/>
    <w:rsid w:val="00FC5E1C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1BAE"/>
    <w:rsid w:val="00FE5382"/>
    <w:rsid w:val="00FE72DA"/>
    <w:rsid w:val="00FF18D2"/>
    <w:rsid w:val="00FF22F5"/>
    <w:rsid w:val="00FF4664"/>
    <w:rsid w:val="00FF68E7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5C7A7"/>
  <w15:docId w15:val="{39E53C6E-E668-4391-B153-2166D9B4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val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8022C3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IE" w:eastAsia="en-IE"/>
    </w:rPr>
  </w:style>
  <w:style w:type="paragraph" w:customStyle="1" w:styleId="Style4">
    <w:name w:val="Style4"/>
    <w:basedOn w:val="Normln"/>
    <w:qFormat/>
    <w:rsid w:val="00603046"/>
    <w:rPr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kvb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7b6213-8d2c-4467-bc69-40117c0f8825" xsi:nil="true"/>
    <lcf76f155ced4ddcb4097134ff3c332f xmlns="f77fd003-8bbc-4669-b915-5700cadb1a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ABBADDEF8EA4E8F91FF6594953F61" ma:contentTypeVersion="18" ma:contentTypeDescription="Create a new document." ma:contentTypeScope="" ma:versionID="1a1941088d04add76db107fb90e26a10">
  <xsd:schema xmlns:xsd="http://www.w3.org/2001/XMLSchema" xmlns:xs="http://www.w3.org/2001/XMLSchema" xmlns:p="http://schemas.microsoft.com/office/2006/metadata/properties" xmlns:ns2="567b6213-8d2c-4467-bc69-40117c0f8825" xmlns:ns3="f77fd003-8bbc-4669-b915-5700cadb1a78" targetNamespace="http://schemas.microsoft.com/office/2006/metadata/properties" ma:root="true" ma:fieldsID="bb5c2a4d3b258c908d06b3af5886841b" ns2:_="" ns3:_="">
    <xsd:import namespace="567b6213-8d2c-4467-bc69-40117c0f8825"/>
    <xsd:import namespace="f77fd003-8bbc-4669-b915-5700cadb1a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6213-8d2c-4467-bc69-40117c0f88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8552e0-3c53-4f77-b661-77216c383b58}" ma:internalName="TaxCatchAll" ma:showField="CatchAllData" ma:web="567b6213-8d2c-4467-bc69-40117c0f8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d003-8bbc-4669-b915-5700cadb1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60ec51-4793-45c8-add1-dcbd54edd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7543-C330-45FB-BCAD-DCFAF6852D01}">
  <ds:schemaRefs>
    <ds:schemaRef ds:uri="http://schemas.microsoft.com/office/2006/metadata/properties"/>
    <ds:schemaRef ds:uri="http://schemas.microsoft.com/office/infopath/2007/PartnerControls"/>
    <ds:schemaRef ds:uri="567b6213-8d2c-4467-bc69-40117c0f8825"/>
    <ds:schemaRef ds:uri="f77fd003-8bbc-4669-b915-5700cadb1a78"/>
  </ds:schemaRefs>
</ds:datastoreItem>
</file>

<file path=customXml/itemProps2.xml><?xml version="1.0" encoding="utf-8"?>
<ds:datastoreItem xmlns:ds="http://schemas.openxmlformats.org/officeDocument/2006/customXml" ds:itemID="{7A869B00-F78A-460C-9516-AC1AA8977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77252-5854-436C-9733-BB453FAAF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b6213-8d2c-4467-bc69-40117c0f8825"/>
    <ds:schemaRef ds:uri="f77fd003-8bbc-4669-b915-5700cadb1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787F5-9BEA-4BE0-89DF-3748BCD8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1393</Words>
  <Characters>8219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QRD veterinary product-information (English) version 9 - highlighted corr</vt:lpstr>
      <vt:lpstr>QRD veterinary product-information (English) version 9 - highlighted corr</vt:lpstr>
    </vt:vector>
  </TitlesOfParts>
  <Company>EMEA</Company>
  <LinksUpToDate>false</LinksUpToDate>
  <CharactersWithSpaces>9593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veterinary product-information (English) version 9 - highlighted corr</dc:title>
  <dc:subject>General-EMA/201224/2010</dc:subject>
  <dc:creator>Prizzi Monica</dc:creator>
  <cp:lastModifiedBy>Neugebauerová Kateřina</cp:lastModifiedBy>
  <cp:revision>22</cp:revision>
  <cp:lastPrinted>2022-10-27T12:23:00Z</cp:lastPrinted>
  <dcterms:created xsi:type="dcterms:W3CDTF">2024-10-30T09:38:00Z</dcterms:created>
  <dcterms:modified xsi:type="dcterms:W3CDTF">2025-01-22T13:13:00Z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23/03/2022 10:49:49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EMA/404546/2021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EMA/404546/2021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23/03/2022 10:49:49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23/03/2022 10:49:49</vt:lpwstr>
  </property>
  <property fmtid="{D5CDD505-2E9C-101B-9397-08002B2CF9AE}" pid="36" name="DM_Name">
    <vt:lpwstr>QRD veterinary product-information (English) version 9 - highlighted corr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Enabled">
    <vt:lpwstr>true</vt:lpwstr>
  </property>
  <property fmtid="{D5CDD505-2E9C-101B-9397-08002B2CF9AE}" pid="67" name="MSIP_Label_0eea11ca-d417-4147-80ed-01a58412c458_SetDate">
    <vt:lpwstr>2022-03-23T10:26:34Z</vt:lpwstr>
  </property>
  <property fmtid="{D5CDD505-2E9C-101B-9397-08002B2CF9AE}" pid="68" name="MSIP_Label_0eea11ca-d417-4147-80ed-01a58412c458_Method">
    <vt:lpwstr>Standard</vt:lpwstr>
  </property>
  <property fmtid="{D5CDD505-2E9C-101B-9397-08002B2CF9AE}" pid="69" name="MSIP_Label_0eea11ca-d417-4147-80ed-01a58412c458_Name">
    <vt:lpwstr>0eea11ca-d417-4147-80ed-01a58412c458</vt:lpwstr>
  </property>
  <property fmtid="{D5CDD505-2E9C-101B-9397-08002B2CF9AE}" pid="70" name="MSIP_Label_0eea11ca-d417-4147-80ed-01a58412c458_SiteId">
    <vt:lpwstr>bc9dc15c-61bc-4f03-b60b-e5b6d8922839</vt:lpwstr>
  </property>
  <property fmtid="{D5CDD505-2E9C-101B-9397-08002B2CF9AE}" pid="71" name="MSIP_Label_0eea11ca-d417-4147-80ed-01a58412c458_ActionId">
    <vt:lpwstr>8ee56ad8-ab77-447a-8a14-646b4460e27e</vt:lpwstr>
  </property>
  <property fmtid="{D5CDD505-2E9C-101B-9397-08002B2CF9AE}" pid="72" name="MSIP_Label_0eea11ca-d417-4147-80ed-01a58412c458_ContentBits">
    <vt:lpwstr>2</vt:lpwstr>
  </property>
  <property fmtid="{D5CDD505-2E9C-101B-9397-08002B2CF9AE}" pid="73" name="ContentTypeId">
    <vt:lpwstr>0x010100C9BABBADDEF8EA4E8F91FF6594953F61</vt:lpwstr>
  </property>
</Properties>
</file>