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E0C" w:rsidRPr="007D7AD4" w:rsidRDefault="00AE5E0C" w:rsidP="00AE5E0C">
      <w:pPr>
        <w:rPr>
          <w:b/>
          <w:lang w:val="cs-CZ"/>
        </w:rPr>
      </w:pPr>
    </w:p>
    <w:p w:rsidR="00AE5E0C" w:rsidRPr="007D7AD4" w:rsidRDefault="00AE5E0C" w:rsidP="00AE5E0C">
      <w:pPr>
        <w:jc w:val="center"/>
        <w:rPr>
          <w:b/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:rsidR="009F7587" w:rsidRPr="007D7AD4" w:rsidRDefault="009F7587" w:rsidP="009F7587">
      <w:pPr>
        <w:ind w:right="113"/>
        <w:jc w:val="center"/>
        <w:rPr>
          <w:lang w:val="cs-CZ"/>
        </w:rPr>
      </w:pPr>
      <w:r w:rsidRPr="007D7AD4">
        <w:rPr>
          <w:b/>
          <w:lang w:val="cs-CZ"/>
        </w:rPr>
        <w:t>B. PŘÍBALOVÁ INFORMACE</w:t>
      </w:r>
    </w:p>
    <w:p w:rsidR="00AE5E0C" w:rsidRPr="007D7AD4" w:rsidRDefault="00AE5E0C" w:rsidP="00AE5E0C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  <w:r w:rsidRPr="007D7AD4">
        <w:rPr>
          <w:lang w:val="cs-CZ"/>
        </w:rPr>
        <w:br w:type="page"/>
      </w:r>
      <w:r w:rsidR="009F7587" w:rsidRPr="007D7AD4">
        <w:rPr>
          <w:b/>
          <w:lang w:val="cs-CZ"/>
        </w:rPr>
        <w:lastRenderedPageBreak/>
        <w:t>PŘÍBALOVÁ INFORMACE</w:t>
      </w:r>
    </w:p>
    <w:p w:rsidR="00AE5E0C" w:rsidRPr="007D7AD4" w:rsidRDefault="00AE5E0C" w:rsidP="00AE5E0C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:rsidR="00AE5E0C" w:rsidRPr="007D7AD4" w:rsidRDefault="00AE5E0C" w:rsidP="00AE5E0C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:rsidR="00AE5E0C" w:rsidRPr="007D7AD4" w:rsidRDefault="009F7587" w:rsidP="00AE5E0C">
      <w:pPr>
        <w:tabs>
          <w:tab w:val="clear" w:pos="567"/>
        </w:tabs>
        <w:spacing w:line="240" w:lineRule="auto"/>
        <w:ind w:left="567" w:hanging="567"/>
        <w:jc w:val="center"/>
        <w:rPr>
          <w:b/>
          <w:sz w:val="28"/>
          <w:lang w:val="cs-CZ"/>
        </w:rPr>
      </w:pPr>
      <w:r w:rsidRPr="007D7AD4">
        <w:rPr>
          <w:b/>
          <w:sz w:val="28"/>
          <w:lang w:val="cs-CZ" w:eastAsia="ja-JP"/>
        </w:rPr>
        <w:t xml:space="preserve">PHENOLEPTIL </w:t>
      </w:r>
      <w:r w:rsidR="00AA3BDE">
        <w:rPr>
          <w:b/>
          <w:sz w:val="28"/>
          <w:lang w:val="cs-CZ" w:eastAsia="ja-JP"/>
        </w:rPr>
        <w:t>100</w:t>
      </w:r>
      <w:r w:rsidR="00AE5E0C" w:rsidRPr="007D7AD4">
        <w:rPr>
          <w:b/>
          <w:sz w:val="28"/>
          <w:lang w:val="cs-CZ" w:eastAsia="ja-JP"/>
        </w:rPr>
        <w:t xml:space="preserve"> mg </w:t>
      </w:r>
      <w:r w:rsidRPr="007D7AD4">
        <w:rPr>
          <w:b/>
          <w:sz w:val="28"/>
          <w:lang w:val="cs-CZ" w:eastAsia="ja-JP"/>
        </w:rPr>
        <w:t>t</w:t>
      </w:r>
      <w:r w:rsidR="00AE5E0C" w:rsidRPr="007D7AD4">
        <w:rPr>
          <w:b/>
          <w:sz w:val="28"/>
          <w:lang w:val="cs-CZ" w:eastAsia="ja-JP"/>
        </w:rPr>
        <w:t>ablet</w:t>
      </w:r>
      <w:r w:rsidRPr="007D7AD4">
        <w:rPr>
          <w:b/>
          <w:sz w:val="28"/>
          <w:lang w:val="cs-CZ" w:eastAsia="ja-JP"/>
        </w:rPr>
        <w:t>y pro psy</w:t>
      </w:r>
    </w:p>
    <w:p w:rsidR="00AE5E0C" w:rsidRPr="007D7AD4" w:rsidRDefault="00AE5E0C" w:rsidP="00AE5E0C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:rsidR="00AE5E0C" w:rsidRPr="007D7AD4" w:rsidRDefault="00AE5E0C" w:rsidP="00D27A17">
      <w:pPr>
        <w:spacing w:line="240" w:lineRule="auto"/>
        <w:ind w:left="567" w:hanging="567"/>
        <w:jc w:val="both"/>
        <w:rPr>
          <w:b/>
          <w:lang w:val="cs-CZ"/>
        </w:rPr>
      </w:pPr>
      <w:r w:rsidRPr="007D7AD4">
        <w:rPr>
          <w:b/>
          <w:lang w:val="cs-CZ"/>
        </w:rPr>
        <w:t>1.</w:t>
      </w:r>
      <w:r w:rsidRPr="007D7AD4">
        <w:rPr>
          <w:b/>
          <w:lang w:val="cs-CZ"/>
        </w:rPr>
        <w:tab/>
      </w:r>
      <w:r w:rsidR="009F7587" w:rsidRPr="007D7AD4">
        <w:rPr>
          <w:b/>
          <w:lang w:val="cs-CZ"/>
        </w:rPr>
        <w:t>JMÉNO A ADRESA DRŽITELE ROZHODNUTÍ O REGISTRACI A DRŽITELE POVOLENÍ K VÝROBĚ ODPOVĚDNÉHO ZA UVOLNĚNÍ ŠARŽE, POKUD SE NESHODUJE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AE5E0C" w:rsidRPr="007D7AD4" w:rsidRDefault="009F7587" w:rsidP="00D27A17">
      <w:pPr>
        <w:tabs>
          <w:tab w:val="clear" w:pos="567"/>
        </w:tabs>
        <w:spacing w:line="240" w:lineRule="auto"/>
        <w:jc w:val="both"/>
        <w:rPr>
          <w:iCs/>
          <w:lang w:val="cs-CZ"/>
        </w:rPr>
      </w:pPr>
      <w:r w:rsidRPr="007D7AD4">
        <w:rPr>
          <w:iCs/>
          <w:u w:val="single"/>
          <w:lang w:val="cs-CZ"/>
        </w:rPr>
        <w:t>Držitel rozhodnutí o registraci</w:t>
      </w:r>
      <w:r w:rsidR="00AE5E0C" w:rsidRPr="007D7AD4">
        <w:rPr>
          <w:iCs/>
          <w:lang w:val="cs-CZ"/>
        </w:rPr>
        <w:t>:</w:t>
      </w:r>
    </w:p>
    <w:p w:rsidR="00AE5E0C" w:rsidRPr="007D7AD4" w:rsidRDefault="009F7587" w:rsidP="00D27A17">
      <w:pPr>
        <w:tabs>
          <w:tab w:val="left" w:pos="1134"/>
          <w:tab w:val="left" w:pos="4536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>Jméno:</w:t>
      </w:r>
      <w:r w:rsidRPr="007D7AD4">
        <w:rPr>
          <w:lang w:val="cs-CZ"/>
        </w:rPr>
        <w:tab/>
      </w:r>
      <w:proofErr w:type="spellStart"/>
      <w:r w:rsidRPr="007D7AD4">
        <w:rPr>
          <w:lang w:val="cs-CZ"/>
        </w:rPr>
        <w:t>Le</w:t>
      </w:r>
      <w:proofErr w:type="spellEnd"/>
      <w:r w:rsidRPr="007D7AD4">
        <w:rPr>
          <w:lang w:val="cs-CZ"/>
        </w:rPr>
        <w:t xml:space="preserve"> Vet B.V.</w:t>
      </w:r>
    </w:p>
    <w:p w:rsidR="00AE5E0C" w:rsidRPr="007D7AD4" w:rsidRDefault="00AE5E0C" w:rsidP="00D27A17">
      <w:pPr>
        <w:tabs>
          <w:tab w:val="clear" w:pos="567"/>
          <w:tab w:val="left" w:pos="1134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>Adres</w:t>
      </w:r>
      <w:r w:rsidR="009F7587" w:rsidRPr="007D7AD4">
        <w:rPr>
          <w:lang w:val="cs-CZ"/>
        </w:rPr>
        <w:t>a:</w:t>
      </w:r>
      <w:r w:rsidR="009F7587" w:rsidRPr="007D7AD4">
        <w:rPr>
          <w:lang w:val="cs-CZ"/>
        </w:rPr>
        <w:tab/>
      </w:r>
      <w:proofErr w:type="spellStart"/>
      <w:r w:rsidR="009F7587" w:rsidRPr="007D7AD4">
        <w:rPr>
          <w:lang w:val="cs-CZ"/>
        </w:rPr>
        <w:t>Wilgenweg</w:t>
      </w:r>
      <w:proofErr w:type="spellEnd"/>
      <w:r w:rsidR="009F7587" w:rsidRPr="007D7AD4">
        <w:rPr>
          <w:lang w:val="cs-CZ"/>
        </w:rPr>
        <w:t xml:space="preserve"> 7</w:t>
      </w:r>
    </w:p>
    <w:p w:rsidR="00AE5E0C" w:rsidRPr="007D7AD4" w:rsidRDefault="009F7587" w:rsidP="00D27A17">
      <w:pPr>
        <w:tabs>
          <w:tab w:val="clear" w:pos="567"/>
          <w:tab w:val="left" w:pos="1134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ab/>
        <w:t xml:space="preserve">3421 TV </w:t>
      </w:r>
      <w:proofErr w:type="spellStart"/>
      <w:r w:rsidRPr="007D7AD4">
        <w:rPr>
          <w:lang w:val="cs-CZ"/>
        </w:rPr>
        <w:t>Oudewater</w:t>
      </w:r>
      <w:proofErr w:type="spellEnd"/>
    </w:p>
    <w:p w:rsidR="00AE5E0C" w:rsidRPr="007D7AD4" w:rsidRDefault="00AE5E0C" w:rsidP="00D27A17">
      <w:pPr>
        <w:tabs>
          <w:tab w:val="clear" w:pos="567"/>
          <w:tab w:val="left" w:pos="1134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ab/>
      </w:r>
      <w:r w:rsidR="004D1BA3">
        <w:rPr>
          <w:lang w:val="cs-CZ"/>
        </w:rPr>
        <w:t>Nizozemsko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AE5E0C" w:rsidRPr="00C744A6" w:rsidRDefault="009F7587" w:rsidP="00D27A17">
      <w:pPr>
        <w:tabs>
          <w:tab w:val="clear" w:pos="567"/>
        </w:tabs>
        <w:spacing w:line="240" w:lineRule="auto"/>
        <w:jc w:val="both"/>
        <w:rPr>
          <w:bCs/>
          <w:szCs w:val="22"/>
          <w:u w:val="single"/>
          <w:lang w:val="cs-CZ"/>
        </w:rPr>
      </w:pPr>
      <w:r w:rsidRPr="00C744A6">
        <w:rPr>
          <w:bCs/>
          <w:szCs w:val="22"/>
          <w:u w:val="single"/>
          <w:lang w:val="cs-CZ"/>
        </w:rPr>
        <w:t>Výrobce odpovědný za uvolnění šarže</w:t>
      </w:r>
      <w:r w:rsidR="00AE5E0C" w:rsidRPr="00C744A6">
        <w:rPr>
          <w:bCs/>
          <w:szCs w:val="22"/>
          <w:lang w:val="cs-CZ"/>
        </w:rPr>
        <w:t>:</w:t>
      </w:r>
    </w:p>
    <w:p w:rsidR="00AE5E0C" w:rsidRPr="00C744A6" w:rsidRDefault="009F7587" w:rsidP="00D27A17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744A6">
        <w:rPr>
          <w:szCs w:val="22"/>
          <w:lang w:val="cs-CZ"/>
        </w:rPr>
        <w:t>Jméno</w:t>
      </w:r>
      <w:r w:rsidR="00AE5E0C" w:rsidRPr="00C744A6">
        <w:rPr>
          <w:szCs w:val="22"/>
          <w:lang w:val="cs-CZ"/>
        </w:rPr>
        <w:t>:</w:t>
      </w:r>
      <w:r w:rsidR="00AE5E0C" w:rsidRPr="00C744A6">
        <w:rPr>
          <w:szCs w:val="22"/>
          <w:lang w:val="cs-CZ"/>
        </w:rPr>
        <w:tab/>
      </w:r>
      <w:proofErr w:type="spellStart"/>
      <w:r w:rsidR="00C744A6" w:rsidRPr="00C744A6">
        <w:rPr>
          <w:szCs w:val="22"/>
          <w:lang w:val="cs-CZ"/>
        </w:rPr>
        <w:t>Lelypharma</w:t>
      </w:r>
      <w:proofErr w:type="spellEnd"/>
      <w:r w:rsidR="0074259F">
        <w:rPr>
          <w:szCs w:val="22"/>
          <w:lang w:val="cs-CZ"/>
        </w:rPr>
        <w:t xml:space="preserve"> </w:t>
      </w:r>
      <w:r w:rsidR="00AE5E0C" w:rsidRPr="00C744A6">
        <w:rPr>
          <w:szCs w:val="22"/>
          <w:lang w:val="cs-CZ"/>
        </w:rPr>
        <w:t>B.V.</w:t>
      </w:r>
    </w:p>
    <w:p w:rsidR="00257B8D" w:rsidRDefault="00AE5E0C" w:rsidP="00C744A6">
      <w:pPr>
        <w:tabs>
          <w:tab w:val="clear" w:pos="567"/>
        </w:tabs>
        <w:spacing w:line="240" w:lineRule="auto"/>
        <w:jc w:val="both"/>
        <w:rPr>
          <w:szCs w:val="22"/>
          <w:lang w:val="nl-NL"/>
        </w:rPr>
      </w:pPr>
      <w:r w:rsidRPr="00C744A6">
        <w:rPr>
          <w:szCs w:val="22"/>
          <w:lang w:val="cs-CZ"/>
        </w:rPr>
        <w:t>Adres</w:t>
      </w:r>
      <w:r w:rsidR="009F7587" w:rsidRPr="00C744A6">
        <w:rPr>
          <w:szCs w:val="22"/>
          <w:lang w:val="cs-CZ"/>
        </w:rPr>
        <w:t>a</w:t>
      </w:r>
      <w:r w:rsidRPr="00C744A6">
        <w:rPr>
          <w:szCs w:val="22"/>
          <w:lang w:val="cs-CZ"/>
        </w:rPr>
        <w:t>:</w:t>
      </w:r>
      <w:r w:rsidRPr="00C744A6">
        <w:rPr>
          <w:szCs w:val="22"/>
          <w:lang w:val="cs-CZ"/>
        </w:rPr>
        <w:tab/>
      </w:r>
      <w:r w:rsidR="00C744A6" w:rsidRPr="00C744A6">
        <w:rPr>
          <w:szCs w:val="22"/>
          <w:lang w:val="nl-NL"/>
        </w:rPr>
        <w:t>Zuiveringweg 42</w:t>
      </w:r>
    </w:p>
    <w:p w:rsidR="00C744A6" w:rsidRDefault="00C744A6" w:rsidP="00257B8D">
      <w:pPr>
        <w:tabs>
          <w:tab w:val="clear" w:pos="567"/>
        </w:tabs>
        <w:spacing w:line="240" w:lineRule="auto"/>
        <w:ind w:left="567" w:firstLine="567"/>
        <w:jc w:val="both"/>
        <w:rPr>
          <w:szCs w:val="22"/>
          <w:lang w:val="nl-NL"/>
        </w:rPr>
      </w:pPr>
      <w:r w:rsidRPr="00C744A6">
        <w:rPr>
          <w:szCs w:val="22"/>
          <w:lang w:val="nl-NL"/>
        </w:rPr>
        <w:t xml:space="preserve">8243 PZ Lelystad </w:t>
      </w:r>
    </w:p>
    <w:p w:rsidR="00AE5E0C" w:rsidRDefault="004D1BA3" w:rsidP="00C744A6">
      <w:pPr>
        <w:tabs>
          <w:tab w:val="clear" w:pos="567"/>
        </w:tabs>
        <w:spacing w:line="240" w:lineRule="auto"/>
        <w:ind w:left="1134"/>
        <w:jc w:val="both"/>
        <w:rPr>
          <w:szCs w:val="22"/>
          <w:lang w:val="cs-CZ"/>
        </w:rPr>
      </w:pPr>
      <w:r w:rsidRPr="00C744A6">
        <w:rPr>
          <w:szCs w:val="22"/>
          <w:lang w:val="cs-CZ"/>
        </w:rPr>
        <w:t>Nizozemsko</w:t>
      </w:r>
    </w:p>
    <w:p w:rsidR="00F16EE2" w:rsidRDefault="00F16EE2" w:rsidP="00C744A6">
      <w:pPr>
        <w:tabs>
          <w:tab w:val="clear" w:pos="567"/>
        </w:tabs>
        <w:spacing w:line="240" w:lineRule="auto"/>
        <w:ind w:left="1134"/>
        <w:jc w:val="both"/>
        <w:rPr>
          <w:szCs w:val="22"/>
          <w:lang w:val="cs-CZ"/>
        </w:rPr>
      </w:pPr>
    </w:p>
    <w:p w:rsidR="00F16EE2" w:rsidRPr="00CD69C9" w:rsidRDefault="00F16EE2" w:rsidP="00F16EE2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6665F5">
        <w:rPr>
          <w:lang w:val="cs-CZ"/>
        </w:rPr>
        <w:t>Jméno:</w:t>
      </w:r>
      <w:r w:rsidRPr="006665F5">
        <w:rPr>
          <w:lang w:val="cs-CZ"/>
        </w:rPr>
        <w:tab/>
      </w:r>
      <w:proofErr w:type="spellStart"/>
      <w:r w:rsidRPr="00E60409">
        <w:rPr>
          <w:lang w:val="cs-CZ"/>
        </w:rPr>
        <w:t>Genera</w:t>
      </w:r>
      <w:proofErr w:type="spellEnd"/>
      <w:r w:rsidRPr="00E60409">
        <w:rPr>
          <w:lang w:val="cs-CZ"/>
        </w:rPr>
        <w:t xml:space="preserve"> Inc.</w:t>
      </w:r>
    </w:p>
    <w:p w:rsidR="00F16EE2" w:rsidRPr="00E60409" w:rsidRDefault="00F16EE2" w:rsidP="00F16EE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21285">
        <w:rPr>
          <w:lang w:val="cs-CZ"/>
        </w:rPr>
        <w:t>Adresa:</w:t>
      </w:r>
      <w:r w:rsidRPr="00C21285">
        <w:rPr>
          <w:lang w:val="cs-CZ"/>
        </w:rPr>
        <w:tab/>
      </w:r>
      <w:proofErr w:type="spellStart"/>
      <w:r w:rsidRPr="00E60409">
        <w:rPr>
          <w:szCs w:val="22"/>
          <w:lang w:val="cs-CZ"/>
        </w:rPr>
        <w:t>Svetonedeljska</w:t>
      </w:r>
      <w:proofErr w:type="spellEnd"/>
      <w:r w:rsidRPr="00E60409">
        <w:rPr>
          <w:szCs w:val="22"/>
          <w:lang w:val="cs-CZ"/>
        </w:rPr>
        <w:t xml:space="preserve"> cesta 2</w:t>
      </w:r>
      <w:r>
        <w:rPr>
          <w:szCs w:val="22"/>
          <w:lang w:val="cs-CZ"/>
        </w:rPr>
        <w:t xml:space="preserve">, </w:t>
      </w:r>
      <w:proofErr w:type="spellStart"/>
      <w:r w:rsidRPr="00E60409">
        <w:rPr>
          <w:szCs w:val="22"/>
          <w:lang w:val="cs-CZ"/>
        </w:rPr>
        <w:t>Kalinovica</w:t>
      </w:r>
      <w:proofErr w:type="spellEnd"/>
    </w:p>
    <w:p w:rsidR="00F16EE2" w:rsidRPr="00E60409" w:rsidRDefault="00F16EE2" w:rsidP="00F16EE2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E60409">
        <w:rPr>
          <w:szCs w:val="22"/>
          <w:lang w:val="cs-CZ"/>
        </w:rPr>
        <w:tab/>
      </w:r>
      <w:r>
        <w:rPr>
          <w:szCs w:val="22"/>
          <w:lang w:val="cs-CZ"/>
        </w:rPr>
        <w:tab/>
      </w:r>
      <w:r w:rsidRPr="00E60409">
        <w:rPr>
          <w:szCs w:val="22"/>
          <w:lang w:val="cs-CZ"/>
        </w:rPr>
        <w:t>10436 Rakov Potok</w:t>
      </w:r>
    </w:p>
    <w:p w:rsidR="00F16EE2" w:rsidRDefault="00F16EE2" w:rsidP="00F16EE2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E60409">
        <w:rPr>
          <w:szCs w:val="22"/>
          <w:lang w:val="cs-CZ"/>
        </w:rPr>
        <w:tab/>
      </w:r>
      <w:r>
        <w:rPr>
          <w:szCs w:val="22"/>
          <w:lang w:val="cs-CZ"/>
        </w:rPr>
        <w:tab/>
      </w:r>
      <w:r w:rsidRPr="00E60409">
        <w:rPr>
          <w:szCs w:val="22"/>
          <w:lang w:val="cs-CZ"/>
        </w:rPr>
        <w:t>Chorvatsko</w:t>
      </w:r>
    </w:p>
    <w:p w:rsidR="00F16EE2" w:rsidRDefault="00F16EE2" w:rsidP="00F16EE2">
      <w:pPr>
        <w:tabs>
          <w:tab w:val="clear" w:pos="567"/>
        </w:tabs>
        <w:spacing w:line="240" w:lineRule="auto"/>
        <w:ind w:left="567" w:firstLine="567"/>
        <w:jc w:val="both"/>
        <w:rPr>
          <w:lang w:val="cs-CZ"/>
        </w:rPr>
      </w:pPr>
    </w:p>
    <w:p w:rsidR="00F16EE2" w:rsidRPr="00C744A6" w:rsidRDefault="00F16EE2" w:rsidP="00CA359E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4F0954">
        <w:rPr>
          <w:szCs w:val="22"/>
          <w:highlight w:val="lightGray"/>
          <w:lang w:val="cs-CZ"/>
        </w:rPr>
        <w:t>V příbalové informaci bude uvedeno pouze místo testování a uvolnění šarží.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ind w:left="567" w:hanging="567"/>
        <w:jc w:val="both"/>
        <w:rPr>
          <w:lang w:val="cs-CZ"/>
        </w:rPr>
      </w:pPr>
    </w:p>
    <w:p w:rsidR="00AE5E0C" w:rsidRPr="007D7AD4" w:rsidRDefault="00AE5E0C" w:rsidP="00D27A17">
      <w:pPr>
        <w:spacing w:line="240" w:lineRule="auto"/>
        <w:ind w:left="567" w:hanging="567"/>
        <w:jc w:val="both"/>
        <w:rPr>
          <w:lang w:val="cs-CZ"/>
        </w:rPr>
      </w:pPr>
      <w:r w:rsidRPr="007D7AD4">
        <w:rPr>
          <w:b/>
          <w:lang w:val="cs-CZ"/>
        </w:rPr>
        <w:t>2.</w:t>
      </w:r>
      <w:r w:rsidRPr="007D7AD4">
        <w:rPr>
          <w:b/>
          <w:lang w:val="cs-CZ"/>
        </w:rPr>
        <w:tab/>
      </w:r>
      <w:r w:rsidR="009F7587" w:rsidRPr="007D7AD4">
        <w:rPr>
          <w:b/>
          <w:lang w:val="cs-CZ"/>
        </w:rPr>
        <w:t>NÁZEV VETERINÁRNÍHO LÉČIVÉHO PŘÍPRAVKU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AE5E0C" w:rsidRPr="007D7AD4" w:rsidRDefault="009F7587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proofErr w:type="spellStart"/>
      <w:r w:rsidRPr="007D7AD4">
        <w:rPr>
          <w:lang w:val="cs-CZ"/>
        </w:rPr>
        <w:t>Phenoleptil</w:t>
      </w:r>
      <w:proofErr w:type="spellEnd"/>
      <w:r w:rsidRPr="007D7AD4">
        <w:rPr>
          <w:lang w:val="cs-CZ"/>
        </w:rPr>
        <w:t xml:space="preserve"> </w:t>
      </w:r>
      <w:r w:rsidR="00AA3BDE">
        <w:rPr>
          <w:lang w:val="cs-CZ"/>
        </w:rPr>
        <w:t>100</w:t>
      </w:r>
      <w:r w:rsidR="00AE5E0C" w:rsidRPr="007D7AD4">
        <w:rPr>
          <w:lang w:val="cs-CZ"/>
        </w:rPr>
        <w:t xml:space="preserve"> mg </w:t>
      </w:r>
      <w:r w:rsidRPr="007D7AD4">
        <w:rPr>
          <w:lang w:val="cs-CZ"/>
        </w:rPr>
        <w:t>tablety pro psy</w:t>
      </w:r>
    </w:p>
    <w:p w:rsidR="006D1F71" w:rsidRPr="000359C3" w:rsidRDefault="006D1F71" w:rsidP="00D27A17">
      <w:pPr>
        <w:tabs>
          <w:tab w:val="clear" w:pos="567"/>
        </w:tabs>
        <w:spacing w:line="240" w:lineRule="auto"/>
        <w:jc w:val="both"/>
        <w:rPr>
          <w:lang w:val="sk-SK"/>
        </w:rPr>
      </w:pPr>
      <w:proofErr w:type="spellStart"/>
      <w:r>
        <w:rPr>
          <w:lang w:val="sk-SK"/>
        </w:rPr>
        <w:t>Phenobarbitalum</w:t>
      </w:r>
      <w:proofErr w:type="spellEnd"/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AE5E0C" w:rsidRPr="007D7AD4" w:rsidRDefault="00AE5E0C" w:rsidP="00D27A17">
      <w:pPr>
        <w:spacing w:line="240" w:lineRule="auto"/>
        <w:ind w:left="567" w:hanging="567"/>
        <w:jc w:val="both"/>
        <w:rPr>
          <w:b/>
          <w:lang w:val="cs-CZ"/>
        </w:rPr>
      </w:pPr>
      <w:r w:rsidRPr="007D7AD4">
        <w:rPr>
          <w:b/>
          <w:lang w:val="cs-CZ"/>
        </w:rPr>
        <w:t>3.</w:t>
      </w:r>
      <w:r w:rsidRPr="007D7AD4">
        <w:rPr>
          <w:b/>
          <w:lang w:val="cs-CZ"/>
        </w:rPr>
        <w:tab/>
      </w:r>
      <w:r w:rsidR="009F7587" w:rsidRPr="007D7AD4">
        <w:rPr>
          <w:b/>
          <w:lang w:val="cs-CZ"/>
        </w:rPr>
        <w:t>OBSAH LÉČIVÝCH A OSTATNÍCH LÁTEK</w:t>
      </w:r>
    </w:p>
    <w:p w:rsidR="00AE5E0C" w:rsidRPr="007D7AD4" w:rsidRDefault="00AE5E0C" w:rsidP="00D27A17">
      <w:pPr>
        <w:widowControl w:val="0"/>
        <w:tabs>
          <w:tab w:val="clear" w:pos="567"/>
        </w:tabs>
        <w:spacing w:line="240" w:lineRule="auto"/>
        <w:jc w:val="both"/>
        <w:rPr>
          <w:iCs/>
          <w:lang w:val="cs-CZ"/>
        </w:rPr>
      </w:pPr>
    </w:p>
    <w:p w:rsidR="00815860" w:rsidRPr="00815860" w:rsidRDefault="00815860" w:rsidP="00D27A17">
      <w:pPr>
        <w:tabs>
          <w:tab w:val="clear" w:pos="567"/>
        </w:tabs>
        <w:spacing w:line="240" w:lineRule="auto"/>
        <w:jc w:val="both"/>
        <w:rPr>
          <w:b/>
          <w:lang w:val="cs-CZ"/>
        </w:rPr>
      </w:pPr>
      <w:r w:rsidRPr="00815860">
        <w:rPr>
          <w:b/>
          <w:lang w:val="cs-CZ"/>
        </w:rPr>
        <w:t>Obsah léčivé látky v tabletě</w:t>
      </w:r>
    </w:p>
    <w:p w:rsidR="00815860" w:rsidRDefault="00815860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proofErr w:type="spellStart"/>
      <w:r>
        <w:rPr>
          <w:lang w:val="cs-CZ"/>
        </w:rPr>
        <w:t>Ph</w:t>
      </w:r>
      <w:r w:rsidRPr="007D7AD4">
        <w:rPr>
          <w:lang w:val="cs-CZ"/>
        </w:rPr>
        <w:t>enobarbital</w:t>
      </w:r>
      <w:r>
        <w:rPr>
          <w:lang w:val="cs-CZ"/>
        </w:rPr>
        <w:t>um</w:t>
      </w:r>
      <w:proofErr w:type="spellEnd"/>
      <w:r w:rsidRPr="007D7AD4">
        <w:rPr>
          <w:lang w:val="cs-CZ"/>
        </w:rPr>
        <w:tab/>
      </w:r>
      <w:r w:rsidRPr="007D7AD4">
        <w:rPr>
          <w:lang w:val="cs-CZ"/>
        </w:rPr>
        <w:tab/>
      </w:r>
      <w:r w:rsidR="00AA3BDE">
        <w:rPr>
          <w:lang w:val="cs-CZ"/>
        </w:rPr>
        <w:t>100 mg</w:t>
      </w:r>
    </w:p>
    <w:p w:rsidR="00F16EE2" w:rsidRDefault="00F16EE2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F16EE2" w:rsidRPr="007D7AD4" w:rsidRDefault="00F16EE2" w:rsidP="00CA359E">
      <w:pPr>
        <w:widowControl w:val="0"/>
        <w:spacing w:line="240" w:lineRule="auto"/>
        <w:jc w:val="both"/>
        <w:rPr>
          <w:lang w:val="cs-CZ"/>
        </w:rPr>
      </w:pPr>
      <w:r>
        <w:rPr>
          <w:lang w:val="cs-CZ"/>
        </w:rPr>
        <w:t>B</w:t>
      </w:r>
      <w:r w:rsidRPr="007D7AD4">
        <w:rPr>
          <w:lang w:val="cs-CZ"/>
        </w:rPr>
        <w:t>íl</w:t>
      </w:r>
      <w:r>
        <w:rPr>
          <w:lang w:val="cs-CZ"/>
        </w:rPr>
        <w:t>é</w:t>
      </w:r>
      <w:r w:rsidRPr="007D7AD4">
        <w:rPr>
          <w:lang w:val="cs-CZ"/>
        </w:rPr>
        <w:t xml:space="preserve"> až téměř bíl</w:t>
      </w:r>
      <w:r>
        <w:rPr>
          <w:lang w:val="cs-CZ"/>
        </w:rPr>
        <w:t>é</w:t>
      </w:r>
      <w:r w:rsidRPr="007D7AD4">
        <w:rPr>
          <w:lang w:val="cs-CZ"/>
        </w:rPr>
        <w:t>, kulat</w:t>
      </w:r>
      <w:r>
        <w:rPr>
          <w:lang w:val="cs-CZ"/>
        </w:rPr>
        <w:t>é</w:t>
      </w:r>
      <w:r w:rsidRPr="007D7AD4">
        <w:rPr>
          <w:lang w:val="cs-CZ"/>
        </w:rPr>
        <w:t>, bikonvexní tablet</w:t>
      </w:r>
      <w:r>
        <w:rPr>
          <w:lang w:val="cs-CZ"/>
        </w:rPr>
        <w:t>y</w:t>
      </w:r>
      <w:r w:rsidRPr="007D7AD4">
        <w:rPr>
          <w:lang w:val="cs-CZ"/>
        </w:rPr>
        <w:t xml:space="preserve"> s hnědými skvrnami a </w:t>
      </w:r>
      <w:r>
        <w:rPr>
          <w:lang w:val="cs-CZ"/>
        </w:rPr>
        <w:t xml:space="preserve">křížovou dělící </w:t>
      </w:r>
      <w:r w:rsidRPr="007D7AD4">
        <w:rPr>
          <w:lang w:val="cs-CZ"/>
        </w:rPr>
        <w:t xml:space="preserve">rýhou na jedné straně (průměr </w:t>
      </w:r>
      <w:r>
        <w:rPr>
          <w:lang w:val="cs-CZ"/>
        </w:rPr>
        <w:t>13</w:t>
      </w:r>
      <w:r w:rsidRPr="007D7AD4">
        <w:rPr>
          <w:lang w:val="cs-CZ"/>
        </w:rPr>
        <w:t xml:space="preserve"> mm)</w:t>
      </w:r>
      <w:r>
        <w:rPr>
          <w:lang w:val="cs-CZ"/>
        </w:rPr>
        <w:t xml:space="preserve">. </w:t>
      </w:r>
      <w:r w:rsidRPr="008A4A03">
        <w:rPr>
          <w:lang w:val="cs-CZ"/>
        </w:rPr>
        <w:t>Tablet</w:t>
      </w:r>
      <w:r>
        <w:rPr>
          <w:lang w:val="cs-CZ"/>
        </w:rPr>
        <w:t>y</w:t>
      </w:r>
      <w:r w:rsidRPr="008A4A03">
        <w:rPr>
          <w:lang w:val="cs-CZ"/>
        </w:rPr>
        <w:t xml:space="preserve"> lze dělit na dvě </w:t>
      </w:r>
      <w:r>
        <w:rPr>
          <w:lang w:val="cs-CZ"/>
        </w:rPr>
        <w:t xml:space="preserve">nebo čtyři </w:t>
      </w:r>
      <w:r w:rsidRPr="008A4A03">
        <w:rPr>
          <w:lang w:val="cs-CZ"/>
        </w:rPr>
        <w:t xml:space="preserve">stejné </w:t>
      </w:r>
      <w:r>
        <w:rPr>
          <w:lang w:val="cs-CZ"/>
        </w:rPr>
        <w:t>části.</w:t>
      </w:r>
    </w:p>
    <w:p w:rsidR="00815860" w:rsidRDefault="00815860" w:rsidP="00D27A17">
      <w:pPr>
        <w:widowControl w:val="0"/>
        <w:spacing w:line="240" w:lineRule="auto"/>
        <w:jc w:val="both"/>
        <w:rPr>
          <w:lang w:val="cs-CZ"/>
        </w:rPr>
      </w:pP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b/>
          <w:lang w:val="cs-CZ"/>
        </w:rPr>
      </w:pPr>
      <w:r w:rsidRPr="007D7AD4">
        <w:rPr>
          <w:b/>
          <w:lang w:val="cs-CZ"/>
        </w:rPr>
        <w:t>4.</w:t>
      </w:r>
      <w:r w:rsidRPr="007D7AD4">
        <w:rPr>
          <w:b/>
          <w:lang w:val="cs-CZ"/>
        </w:rPr>
        <w:tab/>
      </w:r>
      <w:r w:rsidR="009F7587" w:rsidRPr="007D7AD4">
        <w:rPr>
          <w:b/>
          <w:lang w:val="cs-CZ"/>
        </w:rPr>
        <w:t>INDIKACE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3169B4" w:rsidRPr="007D7AD4" w:rsidRDefault="003169B4" w:rsidP="00D27A17">
      <w:pPr>
        <w:spacing w:line="240" w:lineRule="auto"/>
        <w:jc w:val="both"/>
        <w:rPr>
          <w:lang w:val="cs-CZ"/>
        </w:rPr>
      </w:pPr>
      <w:r w:rsidRPr="007D7AD4">
        <w:rPr>
          <w:lang w:val="cs-CZ"/>
        </w:rPr>
        <w:t>Prevence záchvatů v důsledku generalizované epilepsie u psů.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b/>
          <w:lang w:val="cs-CZ"/>
        </w:rPr>
      </w:pPr>
      <w:r w:rsidRPr="007D7AD4">
        <w:rPr>
          <w:b/>
          <w:lang w:val="cs-CZ"/>
        </w:rPr>
        <w:t>5.</w:t>
      </w:r>
      <w:r w:rsidRPr="007D7AD4">
        <w:rPr>
          <w:b/>
          <w:lang w:val="cs-CZ"/>
        </w:rPr>
        <w:tab/>
      </w:r>
      <w:r w:rsidR="009F7587" w:rsidRPr="007D7AD4">
        <w:rPr>
          <w:b/>
          <w:lang w:val="cs-CZ"/>
        </w:rPr>
        <w:t>KONTRAINDIKACE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3169B4" w:rsidRPr="007D7AD4" w:rsidRDefault="003169B4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 xml:space="preserve">Nepoužívat v případě přecitlivělosti na </w:t>
      </w:r>
      <w:r w:rsidR="00554816">
        <w:rPr>
          <w:lang w:val="cs-CZ"/>
        </w:rPr>
        <w:t>léčivou</w:t>
      </w:r>
      <w:r w:rsidRPr="007D7AD4">
        <w:rPr>
          <w:lang w:val="cs-CZ"/>
        </w:rPr>
        <w:t xml:space="preserve"> látku</w:t>
      </w:r>
      <w:r w:rsidR="00C744A6">
        <w:rPr>
          <w:lang w:val="cs-CZ"/>
        </w:rPr>
        <w:t xml:space="preserve"> </w:t>
      </w:r>
      <w:r w:rsidR="00C744A6" w:rsidRPr="00B40A44">
        <w:rPr>
          <w:lang w:val="cs-CZ"/>
        </w:rPr>
        <w:t>nebo na jiné barbituráty</w:t>
      </w:r>
      <w:r w:rsidRPr="007D7AD4">
        <w:rPr>
          <w:lang w:val="cs-CZ"/>
        </w:rPr>
        <w:t>.</w:t>
      </w:r>
    </w:p>
    <w:p w:rsidR="003169B4" w:rsidRPr="007D7AD4" w:rsidRDefault="003169B4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>Nepoužívat u zvířat s</w:t>
      </w:r>
      <w:r w:rsidR="00554816">
        <w:rPr>
          <w:lang w:val="cs-CZ"/>
        </w:rPr>
        <w:t>e</w:t>
      </w:r>
      <w:r w:rsidRPr="007D7AD4">
        <w:rPr>
          <w:lang w:val="cs-CZ"/>
        </w:rPr>
        <w:t xml:space="preserve"> </w:t>
      </w:r>
      <w:r w:rsidR="00554816">
        <w:rPr>
          <w:lang w:val="cs-CZ"/>
        </w:rPr>
        <w:t xml:space="preserve">závažným </w:t>
      </w:r>
      <w:r w:rsidRPr="007D7AD4">
        <w:rPr>
          <w:lang w:val="cs-CZ"/>
        </w:rPr>
        <w:t>poškozením funkce jater.</w:t>
      </w:r>
    </w:p>
    <w:p w:rsidR="003169B4" w:rsidRPr="007D7AD4" w:rsidRDefault="003169B4" w:rsidP="00D27A17">
      <w:pPr>
        <w:spacing w:line="240" w:lineRule="auto"/>
        <w:jc w:val="both"/>
        <w:rPr>
          <w:lang w:val="cs-CZ"/>
        </w:rPr>
      </w:pPr>
      <w:r w:rsidRPr="007D7AD4">
        <w:rPr>
          <w:lang w:val="cs-CZ"/>
        </w:rPr>
        <w:t>Nepoužívat u zvířat s</w:t>
      </w:r>
      <w:r w:rsidR="00554816">
        <w:rPr>
          <w:lang w:val="cs-CZ"/>
        </w:rPr>
        <w:t>e</w:t>
      </w:r>
      <w:r w:rsidRPr="007D7AD4">
        <w:rPr>
          <w:lang w:val="cs-CZ"/>
        </w:rPr>
        <w:t xml:space="preserve"> závažným poškozením ledvin nebo</w:t>
      </w:r>
      <w:r w:rsidR="00554816">
        <w:rPr>
          <w:lang w:val="cs-CZ"/>
        </w:rPr>
        <w:t xml:space="preserve"> závažnými </w:t>
      </w:r>
      <w:r w:rsidRPr="007D7AD4">
        <w:rPr>
          <w:lang w:val="cs-CZ"/>
        </w:rPr>
        <w:t>kardiovaskulárním</w:t>
      </w:r>
      <w:r w:rsidR="00554816">
        <w:rPr>
          <w:lang w:val="cs-CZ"/>
        </w:rPr>
        <w:t>i poruchami.</w:t>
      </w:r>
    </w:p>
    <w:p w:rsidR="003169B4" w:rsidRPr="007D7AD4" w:rsidRDefault="003169B4" w:rsidP="00D27A17">
      <w:pPr>
        <w:spacing w:line="240" w:lineRule="auto"/>
        <w:jc w:val="both"/>
        <w:rPr>
          <w:lang w:val="cs-CZ"/>
        </w:rPr>
      </w:pPr>
      <w:r w:rsidRPr="007D7AD4">
        <w:rPr>
          <w:lang w:val="cs-CZ"/>
        </w:rPr>
        <w:t xml:space="preserve">Nepoužívat u psů s hmotností nižší než </w:t>
      </w:r>
      <w:r w:rsidR="004845E1">
        <w:rPr>
          <w:lang w:val="cs-CZ"/>
        </w:rPr>
        <w:t>10</w:t>
      </w:r>
      <w:r w:rsidRPr="007D7AD4">
        <w:rPr>
          <w:lang w:val="cs-CZ"/>
        </w:rPr>
        <w:t xml:space="preserve"> kg </w:t>
      </w:r>
      <w:r w:rsidR="00FE0982">
        <w:rPr>
          <w:lang w:val="cs-CZ"/>
        </w:rPr>
        <w:t>živé</w:t>
      </w:r>
      <w:r w:rsidR="00FE0982" w:rsidRPr="007D7AD4">
        <w:rPr>
          <w:lang w:val="cs-CZ"/>
        </w:rPr>
        <w:t xml:space="preserve"> </w:t>
      </w:r>
      <w:r w:rsidRPr="007D7AD4">
        <w:rPr>
          <w:lang w:val="cs-CZ"/>
        </w:rPr>
        <w:t>hmotnosti.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AE5E0C" w:rsidRPr="007D7AD4" w:rsidRDefault="00AE5E0C" w:rsidP="00D27A17">
      <w:pPr>
        <w:spacing w:line="240" w:lineRule="auto"/>
        <w:ind w:left="567" w:hanging="567"/>
        <w:jc w:val="both"/>
        <w:rPr>
          <w:lang w:val="cs-CZ"/>
        </w:rPr>
      </w:pPr>
      <w:r w:rsidRPr="007D7AD4">
        <w:rPr>
          <w:b/>
          <w:lang w:val="cs-CZ"/>
        </w:rPr>
        <w:t>6.</w:t>
      </w:r>
      <w:r w:rsidRPr="007D7AD4">
        <w:rPr>
          <w:b/>
          <w:lang w:val="cs-CZ"/>
        </w:rPr>
        <w:tab/>
      </w:r>
      <w:r w:rsidR="009F7587" w:rsidRPr="007D7AD4">
        <w:rPr>
          <w:b/>
          <w:lang w:val="cs-CZ"/>
        </w:rPr>
        <w:t>NEŽÁDOUCÍ ÚČINKY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7D7AD4" w:rsidRPr="007D7AD4" w:rsidRDefault="007D7AD4" w:rsidP="00D27A17">
      <w:pPr>
        <w:spacing w:line="240" w:lineRule="auto"/>
        <w:jc w:val="both"/>
        <w:rPr>
          <w:lang w:val="cs-CZ"/>
        </w:rPr>
      </w:pPr>
      <w:r w:rsidRPr="007D7AD4">
        <w:rPr>
          <w:lang w:val="cs-CZ"/>
        </w:rPr>
        <w:t xml:space="preserve">Při zahájení terapie se mohou </w:t>
      </w:r>
      <w:r w:rsidR="00C744A6" w:rsidRPr="00B40A44">
        <w:rPr>
          <w:lang w:val="cs-CZ"/>
        </w:rPr>
        <w:t xml:space="preserve">velmi vzácně </w:t>
      </w:r>
      <w:r w:rsidRPr="007D7AD4">
        <w:rPr>
          <w:lang w:val="cs-CZ"/>
        </w:rPr>
        <w:t xml:space="preserve">objevit ataxie, ospalost, </w:t>
      </w:r>
      <w:r w:rsidR="00C744A6">
        <w:rPr>
          <w:lang w:val="cs-CZ"/>
        </w:rPr>
        <w:t>letargie</w:t>
      </w:r>
      <w:r w:rsidR="00C744A6" w:rsidRPr="007D7AD4">
        <w:rPr>
          <w:lang w:val="cs-CZ"/>
        </w:rPr>
        <w:t xml:space="preserve"> </w:t>
      </w:r>
      <w:r w:rsidRPr="007D7AD4">
        <w:rPr>
          <w:lang w:val="cs-CZ"/>
        </w:rPr>
        <w:t>a závratě, ale tyto účinky jsou obvykle přechodné a zmizí u většiny, ale ne u všech pacientů s pokračující léčbou.</w:t>
      </w:r>
    </w:p>
    <w:p w:rsidR="007D7AD4" w:rsidRPr="007D7AD4" w:rsidRDefault="00554816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>
        <w:rPr>
          <w:lang w:val="cs-CZ"/>
        </w:rPr>
        <w:lastRenderedPageBreak/>
        <w:t>U některých</w:t>
      </w:r>
      <w:r w:rsidR="007D7AD4" w:rsidRPr="007D7AD4">
        <w:rPr>
          <w:lang w:val="cs-CZ"/>
        </w:rPr>
        <w:t xml:space="preserve"> zvířat</w:t>
      </w:r>
      <w:r w:rsidR="00401FC9">
        <w:rPr>
          <w:lang w:val="cs-CZ"/>
        </w:rPr>
        <w:t xml:space="preserve"> </w:t>
      </w:r>
      <w:r>
        <w:rPr>
          <w:lang w:val="cs-CZ"/>
        </w:rPr>
        <w:t xml:space="preserve">se může </w:t>
      </w:r>
      <w:r w:rsidR="004A633E" w:rsidRPr="00B40A44">
        <w:rPr>
          <w:lang w:val="cs-CZ"/>
        </w:rPr>
        <w:t xml:space="preserve">velmi vzácně </w:t>
      </w:r>
      <w:r>
        <w:rPr>
          <w:lang w:val="cs-CZ"/>
        </w:rPr>
        <w:t xml:space="preserve">objevit </w:t>
      </w:r>
      <w:r w:rsidR="007D7AD4" w:rsidRPr="007D7AD4">
        <w:rPr>
          <w:lang w:val="cs-CZ"/>
        </w:rPr>
        <w:t>paradoxní předrážděnost, a to zejména po prvním podání přípravku.</w:t>
      </w:r>
    </w:p>
    <w:p w:rsidR="007D7AD4" w:rsidRPr="007D7AD4" w:rsidRDefault="007D7AD4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>Vzhledem k tomu, že předrážděnost není spojena s předávkováním, není třeba dávku snižovat.</w:t>
      </w:r>
    </w:p>
    <w:p w:rsidR="007D7AD4" w:rsidRPr="007D7AD4" w:rsidRDefault="007D7AD4" w:rsidP="00D27A17">
      <w:pPr>
        <w:spacing w:line="240" w:lineRule="auto"/>
        <w:jc w:val="both"/>
        <w:rPr>
          <w:lang w:val="cs-CZ"/>
        </w:rPr>
      </w:pPr>
      <w:r w:rsidRPr="007D7AD4">
        <w:rPr>
          <w:lang w:val="cs-CZ"/>
        </w:rPr>
        <w:t>Při průměrné nebo vyšší terapeutick</w:t>
      </w:r>
      <w:r w:rsidR="00D705B0">
        <w:rPr>
          <w:lang w:val="cs-CZ"/>
        </w:rPr>
        <w:t>y</w:t>
      </w:r>
      <w:r w:rsidRPr="007D7AD4">
        <w:rPr>
          <w:lang w:val="cs-CZ"/>
        </w:rPr>
        <w:t xml:space="preserve"> účinné sérové koncentraci může </w:t>
      </w:r>
      <w:r w:rsidR="00554816">
        <w:rPr>
          <w:lang w:val="cs-CZ"/>
        </w:rPr>
        <w:t xml:space="preserve">být </w:t>
      </w:r>
      <w:r w:rsidR="004A633E" w:rsidRPr="00B40A44">
        <w:rPr>
          <w:lang w:val="cs-CZ"/>
        </w:rPr>
        <w:t xml:space="preserve">velmi vzácně </w:t>
      </w:r>
      <w:r w:rsidR="00554816">
        <w:rPr>
          <w:lang w:val="cs-CZ"/>
        </w:rPr>
        <w:t xml:space="preserve">pozorována </w:t>
      </w:r>
      <w:r w:rsidRPr="007D7AD4">
        <w:rPr>
          <w:lang w:val="cs-CZ"/>
        </w:rPr>
        <w:t xml:space="preserve"> polyuri</w:t>
      </w:r>
      <w:r w:rsidR="00554816">
        <w:rPr>
          <w:lang w:val="cs-CZ"/>
        </w:rPr>
        <w:t>e</w:t>
      </w:r>
      <w:r w:rsidRPr="007D7AD4">
        <w:rPr>
          <w:lang w:val="cs-CZ"/>
        </w:rPr>
        <w:t>, polydipsi</w:t>
      </w:r>
      <w:r w:rsidR="00554816">
        <w:rPr>
          <w:lang w:val="cs-CZ"/>
        </w:rPr>
        <w:t>e</w:t>
      </w:r>
      <w:r w:rsidRPr="007D7AD4">
        <w:rPr>
          <w:lang w:val="cs-CZ"/>
        </w:rPr>
        <w:t xml:space="preserve"> a polyfagi</w:t>
      </w:r>
      <w:r w:rsidR="00554816">
        <w:rPr>
          <w:lang w:val="cs-CZ"/>
        </w:rPr>
        <w:t>e.</w:t>
      </w:r>
      <w:r w:rsidR="00401FC9">
        <w:rPr>
          <w:lang w:val="cs-CZ"/>
        </w:rPr>
        <w:t xml:space="preserve"> </w:t>
      </w:r>
      <w:r w:rsidR="00554816">
        <w:rPr>
          <w:lang w:val="cs-CZ"/>
        </w:rPr>
        <w:t>T</w:t>
      </w:r>
      <w:r w:rsidRPr="007D7AD4">
        <w:rPr>
          <w:lang w:val="cs-CZ"/>
        </w:rPr>
        <w:t xml:space="preserve">yto účinky </w:t>
      </w:r>
      <w:r w:rsidR="00554816">
        <w:rPr>
          <w:lang w:val="cs-CZ"/>
        </w:rPr>
        <w:t>lze</w:t>
      </w:r>
      <w:r w:rsidRPr="007D7AD4">
        <w:rPr>
          <w:lang w:val="cs-CZ"/>
        </w:rPr>
        <w:t xml:space="preserve"> snížit </w:t>
      </w:r>
      <w:r w:rsidR="00554816">
        <w:rPr>
          <w:lang w:val="cs-CZ"/>
        </w:rPr>
        <w:t xml:space="preserve">omezením </w:t>
      </w:r>
      <w:r w:rsidRPr="007D7AD4">
        <w:rPr>
          <w:lang w:val="cs-CZ"/>
        </w:rPr>
        <w:t>příjm</w:t>
      </w:r>
      <w:r w:rsidR="00554816">
        <w:rPr>
          <w:lang w:val="cs-CZ"/>
        </w:rPr>
        <w:t>u</w:t>
      </w:r>
      <w:r w:rsidRPr="007D7AD4">
        <w:rPr>
          <w:lang w:val="cs-CZ"/>
        </w:rPr>
        <w:t xml:space="preserve"> krmiva a vody.</w:t>
      </w:r>
    </w:p>
    <w:p w:rsidR="00C5778A" w:rsidRDefault="00C5778A" w:rsidP="00D27A17">
      <w:pPr>
        <w:spacing w:line="240" w:lineRule="auto"/>
        <w:jc w:val="both"/>
        <w:rPr>
          <w:lang w:val="cs-CZ"/>
        </w:rPr>
      </w:pPr>
      <w:r>
        <w:rPr>
          <w:lang w:val="cs-CZ"/>
        </w:rPr>
        <w:t>V případě, že hla</w:t>
      </w:r>
      <w:r w:rsidRPr="007D7AD4">
        <w:rPr>
          <w:lang w:val="cs-CZ"/>
        </w:rPr>
        <w:t xml:space="preserve">dina v séru dosahuje </w:t>
      </w:r>
      <w:r>
        <w:rPr>
          <w:lang w:val="cs-CZ"/>
        </w:rPr>
        <w:t>horní</w:t>
      </w:r>
      <w:r w:rsidRPr="007D7AD4">
        <w:rPr>
          <w:lang w:val="cs-CZ"/>
        </w:rPr>
        <w:t xml:space="preserve"> hranice terapeutického rozmezí</w:t>
      </w:r>
      <w:r>
        <w:rPr>
          <w:lang w:val="cs-CZ"/>
        </w:rPr>
        <w:t>, může docházet k </w:t>
      </w:r>
      <w:proofErr w:type="spellStart"/>
      <w:r>
        <w:rPr>
          <w:lang w:val="cs-CZ"/>
        </w:rPr>
        <w:t>sedaci</w:t>
      </w:r>
      <w:proofErr w:type="spellEnd"/>
      <w:r>
        <w:rPr>
          <w:lang w:val="cs-CZ"/>
        </w:rPr>
        <w:t xml:space="preserve"> a ataxii</w:t>
      </w:r>
      <w:r w:rsidR="004A633E">
        <w:rPr>
          <w:lang w:val="cs-CZ"/>
        </w:rPr>
        <w:t xml:space="preserve"> </w:t>
      </w:r>
      <w:r w:rsidR="004A633E" w:rsidRPr="00B40A44">
        <w:rPr>
          <w:szCs w:val="22"/>
          <w:lang w:val="cs-CZ"/>
        </w:rPr>
        <w:t>(vyskytuje se velmi vzácně</w:t>
      </w:r>
      <w:r w:rsidR="004A633E">
        <w:rPr>
          <w:szCs w:val="22"/>
          <w:lang w:val="cs-CZ"/>
        </w:rPr>
        <w:t>)</w:t>
      </w:r>
      <w:r>
        <w:rPr>
          <w:lang w:val="cs-CZ"/>
        </w:rPr>
        <w:t>.</w:t>
      </w:r>
    </w:p>
    <w:p w:rsidR="007D7AD4" w:rsidRPr="007D7AD4" w:rsidRDefault="007D7AD4" w:rsidP="00D27A17">
      <w:pPr>
        <w:jc w:val="both"/>
        <w:rPr>
          <w:rFonts w:cs="Arial"/>
          <w:bCs/>
          <w:iCs/>
          <w:lang w:val="cs-CZ"/>
        </w:rPr>
      </w:pPr>
      <w:r w:rsidRPr="007D7AD4">
        <w:rPr>
          <w:lang w:val="cs-CZ"/>
        </w:rPr>
        <w:t>Vysoké koncentrace v plazmě mohou být spojeny s</w:t>
      </w:r>
      <w:r w:rsidR="004A633E">
        <w:rPr>
          <w:lang w:val="cs-CZ"/>
        </w:rPr>
        <w:t> </w:t>
      </w:r>
      <w:proofErr w:type="spellStart"/>
      <w:r w:rsidRPr="007D7AD4">
        <w:rPr>
          <w:lang w:val="cs-CZ"/>
        </w:rPr>
        <w:t>hepatotoxicitou</w:t>
      </w:r>
      <w:proofErr w:type="spellEnd"/>
      <w:r w:rsidR="004A633E">
        <w:rPr>
          <w:lang w:val="cs-CZ"/>
        </w:rPr>
        <w:t xml:space="preserve"> </w:t>
      </w:r>
      <w:r w:rsidR="004A633E" w:rsidRPr="00B40A44">
        <w:rPr>
          <w:lang w:val="cs-CZ"/>
        </w:rPr>
        <w:t>(velmi vzácně</w:t>
      </w:r>
      <w:r w:rsidR="004A633E">
        <w:rPr>
          <w:lang w:val="cs-CZ"/>
        </w:rPr>
        <w:t>)</w:t>
      </w:r>
      <w:r w:rsidRPr="007D7AD4">
        <w:rPr>
          <w:lang w:val="cs-CZ"/>
        </w:rPr>
        <w:t>.</w:t>
      </w:r>
    </w:p>
    <w:p w:rsidR="007D7AD4" w:rsidRPr="007D7AD4" w:rsidRDefault="007D7AD4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 xml:space="preserve">Fenobarbital může </w:t>
      </w:r>
      <w:r w:rsidR="00554816">
        <w:rPr>
          <w:lang w:val="cs-CZ"/>
        </w:rPr>
        <w:t>působit nepříznivě</w:t>
      </w:r>
      <w:r w:rsidRPr="007D7AD4">
        <w:rPr>
          <w:lang w:val="cs-CZ"/>
        </w:rPr>
        <w:t xml:space="preserve"> na kmenové buňky kostní dřeně. Důsledky jsou </w:t>
      </w:r>
      <w:proofErr w:type="spellStart"/>
      <w:r w:rsidRPr="007D7AD4">
        <w:rPr>
          <w:lang w:val="cs-CZ"/>
        </w:rPr>
        <w:t>imunotoxická</w:t>
      </w:r>
      <w:proofErr w:type="spellEnd"/>
      <w:r w:rsidRPr="007D7AD4">
        <w:rPr>
          <w:lang w:val="cs-CZ"/>
        </w:rPr>
        <w:t xml:space="preserve"> </w:t>
      </w:r>
      <w:proofErr w:type="spellStart"/>
      <w:r w:rsidRPr="007D7AD4">
        <w:rPr>
          <w:lang w:val="cs-CZ"/>
        </w:rPr>
        <w:t>pancytopenie</w:t>
      </w:r>
      <w:proofErr w:type="spellEnd"/>
      <w:r w:rsidRPr="007D7AD4">
        <w:rPr>
          <w:lang w:val="cs-CZ"/>
        </w:rPr>
        <w:t xml:space="preserve"> nebo </w:t>
      </w:r>
      <w:proofErr w:type="spellStart"/>
      <w:r w:rsidRPr="007D7AD4">
        <w:rPr>
          <w:lang w:val="cs-CZ"/>
        </w:rPr>
        <w:t>neutropenie</w:t>
      </w:r>
      <w:proofErr w:type="spellEnd"/>
      <w:r w:rsidR="004A633E">
        <w:rPr>
          <w:lang w:val="cs-CZ"/>
        </w:rPr>
        <w:t xml:space="preserve"> </w:t>
      </w:r>
      <w:r w:rsidR="004A633E" w:rsidRPr="00B40A44">
        <w:rPr>
          <w:lang w:val="cs-CZ"/>
        </w:rPr>
        <w:t>(velmi vzácně</w:t>
      </w:r>
      <w:r w:rsidR="004A633E">
        <w:rPr>
          <w:lang w:val="cs-CZ"/>
        </w:rPr>
        <w:t>)</w:t>
      </w:r>
      <w:r w:rsidRPr="007D7AD4">
        <w:rPr>
          <w:lang w:val="cs-CZ"/>
        </w:rPr>
        <w:t xml:space="preserve">. Tyto reakce vymizí po </w:t>
      </w:r>
      <w:r w:rsidR="00554816">
        <w:rPr>
          <w:lang w:val="cs-CZ"/>
        </w:rPr>
        <w:t>vysazení</w:t>
      </w:r>
      <w:r w:rsidRPr="007D7AD4">
        <w:rPr>
          <w:lang w:val="cs-CZ"/>
        </w:rPr>
        <w:t xml:space="preserve"> léčby.</w:t>
      </w:r>
    </w:p>
    <w:p w:rsidR="007D7AD4" w:rsidRPr="007D7AD4" w:rsidRDefault="007D7AD4" w:rsidP="00D27A17">
      <w:pPr>
        <w:jc w:val="both"/>
        <w:rPr>
          <w:rFonts w:cs="Arial"/>
          <w:bCs/>
          <w:iCs/>
          <w:lang w:val="cs-CZ"/>
        </w:rPr>
      </w:pPr>
      <w:r w:rsidRPr="007D7AD4">
        <w:rPr>
          <w:lang w:val="cs-CZ"/>
        </w:rPr>
        <w:t>Léčb</w:t>
      </w:r>
      <w:r w:rsidR="00F50AD9">
        <w:rPr>
          <w:lang w:val="cs-CZ"/>
        </w:rPr>
        <w:t>a</w:t>
      </w:r>
      <w:r w:rsidRPr="007D7AD4">
        <w:rPr>
          <w:lang w:val="cs-CZ"/>
        </w:rPr>
        <w:t xml:space="preserve"> psů fenobarbitalem může snížit hladiny TT4 nebo FT4 v séru, ale to nemusí</w:t>
      </w:r>
      <w:r w:rsidR="00554816">
        <w:rPr>
          <w:lang w:val="cs-CZ"/>
        </w:rPr>
        <w:t xml:space="preserve"> poukazovat na přítomnost</w:t>
      </w:r>
      <w:r w:rsidRPr="007D7AD4">
        <w:rPr>
          <w:lang w:val="cs-CZ"/>
        </w:rPr>
        <w:t xml:space="preserve"> hypotyreózy. Substituční léčba hormony štítné žlázy by měla být zahájena pouze v případě, že se objeví klinické příznaky onemocnění. </w:t>
      </w:r>
    </w:p>
    <w:p w:rsidR="007D7AD4" w:rsidRPr="007D7AD4" w:rsidRDefault="007D7AD4" w:rsidP="00D27A17">
      <w:pPr>
        <w:spacing w:line="240" w:lineRule="auto"/>
        <w:jc w:val="both"/>
        <w:rPr>
          <w:lang w:val="cs-CZ"/>
        </w:rPr>
      </w:pPr>
      <w:r w:rsidRPr="007D7AD4">
        <w:rPr>
          <w:lang w:val="cs-CZ"/>
        </w:rPr>
        <w:t>Pokud jsou nežádoucí účinky závažné, doporučuje se snížení dávky.</w:t>
      </w:r>
    </w:p>
    <w:p w:rsidR="007D7AD4" w:rsidRDefault="007D7AD4" w:rsidP="00D27A17">
      <w:pPr>
        <w:spacing w:line="240" w:lineRule="auto"/>
        <w:jc w:val="both"/>
        <w:rPr>
          <w:lang w:val="cs-CZ"/>
        </w:rPr>
      </w:pPr>
      <w:r w:rsidRPr="007D7AD4">
        <w:rPr>
          <w:lang w:val="cs-CZ"/>
        </w:rPr>
        <w:t xml:space="preserve">Jestliže zaznamenáte </w:t>
      </w:r>
      <w:r w:rsidR="00015C45">
        <w:rPr>
          <w:lang w:val="cs-CZ"/>
        </w:rPr>
        <w:t>jakékoliv</w:t>
      </w:r>
      <w:r w:rsidRPr="007D7AD4">
        <w:rPr>
          <w:lang w:val="cs-CZ"/>
        </w:rPr>
        <w:t xml:space="preserve"> nežádoucí účink</w:t>
      </w:r>
      <w:r w:rsidR="00015C45">
        <w:rPr>
          <w:lang w:val="cs-CZ"/>
        </w:rPr>
        <w:t>y</w:t>
      </w:r>
      <w:r w:rsidRPr="007D7AD4">
        <w:rPr>
          <w:lang w:val="cs-CZ"/>
        </w:rPr>
        <w:t xml:space="preserve"> </w:t>
      </w:r>
      <w:r w:rsidR="004A633E">
        <w:rPr>
          <w:lang w:val="cs-CZ"/>
        </w:rPr>
        <w:t>a to i takové</w:t>
      </w:r>
      <w:r w:rsidRPr="007D7AD4">
        <w:rPr>
          <w:lang w:val="cs-CZ"/>
        </w:rPr>
        <w:t>, které nejsou uvedeny v této příbalové informaci,</w:t>
      </w:r>
      <w:r w:rsidR="004A633E" w:rsidRPr="00B40A44">
        <w:rPr>
          <w:lang w:val="cs-CZ"/>
        </w:rPr>
        <w:t xml:space="preserve"> nebo si myslíte, že léčivo nefunguje</w:t>
      </w:r>
      <w:r w:rsidR="004A633E">
        <w:rPr>
          <w:lang w:val="cs-CZ"/>
        </w:rPr>
        <w:t>,</w:t>
      </w:r>
      <w:r w:rsidR="004A633E" w:rsidRPr="007D7AD4">
        <w:rPr>
          <w:lang w:val="cs-CZ"/>
        </w:rPr>
        <w:t xml:space="preserve"> </w:t>
      </w:r>
      <w:r w:rsidRPr="007D7AD4">
        <w:rPr>
          <w:lang w:val="cs-CZ"/>
        </w:rPr>
        <w:t>oznamte to</w:t>
      </w:r>
      <w:r w:rsidR="004A633E">
        <w:rPr>
          <w:lang w:val="cs-CZ"/>
        </w:rPr>
        <w:t>,</w:t>
      </w:r>
      <w:r w:rsidRPr="007D7AD4">
        <w:rPr>
          <w:lang w:val="cs-CZ"/>
        </w:rPr>
        <w:t xml:space="preserve"> prosím</w:t>
      </w:r>
      <w:r w:rsidR="004A633E">
        <w:rPr>
          <w:lang w:val="cs-CZ"/>
        </w:rPr>
        <w:t>,</w:t>
      </w:r>
      <w:r w:rsidRPr="007D7AD4">
        <w:rPr>
          <w:lang w:val="cs-CZ"/>
        </w:rPr>
        <w:t xml:space="preserve"> vašemu veterinárnímu lékaři.</w:t>
      </w:r>
    </w:p>
    <w:p w:rsidR="004A633E" w:rsidRPr="007D7AD4" w:rsidRDefault="004A633E" w:rsidP="00D27A17">
      <w:pPr>
        <w:spacing w:line="240" w:lineRule="auto"/>
        <w:jc w:val="both"/>
        <w:rPr>
          <w:lang w:val="cs-CZ"/>
        </w:rPr>
      </w:pPr>
    </w:p>
    <w:p w:rsidR="004A633E" w:rsidRPr="00B40A44" w:rsidRDefault="004A633E" w:rsidP="004A633E">
      <w:pPr>
        <w:rPr>
          <w:szCs w:val="22"/>
          <w:lang w:val="cs-CZ"/>
        </w:rPr>
      </w:pPr>
      <w:r w:rsidRPr="00B40A44">
        <w:rPr>
          <w:szCs w:val="22"/>
          <w:lang w:val="cs-CZ"/>
        </w:rPr>
        <w:t>Četnost nežádoucích účinků je charakterizována podle následujících pravidel:</w:t>
      </w:r>
    </w:p>
    <w:p w:rsidR="004A633E" w:rsidRPr="00B40A44" w:rsidRDefault="004A633E" w:rsidP="004A633E">
      <w:pPr>
        <w:rPr>
          <w:szCs w:val="22"/>
          <w:lang w:val="cs-CZ"/>
        </w:rPr>
      </w:pPr>
      <w:r w:rsidRPr="00B40A44">
        <w:rPr>
          <w:szCs w:val="22"/>
          <w:lang w:val="cs-CZ"/>
        </w:rPr>
        <w:t>- velmi časté (nežádoucí účinek(</w:t>
      </w:r>
      <w:proofErr w:type="spellStart"/>
      <w:r w:rsidRPr="00B40A44">
        <w:rPr>
          <w:szCs w:val="22"/>
          <w:lang w:val="cs-CZ"/>
        </w:rPr>
        <w:t>nky</w:t>
      </w:r>
      <w:proofErr w:type="spellEnd"/>
      <w:r w:rsidRPr="00B40A44">
        <w:rPr>
          <w:szCs w:val="22"/>
          <w:lang w:val="cs-CZ"/>
        </w:rPr>
        <w:t>) se projevil(y) u více než 1 z 10 ošetřených zvířat)</w:t>
      </w:r>
    </w:p>
    <w:p w:rsidR="004A633E" w:rsidRPr="00B40A44" w:rsidRDefault="004A633E" w:rsidP="004A633E">
      <w:pPr>
        <w:rPr>
          <w:szCs w:val="22"/>
          <w:lang w:val="cs-CZ"/>
        </w:rPr>
      </w:pPr>
      <w:r w:rsidRPr="00B40A44">
        <w:rPr>
          <w:szCs w:val="22"/>
          <w:lang w:val="cs-CZ"/>
        </w:rPr>
        <w:t>- časté (u více než 1, ale méně než 10 ze 100 ošetřených zvířat)</w:t>
      </w:r>
    </w:p>
    <w:p w:rsidR="004A633E" w:rsidRPr="00B40A44" w:rsidRDefault="004A633E" w:rsidP="004A633E">
      <w:pPr>
        <w:rPr>
          <w:szCs w:val="22"/>
          <w:lang w:val="cs-CZ"/>
        </w:rPr>
      </w:pPr>
      <w:r w:rsidRPr="00B40A44">
        <w:rPr>
          <w:szCs w:val="22"/>
          <w:lang w:val="cs-CZ"/>
        </w:rPr>
        <w:t>- neobvyklé (u více než 1, ale méně než 10 z 1000 ošetřených zvířat)</w:t>
      </w:r>
    </w:p>
    <w:p w:rsidR="004A633E" w:rsidRPr="00B40A44" w:rsidRDefault="004A633E" w:rsidP="004A633E">
      <w:pPr>
        <w:rPr>
          <w:szCs w:val="22"/>
          <w:lang w:val="cs-CZ"/>
        </w:rPr>
      </w:pPr>
      <w:r w:rsidRPr="00B40A44">
        <w:rPr>
          <w:szCs w:val="22"/>
          <w:lang w:val="cs-CZ"/>
        </w:rPr>
        <w:t>- vzácné (u více než 1, ale méně než 10 z 10 000 ošetřených zvířat)</w:t>
      </w:r>
    </w:p>
    <w:p w:rsidR="004A633E" w:rsidRPr="00B40A44" w:rsidRDefault="004A633E" w:rsidP="004A633E">
      <w:pPr>
        <w:rPr>
          <w:szCs w:val="22"/>
          <w:lang w:val="cs-CZ"/>
        </w:rPr>
      </w:pPr>
      <w:r w:rsidRPr="00B40A44">
        <w:rPr>
          <w:szCs w:val="22"/>
          <w:lang w:val="cs-CZ"/>
        </w:rPr>
        <w:t>- velmi vzácné (u méně než 1 z 10 000 ošetřených zvířat, včetně ojedinělých hlášení).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AE5E0C" w:rsidRPr="007D7AD4" w:rsidRDefault="00AE5E0C" w:rsidP="00D27A17">
      <w:pPr>
        <w:spacing w:line="240" w:lineRule="auto"/>
        <w:ind w:left="567" w:hanging="567"/>
        <w:jc w:val="both"/>
        <w:rPr>
          <w:lang w:val="cs-CZ"/>
        </w:rPr>
      </w:pPr>
      <w:r w:rsidRPr="007D7AD4">
        <w:rPr>
          <w:b/>
          <w:lang w:val="cs-CZ"/>
        </w:rPr>
        <w:t>7.</w:t>
      </w:r>
      <w:r w:rsidRPr="007D7AD4">
        <w:rPr>
          <w:b/>
          <w:lang w:val="cs-CZ"/>
        </w:rPr>
        <w:tab/>
      </w:r>
      <w:r w:rsidR="009F7587" w:rsidRPr="007D7AD4">
        <w:rPr>
          <w:b/>
          <w:lang w:val="cs-CZ"/>
        </w:rPr>
        <w:t>CÍLOVÝ DRUH ZVÍŘAT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AE5E0C" w:rsidRPr="007D7AD4" w:rsidRDefault="009F7587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>Psi</w:t>
      </w:r>
      <w:r w:rsidR="00AE5E0C" w:rsidRPr="007D7AD4">
        <w:rPr>
          <w:lang w:val="cs-CZ"/>
        </w:rPr>
        <w:t>.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AE5E0C" w:rsidRPr="007D7AD4" w:rsidRDefault="00AE5E0C" w:rsidP="00D27A17">
      <w:pPr>
        <w:tabs>
          <w:tab w:val="clear" w:pos="567"/>
        </w:tabs>
        <w:spacing w:line="240" w:lineRule="auto"/>
        <w:ind w:left="567" w:hanging="567"/>
        <w:jc w:val="both"/>
        <w:rPr>
          <w:lang w:val="cs-CZ"/>
        </w:rPr>
      </w:pPr>
      <w:r w:rsidRPr="007D7AD4">
        <w:rPr>
          <w:b/>
          <w:lang w:val="cs-CZ"/>
        </w:rPr>
        <w:t>8.</w:t>
      </w:r>
      <w:r w:rsidRPr="007D7AD4">
        <w:rPr>
          <w:b/>
          <w:lang w:val="cs-CZ"/>
        </w:rPr>
        <w:tab/>
      </w:r>
      <w:r w:rsidR="009F7587" w:rsidRPr="007D7AD4">
        <w:rPr>
          <w:b/>
          <w:lang w:val="cs-CZ"/>
        </w:rPr>
        <w:t>DÁVKOVÁNÍ PRO KAŽDÝ DRUH, CESTA(Y) A ZPŮSOB PODÁNÍ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iCs/>
          <w:lang w:val="cs-CZ"/>
        </w:rPr>
      </w:pPr>
    </w:p>
    <w:p w:rsidR="00815860" w:rsidRPr="007D7AD4" w:rsidRDefault="00815860" w:rsidP="00D27A17">
      <w:pPr>
        <w:tabs>
          <w:tab w:val="clear" w:pos="567"/>
        </w:tabs>
        <w:spacing w:line="240" w:lineRule="auto"/>
        <w:jc w:val="both"/>
        <w:rPr>
          <w:i/>
          <w:lang w:val="cs-CZ"/>
        </w:rPr>
      </w:pPr>
      <w:r w:rsidRPr="007D7AD4">
        <w:rPr>
          <w:i/>
          <w:lang w:val="cs-CZ"/>
        </w:rPr>
        <w:t>Způsob podání</w:t>
      </w:r>
    </w:p>
    <w:p w:rsidR="00815860" w:rsidRPr="007D7AD4" w:rsidRDefault="00815860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>P</w:t>
      </w:r>
      <w:r>
        <w:rPr>
          <w:lang w:val="cs-CZ"/>
        </w:rPr>
        <w:t>er</w:t>
      </w:r>
      <w:r w:rsidRPr="007D7AD4">
        <w:rPr>
          <w:lang w:val="cs-CZ"/>
        </w:rPr>
        <w:t>orální</w:t>
      </w:r>
      <w:r>
        <w:rPr>
          <w:lang w:val="cs-CZ"/>
        </w:rPr>
        <w:t xml:space="preserve"> podání</w:t>
      </w:r>
      <w:r w:rsidRPr="007D7AD4">
        <w:rPr>
          <w:lang w:val="cs-CZ"/>
        </w:rPr>
        <w:t>.</w:t>
      </w:r>
    </w:p>
    <w:p w:rsidR="007D7AD4" w:rsidRPr="007D7AD4" w:rsidRDefault="007D7AD4" w:rsidP="00D27A17">
      <w:pPr>
        <w:tabs>
          <w:tab w:val="clear" w:pos="567"/>
        </w:tabs>
        <w:spacing w:line="240" w:lineRule="auto"/>
        <w:jc w:val="both"/>
        <w:rPr>
          <w:i/>
          <w:lang w:val="cs-CZ"/>
        </w:rPr>
      </w:pPr>
      <w:r w:rsidRPr="007D7AD4">
        <w:rPr>
          <w:i/>
          <w:lang w:val="cs-CZ"/>
        </w:rPr>
        <w:t>Podávané množství</w:t>
      </w:r>
    </w:p>
    <w:p w:rsidR="00D705B0" w:rsidRPr="007D7AD4" w:rsidRDefault="00D705B0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 xml:space="preserve">Doporučená </w:t>
      </w:r>
      <w:r>
        <w:rPr>
          <w:lang w:val="cs-CZ"/>
        </w:rPr>
        <w:t>počáteční</w:t>
      </w:r>
      <w:r w:rsidRPr="007D7AD4">
        <w:rPr>
          <w:lang w:val="cs-CZ"/>
        </w:rPr>
        <w:t xml:space="preserve"> dávka je 2,5 mg fenobarbitalu na kg </w:t>
      </w:r>
      <w:r>
        <w:rPr>
          <w:lang w:val="cs-CZ"/>
        </w:rPr>
        <w:t>ž</w:t>
      </w:r>
      <w:r w:rsidR="00554816">
        <w:rPr>
          <w:lang w:val="cs-CZ"/>
        </w:rPr>
        <w:t>.</w:t>
      </w:r>
      <w:r w:rsidRPr="007D7AD4">
        <w:rPr>
          <w:lang w:val="cs-CZ"/>
        </w:rPr>
        <w:t xml:space="preserve"> hm</w:t>
      </w:r>
      <w:r w:rsidR="00554816">
        <w:rPr>
          <w:lang w:val="cs-CZ"/>
        </w:rPr>
        <w:t>.</w:t>
      </w:r>
      <w:r w:rsidRPr="007D7AD4">
        <w:rPr>
          <w:lang w:val="cs-CZ"/>
        </w:rPr>
        <w:t xml:space="preserve"> dvakrát denně. </w:t>
      </w:r>
    </w:p>
    <w:p w:rsidR="00D705B0" w:rsidRPr="007D7AD4" w:rsidRDefault="00D705B0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Aby byla zajištěna </w:t>
      </w:r>
      <w:r w:rsidRPr="007D7AD4">
        <w:rPr>
          <w:lang w:val="cs-CZ"/>
        </w:rPr>
        <w:t>úspěšn</w:t>
      </w:r>
      <w:r>
        <w:rPr>
          <w:lang w:val="cs-CZ"/>
        </w:rPr>
        <w:t>á</w:t>
      </w:r>
      <w:r w:rsidRPr="007D7AD4">
        <w:rPr>
          <w:lang w:val="cs-CZ"/>
        </w:rPr>
        <w:t xml:space="preserve"> </w:t>
      </w:r>
      <w:r>
        <w:rPr>
          <w:lang w:val="cs-CZ"/>
        </w:rPr>
        <w:t xml:space="preserve">léčba, </w:t>
      </w:r>
      <w:r w:rsidRPr="007D7AD4">
        <w:rPr>
          <w:lang w:val="cs-CZ"/>
        </w:rPr>
        <w:t>musí být tablety podávány každý den ve stejnou dobu.</w:t>
      </w:r>
    </w:p>
    <w:p w:rsidR="004A633E" w:rsidRPr="00B40A44" w:rsidRDefault="00F50AD9" w:rsidP="004A633E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 xml:space="preserve">Následné </w:t>
      </w:r>
      <w:r w:rsidR="00D705B0">
        <w:rPr>
          <w:lang w:val="cs-CZ"/>
        </w:rPr>
        <w:t xml:space="preserve">úpravy dávky se provádí </w:t>
      </w:r>
      <w:r w:rsidR="00D705B0" w:rsidRPr="007D7AD4">
        <w:rPr>
          <w:lang w:val="cs-CZ"/>
        </w:rPr>
        <w:t xml:space="preserve">na základě klinické účinnosti, hladin v krvi a výskytu nežádoucích vedlejších účinků. </w:t>
      </w:r>
      <w:r w:rsidR="004A633E" w:rsidRPr="00B40A44">
        <w:rPr>
          <w:lang w:val="cs-CZ"/>
        </w:rPr>
        <w:t>Požadovaná dávka se bude v určité míře lišit mezi jednotlivci a povahou a závažností poruchy.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iCs/>
          <w:lang w:val="cs-CZ"/>
        </w:rPr>
      </w:pPr>
    </w:p>
    <w:p w:rsidR="00AE5E0C" w:rsidRPr="007D7AD4" w:rsidRDefault="00AE5E0C" w:rsidP="00D27A17">
      <w:pPr>
        <w:spacing w:line="240" w:lineRule="auto"/>
        <w:ind w:left="567" w:hanging="567"/>
        <w:jc w:val="both"/>
        <w:rPr>
          <w:lang w:val="cs-CZ"/>
        </w:rPr>
      </w:pPr>
      <w:r w:rsidRPr="007D7AD4">
        <w:rPr>
          <w:b/>
          <w:lang w:val="cs-CZ"/>
        </w:rPr>
        <w:t>9.</w:t>
      </w:r>
      <w:r w:rsidRPr="007D7AD4">
        <w:rPr>
          <w:b/>
          <w:lang w:val="cs-CZ"/>
        </w:rPr>
        <w:tab/>
      </w:r>
      <w:r w:rsidR="009F7587" w:rsidRPr="007D7AD4">
        <w:rPr>
          <w:b/>
          <w:lang w:val="cs-CZ"/>
        </w:rPr>
        <w:t>POKYNY PRO SPRÁVNÉ PODÁNÍ</w:t>
      </w:r>
    </w:p>
    <w:p w:rsidR="00AE5E0C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E2105B" w:rsidRDefault="00E2105B" w:rsidP="00E2105B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Překřížená dělící rýha na jedné straně tablety umožňuje rozdělení </w:t>
      </w:r>
      <w:r w:rsidR="00461C9A">
        <w:rPr>
          <w:szCs w:val="22"/>
          <w:lang w:val="cs-CZ"/>
        </w:rPr>
        <w:t xml:space="preserve">tablety </w:t>
      </w:r>
      <w:r>
        <w:rPr>
          <w:szCs w:val="22"/>
          <w:lang w:val="cs-CZ"/>
        </w:rPr>
        <w:t xml:space="preserve">na dvě stejné části </w:t>
      </w:r>
      <w:r w:rsidRPr="00D16924">
        <w:rPr>
          <w:szCs w:val="22"/>
          <w:lang w:val="cs-CZ"/>
        </w:rPr>
        <w:t>(</w:t>
      </w:r>
      <w:r>
        <w:rPr>
          <w:szCs w:val="22"/>
          <w:lang w:val="cs-CZ"/>
        </w:rPr>
        <w:t xml:space="preserve">každá </w:t>
      </w:r>
      <w:r w:rsidR="00672C42">
        <w:rPr>
          <w:szCs w:val="22"/>
          <w:lang w:val="cs-CZ"/>
        </w:rPr>
        <w:t>o</w:t>
      </w:r>
      <w:r>
        <w:rPr>
          <w:szCs w:val="22"/>
          <w:lang w:val="cs-CZ"/>
        </w:rPr>
        <w:t> obsah</w:t>
      </w:r>
      <w:r w:rsidR="00672C42">
        <w:rPr>
          <w:szCs w:val="22"/>
          <w:lang w:val="cs-CZ"/>
        </w:rPr>
        <w:t>u</w:t>
      </w:r>
      <w:r>
        <w:rPr>
          <w:szCs w:val="22"/>
          <w:lang w:val="cs-CZ"/>
        </w:rPr>
        <w:t xml:space="preserve"> </w:t>
      </w:r>
      <w:r w:rsidRPr="00D16924">
        <w:rPr>
          <w:szCs w:val="22"/>
          <w:lang w:val="cs-CZ"/>
        </w:rPr>
        <w:t>5</w:t>
      </w:r>
      <w:r>
        <w:rPr>
          <w:szCs w:val="22"/>
          <w:lang w:val="cs-CZ"/>
        </w:rPr>
        <w:t>0</w:t>
      </w:r>
      <w:r w:rsidRPr="00D16924">
        <w:rPr>
          <w:szCs w:val="22"/>
          <w:lang w:val="cs-CZ"/>
        </w:rPr>
        <w:t xml:space="preserve"> mg </w:t>
      </w:r>
      <w:r>
        <w:rPr>
          <w:szCs w:val="22"/>
          <w:lang w:val="cs-CZ"/>
        </w:rPr>
        <w:t>f</w:t>
      </w:r>
      <w:r w:rsidRPr="00D16924">
        <w:rPr>
          <w:szCs w:val="22"/>
          <w:lang w:val="cs-CZ"/>
        </w:rPr>
        <w:t>enobarbital</w:t>
      </w:r>
      <w:r>
        <w:rPr>
          <w:szCs w:val="22"/>
          <w:lang w:val="cs-CZ"/>
        </w:rPr>
        <w:t>u</w:t>
      </w:r>
      <w:r w:rsidRPr="00D16924">
        <w:rPr>
          <w:szCs w:val="22"/>
          <w:lang w:val="cs-CZ"/>
        </w:rPr>
        <w:t xml:space="preserve">) </w:t>
      </w:r>
      <w:r>
        <w:rPr>
          <w:szCs w:val="22"/>
          <w:lang w:val="cs-CZ"/>
        </w:rPr>
        <w:t>nebo na čtyři stejné části</w:t>
      </w:r>
      <w:r w:rsidRPr="00D16924">
        <w:rPr>
          <w:szCs w:val="22"/>
          <w:lang w:val="cs-CZ"/>
        </w:rPr>
        <w:t xml:space="preserve"> (</w:t>
      </w:r>
      <w:r>
        <w:rPr>
          <w:szCs w:val="22"/>
          <w:lang w:val="cs-CZ"/>
        </w:rPr>
        <w:t xml:space="preserve">každá </w:t>
      </w:r>
      <w:r w:rsidR="00672C42">
        <w:rPr>
          <w:szCs w:val="22"/>
          <w:lang w:val="cs-CZ"/>
        </w:rPr>
        <w:t>o</w:t>
      </w:r>
      <w:r>
        <w:rPr>
          <w:szCs w:val="22"/>
          <w:lang w:val="cs-CZ"/>
        </w:rPr>
        <w:t> obsah</w:t>
      </w:r>
      <w:r w:rsidR="00672C42">
        <w:rPr>
          <w:szCs w:val="22"/>
          <w:lang w:val="cs-CZ"/>
        </w:rPr>
        <w:t>u</w:t>
      </w:r>
      <w:r>
        <w:rPr>
          <w:szCs w:val="22"/>
          <w:lang w:val="cs-CZ"/>
        </w:rPr>
        <w:t xml:space="preserve"> </w:t>
      </w:r>
      <w:r w:rsidRPr="00D16924">
        <w:rPr>
          <w:szCs w:val="22"/>
          <w:lang w:val="cs-CZ"/>
        </w:rPr>
        <w:t xml:space="preserve">25 mg </w:t>
      </w:r>
      <w:r>
        <w:rPr>
          <w:szCs w:val="22"/>
          <w:lang w:val="cs-CZ"/>
        </w:rPr>
        <w:t>fenobarbitalu</w:t>
      </w:r>
      <w:r w:rsidRPr="00D16924">
        <w:rPr>
          <w:szCs w:val="22"/>
          <w:lang w:val="cs-CZ"/>
        </w:rPr>
        <w:t>).</w:t>
      </w:r>
    </w:p>
    <w:p w:rsidR="00E2105B" w:rsidRPr="00D16924" w:rsidRDefault="00E2105B" w:rsidP="00E2105B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4"/>
        <w:gridCol w:w="3688"/>
      </w:tblGrid>
      <w:tr w:rsidR="00E2105B" w:rsidRPr="00D16924" w:rsidTr="00BF304D">
        <w:tc>
          <w:tcPr>
            <w:tcW w:w="5495" w:type="dxa"/>
            <w:shd w:val="clear" w:color="auto" w:fill="auto"/>
          </w:tcPr>
          <w:p w:rsidR="00E2105B" w:rsidRPr="00D16924" w:rsidRDefault="00786275" w:rsidP="00BF304D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lang w:val="cs-CZ"/>
              </w:rPr>
            </w:pPr>
            <w:r w:rsidRPr="00D16924">
              <w:rPr>
                <w:bCs/>
                <w:noProof/>
                <w:szCs w:val="22"/>
                <w:lang w:val="cs-CZ"/>
              </w:rPr>
              <w:drawing>
                <wp:inline distT="0" distB="0" distL="0" distR="0">
                  <wp:extent cx="1171575" cy="1076325"/>
                  <wp:effectExtent l="0" t="0" r="0" b="0"/>
                  <wp:docPr id="1" name="obrázek 1" descr="Schermafbeelding 2011-10-31 o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ermafbeelding 2011-10-31 o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05B" w:rsidRPr="00D16924" w:rsidRDefault="00E2105B" w:rsidP="00BF304D">
            <w:pPr>
              <w:tabs>
                <w:tab w:val="clear" w:pos="567"/>
              </w:tabs>
              <w:spacing w:line="240" w:lineRule="auto"/>
              <w:rPr>
                <w:bCs/>
                <w:szCs w:val="22"/>
                <w:lang w:val="cs-CZ"/>
              </w:rPr>
            </w:pPr>
            <w:r w:rsidRPr="00D16924">
              <w:rPr>
                <w:bCs/>
                <w:szCs w:val="22"/>
                <w:lang w:val="cs-CZ"/>
              </w:rPr>
              <w:t xml:space="preserve">- </w:t>
            </w:r>
            <w:r>
              <w:rPr>
                <w:bCs/>
                <w:szCs w:val="22"/>
                <w:lang w:val="cs-CZ"/>
              </w:rPr>
              <w:t>Položte tabletu kulatou stranou dolů na rovnou plochu.</w:t>
            </w:r>
          </w:p>
          <w:p w:rsidR="00E2105B" w:rsidRDefault="00E2105B" w:rsidP="00BF304D">
            <w:pPr>
              <w:tabs>
                <w:tab w:val="clear" w:pos="567"/>
              </w:tabs>
              <w:spacing w:line="240" w:lineRule="auto"/>
              <w:rPr>
                <w:bCs/>
                <w:szCs w:val="22"/>
                <w:lang w:val="cs-CZ"/>
              </w:rPr>
            </w:pPr>
            <w:r w:rsidRPr="00D16924">
              <w:rPr>
                <w:bCs/>
                <w:szCs w:val="22"/>
                <w:lang w:val="cs-CZ"/>
              </w:rPr>
              <w:t xml:space="preserve">- </w:t>
            </w:r>
            <w:r>
              <w:rPr>
                <w:bCs/>
                <w:szCs w:val="22"/>
                <w:lang w:val="cs-CZ"/>
              </w:rPr>
              <w:t xml:space="preserve">Rozdělte tabletu na čtyři stejné díly zatlačením na tabletu </w:t>
            </w:r>
          </w:p>
          <w:p w:rsidR="00E2105B" w:rsidRPr="00D16924" w:rsidRDefault="00E2105B" w:rsidP="00BF304D">
            <w:pPr>
              <w:tabs>
                <w:tab w:val="clear" w:pos="567"/>
              </w:tabs>
              <w:spacing w:line="240" w:lineRule="auto"/>
              <w:rPr>
                <w:bCs/>
                <w:szCs w:val="22"/>
                <w:lang w:val="cs-CZ"/>
              </w:rPr>
            </w:pPr>
            <w:r>
              <w:rPr>
                <w:bCs/>
                <w:szCs w:val="22"/>
                <w:lang w:val="cs-CZ"/>
              </w:rPr>
              <w:t xml:space="preserve">  palcem nebo ukazováčkem.</w:t>
            </w:r>
          </w:p>
        </w:tc>
        <w:tc>
          <w:tcPr>
            <w:tcW w:w="3727" w:type="dxa"/>
            <w:shd w:val="clear" w:color="auto" w:fill="auto"/>
          </w:tcPr>
          <w:p w:rsidR="00E2105B" w:rsidRPr="00D16924" w:rsidRDefault="00786275" w:rsidP="00BF304D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lang w:val="cs-CZ"/>
              </w:rPr>
            </w:pPr>
            <w:r w:rsidRPr="00D16924">
              <w:rPr>
                <w:bCs/>
                <w:noProof/>
                <w:szCs w:val="22"/>
                <w:lang w:val="cs-CZ"/>
              </w:rPr>
              <w:drawing>
                <wp:inline distT="0" distB="0" distL="0" distR="0">
                  <wp:extent cx="1400175" cy="1800225"/>
                  <wp:effectExtent l="0" t="0" r="0" b="0"/>
                  <wp:docPr id="2" name="obrázek 2" descr="Schermafbeelding 2011-10-31 o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fbeelding 2011-10-31 o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05B" w:rsidRPr="00D16924" w:rsidRDefault="00E2105B" w:rsidP="00E2105B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</w:p>
    <w:p w:rsidR="00D705B0" w:rsidRPr="007D7AD4" w:rsidRDefault="00D705B0" w:rsidP="00D27A17">
      <w:pPr>
        <w:tabs>
          <w:tab w:val="clear" w:pos="567"/>
        </w:tabs>
        <w:spacing w:line="240" w:lineRule="auto"/>
        <w:jc w:val="both"/>
        <w:rPr>
          <w:bCs/>
          <w:lang w:val="cs-CZ"/>
        </w:rPr>
      </w:pPr>
      <w:r w:rsidRPr="007D7AD4">
        <w:rPr>
          <w:lang w:val="cs-CZ"/>
        </w:rPr>
        <w:lastRenderedPageBreak/>
        <w:t xml:space="preserve">Sérové koncentrace fenobarbitalu by měly být měřeny po dosažení rovnovážného stavu. </w:t>
      </w:r>
      <w:r w:rsidR="004A633E" w:rsidRPr="00B40A44">
        <w:rPr>
          <w:lang w:val="cs-CZ"/>
        </w:rPr>
        <w:t>Krevní vzorky je možno odebírat současně, aby bylo možné stanovit koncentrace plazmatického fenobarbitalu přednostně během nejnižších hodnot, těsně před tím, než bude podávána další dávka fenobarbitalu.</w:t>
      </w:r>
      <w:r w:rsidR="004A633E">
        <w:rPr>
          <w:lang w:val="cs-CZ"/>
        </w:rPr>
        <w:t xml:space="preserve"> </w:t>
      </w:r>
      <w:r w:rsidRPr="007D7AD4">
        <w:rPr>
          <w:lang w:val="cs-CZ"/>
        </w:rPr>
        <w:t>Ideální terapeutické rozmezí pro sérové koncentrace fenobarbitalu je mezi 15 a 40 µg/ml. Pokud je hladina fenobarbitalu v séru nižší než 15µg/ml nebo záchvaty nejsou pod kontrolou, může být dávka pokaždé zvýšena o 20</w:t>
      </w:r>
      <w:r>
        <w:rPr>
          <w:lang w:val="cs-CZ"/>
        </w:rPr>
        <w:t xml:space="preserve"> </w:t>
      </w:r>
      <w:r w:rsidRPr="007D7AD4">
        <w:rPr>
          <w:lang w:val="cs-CZ"/>
        </w:rPr>
        <w:t xml:space="preserve">% společně s monitorováním sérových hladin fenobarbitalu až do maximální koncentrace v séru 45 µg/ml. Konečné dávky se mohou značně lišit (v rozsahu od 1 mg do 15 mg/kg </w:t>
      </w:r>
      <w:r>
        <w:rPr>
          <w:lang w:val="cs-CZ"/>
        </w:rPr>
        <w:t>ž</w:t>
      </w:r>
      <w:r w:rsidR="00461C9A">
        <w:rPr>
          <w:lang w:val="cs-CZ"/>
        </w:rPr>
        <w:t>.</w:t>
      </w:r>
      <w:r>
        <w:rPr>
          <w:lang w:val="cs-CZ"/>
        </w:rPr>
        <w:t xml:space="preserve"> </w:t>
      </w:r>
      <w:r w:rsidRPr="007D7AD4">
        <w:rPr>
          <w:lang w:val="cs-CZ"/>
        </w:rPr>
        <w:t>hm</w:t>
      </w:r>
      <w:r w:rsidR="00461C9A">
        <w:rPr>
          <w:lang w:val="cs-CZ"/>
        </w:rPr>
        <w:t>.</w:t>
      </w:r>
      <w:r w:rsidRPr="007D7AD4">
        <w:rPr>
          <w:lang w:val="cs-CZ"/>
        </w:rPr>
        <w:t xml:space="preserve"> dvakrát denně) z důvodu rozdílů ve vylučování fenobarbitalu a rozdílů v citlivosti mezi pacienty.</w:t>
      </w:r>
    </w:p>
    <w:p w:rsidR="00D705B0" w:rsidRPr="007D7AD4" w:rsidRDefault="00D705B0" w:rsidP="00D27A17">
      <w:pPr>
        <w:jc w:val="both"/>
        <w:rPr>
          <w:rFonts w:cs="Arial"/>
          <w:bCs/>
          <w:iCs/>
          <w:lang w:val="cs-CZ"/>
        </w:rPr>
      </w:pPr>
      <w:r w:rsidRPr="007D7AD4">
        <w:rPr>
          <w:lang w:val="cs-CZ"/>
        </w:rPr>
        <w:t xml:space="preserve">Pokud nejsou záchvaty uspokojivě </w:t>
      </w:r>
      <w:r>
        <w:rPr>
          <w:lang w:val="cs-CZ"/>
        </w:rPr>
        <w:t xml:space="preserve">potlačeny </w:t>
      </w:r>
      <w:r w:rsidRPr="007D7AD4">
        <w:rPr>
          <w:lang w:val="cs-CZ"/>
        </w:rPr>
        <w:t xml:space="preserve">a v případě, že maximální hladina koncentrace </w:t>
      </w:r>
      <w:r>
        <w:rPr>
          <w:lang w:val="cs-CZ"/>
        </w:rPr>
        <w:t>pohybuje kolem</w:t>
      </w:r>
      <w:r w:rsidRPr="007D7AD4">
        <w:rPr>
          <w:lang w:val="cs-CZ"/>
        </w:rPr>
        <w:t xml:space="preserve"> 40</w:t>
      </w:r>
      <w:r w:rsidR="00401FC9">
        <w:rPr>
          <w:lang w:val="cs-CZ"/>
        </w:rPr>
        <w:t xml:space="preserve"> </w:t>
      </w:r>
      <w:proofErr w:type="spellStart"/>
      <w:r w:rsidRPr="007D7AD4">
        <w:rPr>
          <w:lang w:val="cs-CZ"/>
        </w:rPr>
        <w:t>μg</w:t>
      </w:r>
      <w:proofErr w:type="spellEnd"/>
      <w:r w:rsidRPr="007D7AD4">
        <w:rPr>
          <w:lang w:val="cs-CZ"/>
        </w:rPr>
        <w:t>/ml, měla</w:t>
      </w:r>
      <w:r>
        <w:rPr>
          <w:lang w:val="cs-CZ"/>
        </w:rPr>
        <w:t xml:space="preserve"> by</w:t>
      </w:r>
      <w:r w:rsidRPr="007D7AD4">
        <w:rPr>
          <w:lang w:val="cs-CZ"/>
        </w:rPr>
        <w:t xml:space="preserve"> být diagnóza přehodnocena nebo by </w:t>
      </w:r>
      <w:r>
        <w:rPr>
          <w:lang w:val="cs-CZ"/>
        </w:rPr>
        <w:t xml:space="preserve">jako součást léčebného postupu </w:t>
      </w:r>
      <w:r w:rsidRPr="007D7AD4">
        <w:rPr>
          <w:lang w:val="cs-CZ"/>
        </w:rPr>
        <w:t xml:space="preserve">měl být přidán druhý </w:t>
      </w:r>
      <w:proofErr w:type="spellStart"/>
      <w:r w:rsidRPr="007D7AD4">
        <w:rPr>
          <w:lang w:val="cs-CZ"/>
        </w:rPr>
        <w:t>antiepileptický</w:t>
      </w:r>
      <w:proofErr w:type="spellEnd"/>
      <w:r w:rsidRPr="007D7AD4">
        <w:rPr>
          <w:lang w:val="cs-CZ"/>
        </w:rPr>
        <w:t xml:space="preserve"> </w:t>
      </w:r>
      <w:r>
        <w:rPr>
          <w:lang w:val="cs-CZ"/>
        </w:rPr>
        <w:t>přípravek</w:t>
      </w:r>
      <w:r w:rsidRPr="007D7AD4">
        <w:rPr>
          <w:lang w:val="cs-CZ"/>
        </w:rPr>
        <w:t xml:space="preserve"> (</w:t>
      </w:r>
      <w:r>
        <w:rPr>
          <w:lang w:val="cs-CZ"/>
        </w:rPr>
        <w:t xml:space="preserve">jako jsou </w:t>
      </w:r>
      <w:r w:rsidRPr="007D7AD4">
        <w:rPr>
          <w:lang w:val="cs-CZ"/>
        </w:rPr>
        <w:t>bromid</w:t>
      </w:r>
      <w:r>
        <w:rPr>
          <w:lang w:val="cs-CZ"/>
        </w:rPr>
        <w:t>y</w:t>
      </w:r>
      <w:r w:rsidRPr="007D7AD4">
        <w:rPr>
          <w:lang w:val="cs-CZ"/>
        </w:rPr>
        <w:t>).</w:t>
      </w:r>
    </w:p>
    <w:p w:rsidR="00D705B0" w:rsidRPr="007D7AD4" w:rsidRDefault="00D705B0" w:rsidP="00D27A17">
      <w:pPr>
        <w:tabs>
          <w:tab w:val="left" w:pos="540"/>
        </w:tabs>
        <w:jc w:val="both"/>
        <w:rPr>
          <w:lang w:val="cs-CZ"/>
        </w:rPr>
      </w:pPr>
      <w:r w:rsidRPr="007D7AD4">
        <w:rPr>
          <w:lang w:val="cs-CZ"/>
        </w:rPr>
        <w:t xml:space="preserve">U stabilizovaných pacientů s epilepsií se nedoporučuje přejít z jiných přípravků s fenobarbitalem na tablety </w:t>
      </w:r>
      <w:proofErr w:type="spellStart"/>
      <w:r w:rsidRPr="007D7AD4">
        <w:rPr>
          <w:lang w:val="cs-CZ"/>
        </w:rPr>
        <w:t>Phenoleptil</w:t>
      </w:r>
      <w:proofErr w:type="spellEnd"/>
      <w:r w:rsidRPr="007D7AD4">
        <w:rPr>
          <w:lang w:val="cs-CZ"/>
        </w:rPr>
        <w:t xml:space="preserve">. Nicméně pokud se tomu nedá vyhnout, měla by být </w:t>
      </w:r>
      <w:r>
        <w:rPr>
          <w:lang w:val="cs-CZ"/>
        </w:rPr>
        <w:t xml:space="preserve">pacientovi </w:t>
      </w:r>
      <w:r w:rsidRPr="007D7AD4">
        <w:rPr>
          <w:lang w:val="cs-CZ"/>
        </w:rPr>
        <w:t>věnována zvláštní</w:t>
      </w:r>
      <w:r>
        <w:rPr>
          <w:lang w:val="cs-CZ"/>
        </w:rPr>
        <w:t xml:space="preserve"> </w:t>
      </w:r>
      <w:r w:rsidRPr="00097AF8">
        <w:rPr>
          <w:lang w:val="cs-CZ"/>
        </w:rPr>
        <w:t>pozornost.</w:t>
      </w:r>
      <w:r w:rsidRPr="007D7AD4">
        <w:rPr>
          <w:lang w:val="cs-CZ"/>
        </w:rPr>
        <w:t xml:space="preserve"> Doporučuje se snažit </w:t>
      </w:r>
      <w:r>
        <w:rPr>
          <w:lang w:val="cs-CZ"/>
        </w:rPr>
        <w:t xml:space="preserve">se </w:t>
      </w:r>
      <w:r w:rsidRPr="007D7AD4">
        <w:rPr>
          <w:lang w:val="cs-CZ"/>
        </w:rPr>
        <w:t>dosáhnout co nejpodobnější dávk</w:t>
      </w:r>
      <w:r>
        <w:rPr>
          <w:lang w:val="cs-CZ"/>
        </w:rPr>
        <w:t>y</w:t>
      </w:r>
      <w:r w:rsidRPr="007D7AD4">
        <w:rPr>
          <w:lang w:val="cs-CZ"/>
        </w:rPr>
        <w:t xml:space="preserve"> ve srovnání s předchozím přípravkem s ohledem na měření aktuální koncentrace v plazmě. Měly by být dodržovány </w:t>
      </w:r>
      <w:r w:rsidRPr="00722661">
        <w:rPr>
          <w:lang w:val="cs-CZ"/>
        </w:rPr>
        <w:t>stabilizační postupy</w:t>
      </w:r>
      <w:r w:rsidRPr="007D7AD4">
        <w:rPr>
          <w:lang w:val="cs-CZ"/>
        </w:rPr>
        <w:t xml:space="preserve"> jako při zahájení léčby. Viz také </w:t>
      </w:r>
      <w:r>
        <w:rPr>
          <w:lang w:val="cs-CZ"/>
        </w:rPr>
        <w:t>bod 12.</w:t>
      </w:r>
    </w:p>
    <w:p w:rsidR="00AE5E0C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AE5E0C" w:rsidRPr="007D7AD4" w:rsidRDefault="00AE5E0C" w:rsidP="00D27A17">
      <w:pPr>
        <w:spacing w:line="240" w:lineRule="auto"/>
        <w:ind w:left="567" w:hanging="567"/>
        <w:jc w:val="both"/>
        <w:rPr>
          <w:lang w:val="cs-CZ"/>
        </w:rPr>
      </w:pPr>
      <w:r w:rsidRPr="007D7AD4">
        <w:rPr>
          <w:b/>
          <w:lang w:val="cs-CZ"/>
        </w:rPr>
        <w:t>10.</w:t>
      </w:r>
      <w:r w:rsidRPr="007D7AD4">
        <w:rPr>
          <w:b/>
          <w:lang w:val="cs-CZ"/>
        </w:rPr>
        <w:tab/>
      </w:r>
      <w:r w:rsidR="009F7587" w:rsidRPr="007D7AD4">
        <w:rPr>
          <w:b/>
          <w:lang w:val="cs-CZ"/>
        </w:rPr>
        <w:t>OCHRANNÁ</w:t>
      </w:r>
      <w:r w:rsidR="00D14B45">
        <w:rPr>
          <w:b/>
          <w:lang w:val="cs-CZ"/>
        </w:rPr>
        <w:t>(É)</w:t>
      </w:r>
      <w:r w:rsidR="009F7587" w:rsidRPr="007D7AD4">
        <w:rPr>
          <w:b/>
          <w:lang w:val="cs-CZ"/>
        </w:rPr>
        <w:t xml:space="preserve"> LHŮTA</w:t>
      </w:r>
      <w:r w:rsidR="00D14B45">
        <w:rPr>
          <w:b/>
          <w:lang w:val="cs-CZ"/>
        </w:rPr>
        <w:t>(Y)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iCs/>
          <w:lang w:val="cs-CZ"/>
        </w:rPr>
      </w:pPr>
    </w:p>
    <w:p w:rsidR="00AE5E0C" w:rsidRPr="007D7AD4" w:rsidRDefault="0066190F" w:rsidP="00D27A17">
      <w:pPr>
        <w:tabs>
          <w:tab w:val="clear" w:pos="567"/>
        </w:tabs>
        <w:spacing w:line="240" w:lineRule="auto"/>
        <w:jc w:val="both"/>
        <w:rPr>
          <w:iCs/>
          <w:lang w:val="cs-CZ"/>
        </w:rPr>
      </w:pPr>
      <w:r w:rsidRPr="0066190F">
        <w:rPr>
          <w:iCs/>
          <w:lang w:val="cs-CZ"/>
        </w:rPr>
        <w:t>Není určeno pro potravinová zvířata.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iCs/>
          <w:lang w:val="cs-CZ"/>
        </w:rPr>
      </w:pPr>
    </w:p>
    <w:p w:rsidR="00AE5E0C" w:rsidRPr="007D7AD4" w:rsidRDefault="00AE5E0C" w:rsidP="00D27A17">
      <w:pPr>
        <w:spacing w:line="240" w:lineRule="auto"/>
        <w:ind w:left="567" w:hanging="567"/>
        <w:jc w:val="both"/>
        <w:rPr>
          <w:lang w:val="cs-CZ"/>
        </w:rPr>
      </w:pPr>
      <w:r w:rsidRPr="007D7AD4">
        <w:rPr>
          <w:b/>
          <w:lang w:val="cs-CZ"/>
        </w:rPr>
        <w:t>11.</w:t>
      </w:r>
      <w:r w:rsidRPr="007D7AD4">
        <w:rPr>
          <w:b/>
          <w:lang w:val="cs-CZ"/>
        </w:rPr>
        <w:tab/>
      </w:r>
      <w:r w:rsidR="009F7587" w:rsidRPr="007D7AD4">
        <w:rPr>
          <w:b/>
          <w:lang w:val="cs-CZ"/>
        </w:rPr>
        <w:t>ZVLÁŠTNÍ OPATŘENÍ PRO UCHOVÁVÁNÍ</w:t>
      </w:r>
    </w:p>
    <w:p w:rsidR="00FE7229" w:rsidRDefault="00FE7229" w:rsidP="00D27A17">
      <w:pPr>
        <w:ind w:right="-318"/>
        <w:jc w:val="both"/>
        <w:rPr>
          <w:lang w:val="cs-CZ"/>
        </w:rPr>
      </w:pPr>
    </w:p>
    <w:p w:rsidR="00FE7229" w:rsidRPr="002251C3" w:rsidRDefault="00FE7229" w:rsidP="00D27A17">
      <w:pPr>
        <w:ind w:right="-318"/>
        <w:jc w:val="both"/>
        <w:rPr>
          <w:lang w:val="cs-CZ"/>
        </w:rPr>
      </w:pPr>
      <w:r w:rsidRPr="002251C3">
        <w:rPr>
          <w:lang w:val="cs-CZ"/>
        </w:rPr>
        <w:t>Uchovávejte při teplotě do 30</w:t>
      </w:r>
      <w:r w:rsidR="006C04F6">
        <w:rPr>
          <w:lang w:val="cs-CZ"/>
        </w:rPr>
        <w:t xml:space="preserve"> </w:t>
      </w:r>
      <w:r w:rsidRPr="002251C3">
        <w:rPr>
          <w:lang w:val="cs-CZ"/>
        </w:rPr>
        <w:sym w:font="Symbol" w:char="F0B0"/>
      </w:r>
      <w:r w:rsidRPr="002251C3">
        <w:rPr>
          <w:lang w:val="cs-CZ"/>
        </w:rPr>
        <w:t>C.</w:t>
      </w:r>
    </w:p>
    <w:p w:rsidR="00FE7229" w:rsidRPr="007D7AD4" w:rsidRDefault="00FE7229" w:rsidP="00D27A17">
      <w:pPr>
        <w:numPr>
          <w:ilvl w:val="12"/>
          <w:numId w:val="0"/>
        </w:numPr>
        <w:ind w:right="-2"/>
        <w:jc w:val="both"/>
        <w:rPr>
          <w:noProof/>
          <w:lang w:val="cs-CZ"/>
        </w:rPr>
      </w:pPr>
      <w:r w:rsidRPr="007D7AD4">
        <w:rPr>
          <w:lang w:val="cs-CZ"/>
        </w:rPr>
        <w:t>Uchovávat mimo do</w:t>
      </w:r>
      <w:r w:rsidR="00F847F1">
        <w:rPr>
          <w:lang w:val="cs-CZ"/>
        </w:rPr>
        <w:t>hle</w:t>
      </w:r>
      <w:r w:rsidR="00A22CD0">
        <w:rPr>
          <w:lang w:val="cs-CZ"/>
        </w:rPr>
        <w:t>d</w:t>
      </w:r>
      <w:r w:rsidR="00F847F1">
        <w:rPr>
          <w:lang w:val="cs-CZ"/>
        </w:rPr>
        <w:t xml:space="preserve"> a do</w:t>
      </w:r>
      <w:r w:rsidRPr="007D7AD4">
        <w:rPr>
          <w:lang w:val="cs-CZ"/>
        </w:rPr>
        <w:t>sah dětí</w:t>
      </w:r>
      <w:r w:rsidRPr="007D7AD4">
        <w:rPr>
          <w:noProof/>
          <w:lang w:val="cs-CZ"/>
        </w:rPr>
        <w:t>.</w:t>
      </w:r>
    </w:p>
    <w:p w:rsidR="00FE7229" w:rsidRPr="002251C3" w:rsidRDefault="00FE7229" w:rsidP="00D27A17">
      <w:pPr>
        <w:ind w:right="-318"/>
        <w:jc w:val="both"/>
        <w:rPr>
          <w:lang w:val="cs-CZ"/>
        </w:rPr>
      </w:pPr>
      <w:r w:rsidRPr="002251C3">
        <w:rPr>
          <w:lang w:val="cs-CZ"/>
        </w:rPr>
        <w:t>Uchovávejte</w:t>
      </w:r>
      <w:r w:rsidR="00461C9A">
        <w:rPr>
          <w:lang w:val="cs-CZ"/>
        </w:rPr>
        <w:t xml:space="preserve"> vnitřní </w:t>
      </w:r>
      <w:r w:rsidRPr="002251C3">
        <w:rPr>
          <w:lang w:val="cs-CZ"/>
        </w:rPr>
        <w:t>obal v krabičce, aby byl chráněn před světlem.</w:t>
      </w:r>
    </w:p>
    <w:p w:rsidR="00FE7229" w:rsidRPr="007D7AD4" w:rsidRDefault="00FE7229" w:rsidP="00D27A17">
      <w:pPr>
        <w:numPr>
          <w:ilvl w:val="12"/>
          <w:numId w:val="0"/>
        </w:numPr>
        <w:ind w:right="-2"/>
        <w:jc w:val="both"/>
        <w:rPr>
          <w:noProof/>
          <w:lang w:val="cs-CZ"/>
        </w:rPr>
      </w:pPr>
      <w:r w:rsidRPr="007D7AD4">
        <w:rPr>
          <w:lang w:val="cs-CZ"/>
        </w:rPr>
        <w:t xml:space="preserve">Nepoužívejte po uplynutí doby použitelnost uvedené na </w:t>
      </w:r>
      <w:r>
        <w:rPr>
          <w:lang w:val="cs-CZ"/>
        </w:rPr>
        <w:t>štítku</w:t>
      </w:r>
      <w:r w:rsidRPr="007D7AD4">
        <w:rPr>
          <w:lang w:val="cs-CZ"/>
        </w:rPr>
        <w:t xml:space="preserve"> blistru a na krabičce</w:t>
      </w:r>
      <w:r w:rsidRPr="007D7AD4">
        <w:rPr>
          <w:noProof/>
          <w:lang w:val="cs-CZ"/>
        </w:rPr>
        <w:t>.</w:t>
      </w:r>
    </w:p>
    <w:p w:rsidR="00E2105B" w:rsidRPr="00D16924" w:rsidRDefault="00E2105B" w:rsidP="00E2105B">
      <w:pPr>
        <w:tabs>
          <w:tab w:val="clear" w:pos="567"/>
        </w:tabs>
        <w:spacing w:line="240" w:lineRule="auto"/>
        <w:ind w:right="-318"/>
        <w:outlineLvl w:val="0"/>
        <w:rPr>
          <w:szCs w:val="22"/>
          <w:lang w:val="cs-CZ"/>
        </w:rPr>
      </w:pPr>
      <w:r>
        <w:rPr>
          <w:szCs w:val="22"/>
          <w:lang w:val="cs-CZ"/>
        </w:rPr>
        <w:t>Vraťte všechny rozdělené tablety zpět do otevřeného blistru a spotřebujte do 48 hodin</w:t>
      </w:r>
      <w:r w:rsidRPr="00D16924">
        <w:rPr>
          <w:szCs w:val="22"/>
          <w:lang w:val="cs-CZ"/>
        </w:rPr>
        <w:t>.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AE5E0C" w:rsidRPr="007D7AD4" w:rsidRDefault="00AE5E0C" w:rsidP="00D27A17">
      <w:pPr>
        <w:spacing w:line="240" w:lineRule="auto"/>
        <w:ind w:left="567" w:hanging="567"/>
        <w:jc w:val="both"/>
        <w:rPr>
          <w:b/>
          <w:lang w:val="cs-CZ"/>
        </w:rPr>
      </w:pPr>
      <w:r w:rsidRPr="007D7AD4">
        <w:rPr>
          <w:b/>
          <w:lang w:val="cs-CZ"/>
        </w:rPr>
        <w:t>12.</w:t>
      </w:r>
      <w:r w:rsidRPr="007D7AD4">
        <w:rPr>
          <w:b/>
          <w:lang w:val="cs-CZ"/>
        </w:rPr>
        <w:tab/>
      </w:r>
      <w:r w:rsidR="009F7587" w:rsidRPr="007D7AD4">
        <w:rPr>
          <w:b/>
          <w:lang w:val="cs-CZ"/>
        </w:rPr>
        <w:t>ZVLÁŠTNÍ UPOZORNĚNÍ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673FEB" w:rsidRPr="0067752B" w:rsidRDefault="00673FEB" w:rsidP="00D27A17">
      <w:pPr>
        <w:spacing w:line="240" w:lineRule="auto"/>
        <w:jc w:val="both"/>
        <w:rPr>
          <w:u w:val="single"/>
          <w:lang w:val="cs-CZ"/>
        </w:rPr>
      </w:pPr>
      <w:r w:rsidRPr="0067752B">
        <w:rPr>
          <w:u w:val="single"/>
          <w:lang w:val="cs-CZ"/>
        </w:rPr>
        <w:t>Zvláštní upozornění pro každý cílový druh</w:t>
      </w:r>
      <w:r w:rsidR="00A22CD0">
        <w:rPr>
          <w:u w:val="single"/>
          <w:lang w:val="cs-CZ"/>
        </w:rPr>
        <w:t>:</w:t>
      </w:r>
    </w:p>
    <w:p w:rsidR="00D705B0" w:rsidRPr="007D7AD4" w:rsidRDefault="00461C9A" w:rsidP="00D27A17">
      <w:pPr>
        <w:jc w:val="both"/>
        <w:rPr>
          <w:rFonts w:cs="Arial"/>
          <w:bCs/>
          <w:iCs/>
          <w:lang w:val="cs-CZ"/>
        </w:rPr>
      </w:pPr>
      <w:r>
        <w:rPr>
          <w:lang w:val="cs-CZ"/>
        </w:rPr>
        <w:t>O z</w:t>
      </w:r>
      <w:r w:rsidR="00D705B0" w:rsidRPr="007D7AD4">
        <w:rPr>
          <w:lang w:val="cs-CZ"/>
        </w:rPr>
        <w:t xml:space="preserve">ahájení </w:t>
      </w:r>
      <w:proofErr w:type="spellStart"/>
      <w:r w:rsidR="00D705B0" w:rsidRPr="007D7AD4">
        <w:rPr>
          <w:lang w:val="cs-CZ"/>
        </w:rPr>
        <w:t>antiepileptické</w:t>
      </w:r>
      <w:proofErr w:type="spellEnd"/>
      <w:r w:rsidR="00D705B0" w:rsidRPr="007D7AD4">
        <w:rPr>
          <w:lang w:val="cs-CZ"/>
        </w:rPr>
        <w:t xml:space="preserve"> léčby fenobarbitalem by mělo být </w:t>
      </w:r>
      <w:r>
        <w:rPr>
          <w:lang w:val="cs-CZ"/>
        </w:rPr>
        <w:t xml:space="preserve">rozhodnuto </w:t>
      </w:r>
      <w:r w:rsidR="00D705B0">
        <w:rPr>
          <w:lang w:val="cs-CZ"/>
        </w:rPr>
        <w:t xml:space="preserve">na základě </w:t>
      </w:r>
      <w:r w:rsidR="00D705B0" w:rsidRPr="007D7AD4">
        <w:rPr>
          <w:lang w:val="cs-CZ"/>
        </w:rPr>
        <w:t>vyhodnocen</w:t>
      </w:r>
      <w:r w:rsidR="00D705B0">
        <w:rPr>
          <w:lang w:val="cs-CZ"/>
        </w:rPr>
        <w:t>í</w:t>
      </w:r>
      <w:r w:rsidR="00D705B0" w:rsidRPr="007D7AD4">
        <w:rPr>
          <w:lang w:val="cs-CZ"/>
        </w:rPr>
        <w:t xml:space="preserve"> každ</w:t>
      </w:r>
      <w:r w:rsidR="00D705B0">
        <w:rPr>
          <w:lang w:val="cs-CZ"/>
        </w:rPr>
        <w:t>ého individuálního</w:t>
      </w:r>
      <w:r w:rsidR="00D705B0" w:rsidRPr="007D7AD4">
        <w:rPr>
          <w:lang w:val="cs-CZ"/>
        </w:rPr>
        <w:t xml:space="preserve"> případ</w:t>
      </w:r>
      <w:r w:rsidR="00D705B0">
        <w:rPr>
          <w:lang w:val="cs-CZ"/>
        </w:rPr>
        <w:t>u</w:t>
      </w:r>
      <w:r w:rsidR="00D705B0" w:rsidRPr="007D7AD4">
        <w:rPr>
          <w:lang w:val="cs-CZ"/>
        </w:rPr>
        <w:t xml:space="preserve"> a závisí na počtu, frekvenci, dél</w:t>
      </w:r>
      <w:r w:rsidR="00D705B0">
        <w:rPr>
          <w:lang w:val="cs-CZ"/>
        </w:rPr>
        <w:t>ce</w:t>
      </w:r>
      <w:r w:rsidR="00D705B0" w:rsidRPr="007D7AD4">
        <w:rPr>
          <w:lang w:val="cs-CZ"/>
        </w:rPr>
        <w:t xml:space="preserve"> trvání a závažnosti záchvatů u psů.</w:t>
      </w:r>
    </w:p>
    <w:p w:rsidR="00673FEB" w:rsidRPr="007D7AD4" w:rsidRDefault="00673FEB" w:rsidP="00D27A17">
      <w:pPr>
        <w:jc w:val="both"/>
        <w:rPr>
          <w:rFonts w:cs="Arial"/>
          <w:bCs/>
          <w:iCs/>
          <w:lang w:val="cs-CZ"/>
        </w:rPr>
      </w:pPr>
      <w:r w:rsidRPr="007D7AD4">
        <w:rPr>
          <w:lang w:val="cs-CZ"/>
        </w:rPr>
        <w:t>Mezi obecná doporučení pro zahájení léčby patří jeden záchvat vyskytující se více než jednou za 4-6 týdnů, klastrová záchvatová aktivita (tj. více než jeden záchvat během 24 h</w:t>
      </w:r>
      <w:r w:rsidR="00D705B0">
        <w:rPr>
          <w:lang w:val="cs-CZ"/>
        </w:rPr>
        <w:t>od.</w:t>
      </w:r>
      <w:r w:rsidRPr="007D7AD4">
        <w:rPr>
          <w:lang w:val="cs-CZ"/>
        </w:rPr>
        <w:t xml:space="preserve">) nebo status </w:t>
      </w:r>
      <w:proofErr w:type="spellStart"/>
      <w:r w:rsidRPr="007D7AD4">
        <w:rPr>
          <w:lang w:val="cs-CZ"/>
        </w:rPr>
        <w:t>epilepticus</w:t>
      </w:r>
      <w:proofErr w:type="spellEnd"/>
      <w:r w:rsidRPr="007D7AD4">
        <w:rPr>
          <w:lang w:val="cs-CZ"/>
        </w:rPr>
        <w:t xml:space="preserve"> bez ohledu na frekvenci.</w:t>
      </w:r>
    </w:p>
    <w:p w:rsidR="00673FEB" w:rsidRPr="007D7AD4" w:rsidRDefault="00673FEB" w:rsidP="00D27A17">
      <w:pPr>
        <w:spacing w:line="240" w:lineRule="auto"/>
        <w:jc w:val="both"/>
        <w:rPr>
          <w:lang w:val="cs-CZ"/>
        </w:rPr>
      </w:pPr>
      <w:r w:rsidRPr="007D7AD4">
        <w:rPr>
          <w:lang w:val="cs-CZ"/>
        </w:rPr>
        <w:t>Někteří psi jsou v průběhu léčby bez epileptických záchvatů, některým se ale záchvaty jenom omezí a někteří psi na tuto léčbu nereagují.</w:t>
      </w:r>
    </w:p>
    <w:p w:rsidR="00106999" w:rsidRDefault="00106999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673FEB" w:rsidRPr="0067752B" w:rsidRDefault="00673FEB" w:rsidP="00D27A17">
      <w:pPr>
        <w:tabs>
          <w:tab w:val="clear" w:pos="567"/>
        </w:tabs>
        <w:spacing w:line="240" w:lineRule="auto"/>
        <w:jc w:val="both"/>
        <w:rPr>
          <w:u w:val="single"/>
          <w:lang w:val="cs-CZ"/>
        </w:rPr>
      </w:pPr>
      <w:r w:rsidRPr="0067752B">
        <w:rPr>
          <w:u w:val="single"/>
          <w:lang w:val="cs-CZ"/>
        </w:rPr>
        <w:t>Zvláštní opatření pro použití u zvířat</w:t>
      </w:r>
      <w:r w:rsidR="00A22CD0">
        <w:rPr>
          <w:u w:val="single"/>
          <w:lang w:val="cs-CZ"/>
        </w:rPr>
        <w:t>:</w:t>
      </w:r>
    </w:p>
    <w:p w:rsidR="004A633E" w:rsidRPr="00B40A44" w:rsidRDefault="004A633E" w:rsidP="004A633E">
      <w:pPr>
        <w:jc w:val="both"/>
        <w:rPr>
          <w:lang w:val="cs-CZ"/>
        </w:rPr>
      </w:pPr>
      <w:r w:rsidRPr="00B40A44">
        <w:rPr>
          <w:lang w:val="cs-CZ"/>
        </w:rPr>
        <w:t xml:space="preserve">Ukončení léčby fenobarbitalem nebo přechod na jiné typy </w:t>
      </w:r>
      <w:proofErr w:type="spellStart"/>
      <w:r w:rsidRPr="00B40A44">
        <w:rPr>
          <w:lang w:val="cs-CZ"/>
        </w:rPr>
        <w:t>antiepileptické</w:t>
      </w:r>
      <w:proofErr w:type="spellEnd"/>
      <w:r w:rsidRPr="00B40A44">
        <w:rPr>
          <w:lang w:val="cs-CZ"/>
        </w:rPr>
        <w:t xml:space="preserve"> léčby nebo z jiných typů </w:t>
      </w:r>
      <w:proofErr w:type="spellStart"/>
      <w:r w:rsidRPr="00B40A44">
        <w:rPr>
          <w:lang w:val="cs-CZ"/>
        </w:rPr>
        <w:t>antiepileptické</w:t>
      </w:r>
      <w:proofErr w:type="spellEnd"/>
      <w:r w:rsidRPr="00B40A44">
        <w:rPr>
          <w:lang w:val="cs-CZ"/>
        </w:rPr>
        <w:t xml:space="preserve"> léčby by mělo být postupné, aby se zabránilo zvýšení frekvence záchvatů.</w:t>
      </w:r>
    </w:p>
    <w:p w:rsidR="00673FEB" w:rsidRPr="007D7AD4" w:rsidRDefault="00461C9A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>
        <w:rPr>
          <w:lang w:val="cs-CZ"/>
        </w:rPr>
        <w:t>U</w:t>
      </w:r>
      <w:r w:rsidR="00673FEB" w:rsidRPr="007D7AD4">
        <w:rPr>
          <w:lang w:val="cs-CZ"/>
        </w:rPr>
        <w:t xml:space="preserve"> zvířat s poruchou funkce ledvin, hypovolémií, anémií a srdeční nebo respirační dysfunkcí</w:t>
      </w:r>
      <w:r>
        <w:rPr>
          <w:lang w:val="cs-CZ"/>
        </w:rPr>
        <w:t xml:space="preserve"> je třeba dbát zvýšené opatrnosti.</w:t>
      </w:r>
    </w:p>
    <w:p w:rsidR="00D705B0" w:rsidRPr="007D7AD4" w:rsidRDefault="004A633E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B40A44">
        <w:rPr>
          <w:lang w:val="cs-CZ"/>
        </w:rPr>
        <w:t xml:space="preserve">Před zahájením léčby by mělo být provedeno sledování jaterních parametrů. </w:t>
      </w:r>
      <w:r>
        <w:rPr>
          <w:lang w:val="cs-CZ"/>
        </w:rPr>
        <w:t xml:space="preserve">Množství </w:t>
      </w:r>
      <w:r w:rsidR="00461C9A">
        <w:rPr>
          <w:lang w:val="cs-CZ"/>
        </w:rPr>
        <w:t xml:space="preserve">výskytu </w:t>
      </w:r>
      <w:proofErr w:type="spellStart"/>
      <w:r w:rsidR="00D705B0" w:rsidRPr="007D7AD4">
        <w:rPr>
          <w:lang w:val="cs-CZ"/>
        </w:rPr>
        <w:t>hepatotoxických</w:t>
      </w:r>
      <w:proofErr w:type="spellEnd"/>
      <w:r w:rsidR="00D705B0" w:rsidRPr="007D7AD4">
        <w:rPr>
          <w:lang w:val="cs-CZ"/>
        </w:rPr>
        <w:t xml:space="preserve"> nežádoucích účinků může být snížen</w:t>
      </w:r>
      <w:r w:rsidR="00461C9A">
        <w:rPr>
          <w:lang w:val="cs-CZ"/>
        </w:rPr>
        <w:t>o</w:t>
      </w:r>
      <w:r w:rsidR="00D705B0" w:rsidRPr="007D7AD4">
        <w:rPr>
          <w:lang w:val="cs-CZ"/>
        </w:rPr>
        <w:t xml:space="preserve"> nebo </w:t>
      </w:r>
      <w:r w:rsidR="00461C9A">
        <w:rPr>
          <w:lang w:val="cs-CZ"/>
        </w:rPr>
        <w:t>oddáleno</w:t>
      </w:r>
      <w:r w:rsidR="00D705B0">
        <w:rPr>
          <w:lang w:val="cs-CZ"/>
        </w:rPr>
        <w:t xml:space="preserve"> použitím nejnižší možné účinné dávky</w:t>
      </w:r>
      <w:r w:rsidR="00D705B0" w:rsidRPr="007D7AD4">
        <w:rPr>
          <w:lang w:val="cs-CZ"/>
        </w:rPr>
        <w:t>. V</w:t>
      </w:r>
      <w:r w:rsidR="00D705B0">
        <w:rPr>
          <w:lang w:val="cs-CZ"/>
        </w:rPr>
        <w:t xml:space="preserve"> </w:t>
      </w:r>
      <w:r w:rsidR="00D705B0" w:rsidRPr="007D7AD4">
        <w:rPr>
          <w:lang w:val="cs-CZ"/>
        </w:rPr>
        <w:t>případě dlouhodobé léčby</w:t>
      </w:r>
      <w:r w:rsidR="00D705B0">
        <w:rPr>
          <w:lang w:val="cs-CZ"/>
        </w:rPr>
        <w:t xml:space="preserve"> </w:t>
      </w:r>
      <w:r w:rsidR="00D705B0" w:rsidRPr="007D7AD4">
        <w:rPr>
          <w:lang w:val="cs-CZ"/>
        </w:rPr>
        <w:t>se doporučuje</w:t>
      </w:r>
      <w:r w:rsidR="00D705B0">
        <w:rPr>
          <w:lang w:val="cs-CZ"/>
        </w:rPr>
        <w:t xml:space="preserve"> s</w:t>
      </w:r>
      <w:r w:rsidR="00D705B0" w:rsidRPr="007D7AD4">
        <w:rPr>
          <w:lang w:val="cs-CZ"/>
        </w:rPr>
        <w:t>ledování jaterních parametrů</w:t>
      </w:r>
      <w:r w:rsidR="00D705B0">
        <w:rPr>
          <w:lang w:val="cs-CZ"/>
        </w:rPr>
        <w:t>.</w:t>
      </w:r>
    </w:p>
    <w:p w:rsidR="00D705B0" w:rsidRPr="007D7AD4" w:rsidRDefault="00D705B0" w:rsidP="00D27A17">
      <w:pPr>
        <w:spacing w:line="240" w:lineRule="auto"/>
        <w:jc w:val="both"/>
        <w:rPr>
          <w:lang w:val="cs-CZ"/>
        </w:rPr>
      </w:pPr>
      <w:r w:rsidRPr="007D7AD4">
        <w:rPr>
          <w:lang w:val="cs-CZ"/>
        </w:rPr>
        <w:t xml:space="preserve">Doporučuje se </w:t>
      </w:r>
      <w:r>
        <w:rPr>
          <w:lang w:val="cs-CZ"/>
        </w:rPr>
        <w:t xml:space="preserve">provést </w:t>
      </w:r>
      <w:r w:rsidR="00461C9A">
        <w:rPr>
          <w:lang w:val="cs-CZ"/>
        </w:rPr>
        <w:t xml:space="preserve">biochemické vyšetření </w:t>
      </w:r>
      <w:r w:rsidRPr="007D7AD4">
        <w:rPr>
          <w:lang w:val="cs-CZ"/>
        </w:rPr>
        <w:t xml:space="preserve">pacienta 2-3 týdny po zahájení léčby a poté každých 4-6 měsíců, např. měřením hodnot jaterních enzymů a sérové hladiny žlučových kyselin. Je důležité vědět, že účinky hypoxie </w:t>
      </w:r>
      <w:r w:rsidR="004A633E">
        <w:rPr>
          <w:lang w:val="cs-CZ"/>
        </w:rPr>
        <w:t xml:space="preserve">mohou </w:t>
      </w:r>
      <w:r w:rsidRPr="007D7AD4">
        <w:rPr>
          <w:lang w:val="cs-CZ"/>
        </w:rPr>
        <w:t>způsob</w:t>
      </w:r>
      <w:r w:rsidR="004A633E">
        <w:rPr>
          <w:lang w:val="cs-CZ"/>
        </w:rPr>
        <w:t>it</w:t>
      </w:r>
      <w:r w:rsidRPr="007D7AD4">
        <w:rPr>
          <w:lang w:val="cs-CZ"/>
        </w:rPr>
        <w:t xml:space="preserve"> zvýšení hladiny jaterních enzymů po záchvatu.</w:t>
      </w:r>
    </w:p>
    <w:p w:rsidR="00D705B0" w:rsidRPr="007D7AD4" w:rsidRDefault="00D705B0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>Fenobarbital může zvyšovat aktivitu alkalické fosfatázy a transamináz v</w:t>
      </w:r>
      <w:r>
        <w:rPr>
          <w:lang w:val="cs-CZ"/>
        </w:rPr>
        <w:t> </w:t>
      </w:r>
      <w:r w:rsidRPr="007D7AD4">
        <w:rPr>
          <w:lang w:val="cs-CZ"/>
        </w:rPr>
        <w:t>séru</w:t>
      </w:r>
      <w:r w:rsidR="00461C9A">
        <w:rPr>
          <w:lang w:val="cs-CZ"/>
        </w:rPr>
        <w:t>.</w:t>
      </w:r>
      <w:r w:rsidR="004A633E">
        <w:rPr>
          <w:lang w:val="cs-CZ"/>
        </w:rPr>
        <w:t xml:space="preserve"> </w:t>
      </w:r>
      <w:r w:rsidR="00461C9A">
        <w:rPr>
          <w:lang w:val="cs-CZ"/>
        </w:rPr>
        <w:t>Tyto změny mohou poukazovat na nepatologické změny,</w:t>
      </w:r>
      <w:r w:rsidR="005E7EAD">
        <w:rPr>
          <w:lang w:val="cs-CZ"/>
        </w:rPr>
        <w:t xml:space="preserve"> </w:t>
      </w:r>
      <w:r w:rsidR="00461C9A">
        <w:rPr>
          <w:lang w:val="cs-CZ"/>
        </w:rPr>
        <w:t xml:space="preserve">ale mohou </w:t>
      </w:r>
      <w:r w:rsidR="000E275E">
        <w:rPr>
          <w:lang w:val="cs-CZ"/>
        </w:rPr>
        <w:t xml:space="preserve">také </w:t>
      </w:r>
      <w:r w:rsidR="00461C9A">
        <w:rPr>
          <w:lang w:val="cs-CZ"/>
        </w:rPr>
        <w:t xml:space="preserve">vyjadřovat </w:t>
      </w:r>
      <w:proofErr w:type="spellStart"/>
      <w:r w:rsidR="00461C9A">
        <w:rPr>
          <w:lang w:val="cs-CZ"/>
        </w:rPr>
        <w:t>hepatotoxické</w:t>
      </w:r>
      <w:proofErr w:type="spellEnd"/>
      <w:r w:rsidR="00461C9A">
        <w:rPr>
          <w:lang w:val="cs-CZ"/>
        </w:rPr>
        <w:t xml:space="preserve"> změny</w:t>
      </w:r>
      <w:r w:rsidR="00F410A7" w:rsidRPr="00B40A44">
        <w:rPr>
          <w:lang w:val="cs-CZ"/>
        </w:rPr>
        <w:t xml:space="preserve">, z tohoto důvodu </w:t>
      </w:r>
      <w:r w:rsidRPr="007D7AD4">
        <w:rPr>
          <w:lang w:val="cs-CZ"/>
        </w:rPr>
        <w:t>se doporučuj</w:t>
      </w:r>
      <w:r>
        <w:rPr>
          <w:lang w:val="cs-CZ"/>
        </w:rPr>
        <w:t xml:space="preserve">e provést </w:t>
      </w:r>
      <w:r w:rsidRPr="007D7AD4">
        <w:rPr>
          <w:lang w:val="cs-CZ"/>
        </w:rPr>
        <w:t xml:space="preserve">jaterní testy. </w:t>
      </w:r>
      <w:r w:rsidR="00B3551D">
        <w:rPr>
          <w:lang w:val="cs-CZ"/>
        </w:rPr>
        <w:t>Z</w:t>
      </w:r>
      <w:r w:rsidRPr="007D7AD4">
        <w:rPr>
          <w:lang w:val="cs-CZ"/>
        </w:rPr>
        <w:t>výšen</w:t>
      </w:r>
      <w:r w:rsidR="00B3551D">
        <w:rPr>
          <w:lang w:val="cs-CZ"/>
        </w:rPr>
        <w:t>é</w:t>
      </w:r>
      <w:r w:rsidRPr="007D7AD4">
        <w:rPr>
          <w:lang w:val="cs-CZ"/>
        </w:rPr>
        <w:t xml:space="preserve"> hodnot</w:t>
      </w:r>
      <w:r w:rsidR="00B3551D">
        <w:rPr>
          <w:lang w:val="cs-CZ"/>
        </w:rPr>
        <w:t>y</w:t>
      </w:r>
      <w:r w:rsidRPr="007D7AD4">
        <w:rPr>
          <w:lang w:val="cs-CZ"/>
        </w:rPr>
        <w:t xml:space="preserve"> jaterních enzymů </w:t>
      </w:r>
      <w:r w:rsidR="00B3551D">
        <w:rPr>
          <w:lang w:val="cs-CZ"/>
        </w:rPr>
        <w:t>ne</w:t>
      </w:r>
      <w:r w:rsidR="00F410A7">
        <w:rPr>
          <w:lang w:val="cs-CZ"/>
        </w:rPr>
        <w:t xml:space="preserve">musí vždy </w:t>
      </w:r>
      <w:r w:rsidR="00B3551D">
        <w:rPr>
          <w:lang w:val="cs-CZ"/>
        </w:rPr>
        <w:t>vyžad</w:t>
      </w:r>
      <w:r w:rsidR="00F410A7">
        <w:rPr>
          <w:lang w:val="cs-CZ"/>
        </w:rPr>
        <w:t>ovat</w:t>
      </w:r>
      <w:r w:rsidR="00B3551D">
        <w:rPr>
          <w:lang w:val="cs-CZ"/>
        </w:rPr>
        <w:t xml:space="preserve"> snížení </w:t>
      </w:r>
      <w:r w:rsidRPr="007D7AD4">
        <w:rPr>
          <w:lang w:val="cs-CZ"/>
        </w:rPr>
        <w:t>dáv</w:t>
      </w:r>
      <w:r w:rsidR="00B3551D">
        <w:rPr>
          <w:lang w:val="cs-CZ"/>
        </w:rPr>
        <w:t>ek</w:t>
      </w:r>
      <w:r w:rsidRPr="007D7AD4">
        <w:rPr>
          <w:lang w:val="cs-CZ"/>
        </w:rPr>
        <w:t xml:space="preserve"> fenobarbitalu</w:t>
      </w:r>
      <w:r w:rsidR="00F410A7">
        <w:rPr>
          <w:lang w:val="cs-CZ"/>
        </w:rPr>
        <w:t>,</w:t>
      </w:r>
      <w:r w:rsidRPr="007D7AD4">
        <w:rPr>
          <w:lang w:val="cs-CZ"/>
        </w:rPr>
        <w:t xml:space="preserve"> pokud je hladina žlučov</w:t>
      </w:r>
      <w:r w:rsidR="00B3551D">
        <w:rPr>
          <w:lang w:val="cs-CZ"/>
        </w:rPr>
        <w:t>ých</w:t>
      </w:r>
      <w:r w:rsidRPr="007D7AD4">
        <w:rPr>
          <w:lang w:val="cs-CZ"/>
        </w:rPr>
        <w:t xml:space="preserve"> kyselin v séru v normálním rozmezí.</w:t>
      </w:r>
      <w:r w:rsidR="00D27A17">
        <w:rPr>
          <w:lang w:val="cs-CZ"/>
        </w:rPr>
        <w:t xml:space="preserve"> </w:t>
      </w:r>
    </w:p>
    <w:p w:rsidR="00F410A7" w:rsidRPr="007D7AD4" w:rsidRDefault="00F410A7" w:rsidP="00D27A17">
      <w:pPr>
        <w:spacing w:line="240" w:lineRule="auto"/>
        <w:jc w:val="both"/>
        <w:rPr>
          <w:lang w:val="cs-CZ"/>
        </w:rPr>
      </w:pPr>
    </w:p>
    <w:p w:rsidR="00F410A7" w:rsidRPr="00B40A44" w:rsidRDefault="00F410A7" w:rsidP="00F410A7">
      <w:pPr>
        <w:jc w:val="both"/>
        <w:rPr>
          <w:lang w:val="cs-CZ"/>
        </w:rPr>
      </w:pPr>
      <w:r w:rsidRPr="00B40A44">
        <w:rPr>
          <w:lang w:val="cs-CZ"/>
        </w:rPr>
        <w:lastRenderedPageBreak/>
        <w:t xml:space="preserve">S přihlédnutím k izolovaným zprávám popisujícím </w:t>
      </w:r>
      <w:proofErr w:type="spellStart"/>
      <w:r w:rsidRPr="00B40A44">
        <w:rPr>
          <w:lang w:val="cs-CZ"/>
        </w:rPr>
        <w:t>hepatotoxicitu</w:t>
      </w:r>
      <w:proofErr w:type="spellEnd"/>
      <w:r w:rsidRPr="00B40A44">
        <w:rPr>
          <w:lang w:val="cs-CZ"/>
        </w:rPr>
        <w:t xml:space="preserve"> spojenou s kombinovanou antikonvulzivní terapií se doporučuje:</w:t>
      </w:r>
    </w:p>
    <w:p w:rsidR="00F410A7" w:rsidRPr="00B40A44" w:rsidRDefault="00F410A7" w:rsidP="00F410A7">
      <w:pPr>
        <w:jc w:val="both"/>
        <w:rPr>
          <w:lang w:val="cs-CZ"/>
        </w:rPr>
      </w:pPr>
      <w:r w:rsidRPr="00B40A44">
        <w:rPr>
          <w:lang w:val="cs-CZ"/>
        </w:rPr>
        <w:t>1. Vyhodnotit funkci jater před zahájením léčby (např. měření sérových žlučových kyselin).</w:t>
      </w:r>
    </w:p>
    <w:p w:rsidR="00F410A7" w:rsidRPr="00B40A44" w:rsidRDefault="00F410A7" w:rsidP="00F410A7">
      <w:pPr>
        <w:jc w:val="both"/>
        <w:rPr>
          <w:lang w:val="cs-CZ"/>
        </w:rPr>
      </w:pPr>
      <w:r w:rsidRPr="00B40A44">
        <w:rPr>
          <w:lang w:val="cs-CZ"/>
        </w:rPr>
        <w:t>2. Monitorovat terapeutické koncentrace fenobarbitalu v séru tak, aby umožňovaly použití nejnižší účinné dávky. Typické koncentrace 15–</w:t>
      </w:r>
      <w:r w:rsidRPr="00B40A44">
        <w:rPr>
          <w:szCs w:val="22"/>
          <w:lang w:val="cs-CZ"/>
        </w:rPr>
        <w:t>45 µg/ml</w:t>
      </w:r>
      <w:r w:rsidRPr="00B40A44">
        <w:rPr>
          <w:sz w:val="24"/>
          <w:szCs w:val="24"/>
          <w:lang w:val="cs-CZ"/>
        </w:rPr>
        <w:t xml:space="preserve"> </w:t>
      </w:r>
      <w:r w:rsidRPr="00B40A44">
        <w:rPr>
          <w:lang w:val="cs-CZ"/>
        </w:rPr>
        <w:t>jsou pro kontrolu epilepsie účinné.</w:t>
      </w:r>
    </w:p>
    <w:p w:rsidR="00F410A7" w:rsidRPr="00B40A44" w:rsidRDefault="00F410A7" w:rsidP="00F410A7">
      <w:pPr>
        <w:jc w:val="both"/>
        <w:rPr>
          <w:lang w:val="cs-CZ"/>
        </w:rPr>
      </w:pPr>
      <w:r w:rsidRPr="00B40A44">
        <w:rPr>
          <w:lang w:val="cs-CZ"/>
        </w:rPr>
        <w:t>3. Pravidelně kontrolovat funkci jater (v intervalech 6 až 12 měsíců).</w:t>
      </w:r>
    </w:p>
    <w:p w:rsidR="00F410A7" w:rsidRPr="00B40A44" w:rsidRDefault="00F410A7" w:rsidP="00F410A7">
      <w:pPr>
        <w:jc w:val="both"/>
        <w:rPr>
          <w:lang w:val="cs-CZ"/>
        </w:rPr>
      </w:pPr>
      <w:r w:rsidRPr="00B40A44">
        <w:rPr>
          <w:lang w:val="cs-CZ"/>
        </w:rPr>
        <w:t>4. Pravidelně vyhodnocovat aktivitu záchvatů.</w:t>
      </w:r>
    </w:p>
    <w:p w:rsidR="00AE5E0C" w:rsidRDefault="00AE5E0C" w:rsidP="00D27A17">
      <w:pPr>
        <w:spacing w:line="240" w:lineRule="auto"/>
        <w:jc w:val="both"/>
        <w:rPr>
          <w:b/>
          <w:lang w:val="cs-CZ"/>
        </w:rPr>
      </w:pPr>
    </w:p>
    <w:p w:rsidR="00A22CD0" w:rsidRPr="0067752B" w:rsidRDefault="00A22CD0" w:rsidP="00A22CD0">
      <w:pPr>
        <w:jc w:val="both"/>
        <w:rPr>
          <w:u w:val="single"/>
          <w:lang w:val="cs-CZ"/>
        </w:rPr>
      </w:pPr>
      <w:r w:rsidRPr="0067752B">
        <w:rPr>
          <w:u w:val="single"/>
          <w:lang w:val="cs-CZ"/>
        </w:rPr>
        <w:t>Zvláštní opatření určené osobám, které podávají veterinární léčivý přípravek zvířatům:</w:t>
      </w:r>
    </w:p>
    <w:p w:rsidR="00A22CD0" w:rsidRPr="0067752B" w:rsidRDefault="00A22CD0" w:rsidP="00A22CD0">
      <w:pPr>
        <w:numPr>
          <w:ilvl w:val="0"/>
          <w:numId w:val="41"/>
        </w:numPr>
        <w:tabs>
          <w:tab w:val="clear" w:pos="567"/>
        </w:tabs>
        <w:spacing w:line="240" w:lineRule="auto"/>
        <w:ind w:left="284" w:hanging="284"/>
        <w:rPr>
          <w:lang w:val="cs-CZ"/>
        </w:rPr>
      </w:pPr>
      <w:r w:rsidRPr="0067752B">
        <w:rPr>
          <w:szCs w:val="22"/>
          <w:lang w:val="cs-CZ"/>
        </w:rPr>
        <w:t>Barbituráty mohou způsobovat přecitlivělost.</w:t>
      </w:r>
      <w:r w:rsidRPr="0067752B">
        <w:rPr>
          <w:rFonts w:ascii="Arial" w:hAnsi="Arial" w:cs="Arial"/>
          <w:sz w:val="24"/>
          <w:szCs w:val="24"/>
          <w:lang w:val="cs-CZ"/>
        </w:rPr>
        <w:t xml:space="preserve"> </w:t>
      </w:r>
      <w:r w:rsidRPr="0067752B">
        <w:rPr>
          <w:lang w:val="cs-CZ"/>
        </w:rPr>
        <w:t>Lidé se známou přecitlivělostí na barbituráty by se měli vyhnout kontaktu s veterinárním léčivým přípravkem.</w:t>
      </w:r>
    </w:p>
    <w:p w:rsidR="00A22CD0" w:rsidRPr="0067752B" w:rsidRDefault="00A22CD0" w:rsidP="00A22CD0">
      <w:pPr>
        <w:numPr>
          <w:ilvl w:val="0"/>
          <w:numId w:val="41"/>
        </w:numPr>
        <w:tabs>
          <w:tab w:val="clear" w:pos="567"/>
        </w:tabs>
        <w:spacing w:line="240" w:lineRule="auto"/>
        <w:ind w:left="284" w:hanging="284"/>
        <w:rPr>
          <w:lang w:val="cs-CZ"/>
        </w:rPr>
      </w:pPr>
      <w:r w:rsidRPr="0067752B">
        <w:rPr>
          <w:lang w:val="cs-CZ"/>
        </w:rPr>
        <w:t xml:space="preserve">Náhodné pozření může způsobit intoxikaci a může být smrtelné, zejména u dětí. Věnujte </w:t>
      </w:r>
      <w:r w:rsidRPr="0067752B">
        <w:rPr>
          <w:szCs w:val="22"/>
          <w:lang w:val="cs-CZ"/>
        </w:rPr>
        <w:t>maximální pozornost tomu, aby se děti nedostaly do kontaktu s přípravkem.</w:t>
      </w:r>
    </w:p>
    <w:p w:rsidR="00A22CD0" w:rsidRPr="0067752B" w:rsidRDefault="00A22CD0" w:rsidP="00A22CD0">
      <w:pPr>
        <w:numPr>
          <w:ilvl w:val="0"/>
          <w:numId w:val="41"/>
        </w:numPr>
        <w:tabs>
          <w:tab w:val="clear" w:pos="567"/>
        </w:tabs>
        <w:spacing w:line="240" w:lineRule="auto"/>
        <w:ind w:left="284" w:hanging="284"/>
        <w:rPr>
          <w:lang w:val="cs-CZ"/>
        </w:rPr>
      </w:pPr>
      <w:r w:rsidRPr="0067752B">
        <w:rPr>
          <w:lang w:val="cs-CZ"/>
        </w:rPr>
        <w:t>Fenobarbital je teratogenní a může být toxický pro nenarozené a kojené děti; může ovlivnit vývoj mozku a vést ke kognitivním poruchám. Fenobarbital se vylučuje do mateřského mléka. Těhotné ženy, ženy v plodném věku a kojící ženy, by se měly vyhnout náhodnému pozření a prodlouženému kontaktu přípravku s pokožkou.</w:t>
      </w:r>
    </w:p>
    <w:p w:rsidR="00A22CD0" w:rsidRPr="0067752B" w:rsidRDefault="00A22CD0" w:rsidP="00A22CD0">
      <w:pPr>
        <w:numPr>
          <w:ilvl w:val="0"/>
          <w:numId w:val="41"/>
        </w:numPr>
        <w:tabs>
          <w:tab w:val="clear" w:pos="567"/>
        </w:tabs>
        <w:spacing w:line="240" w:lineRule="auto"/>
        <w:ind w:left="284" w:hanging="284"/>
        <w:rPr>
          <w:lang w:val="cs-CZ"/>
        </w:rPr>
      </w:pPr>
      <w:r w:rsidRPr="0067752B">
        <w:rPr>
          <w:lang w:val="cs-CZ"/>
        </w:rPr>
        <w:t>Uchovávejte tento přípravek v původním obalu, abyste zabránili náhodnému pozření.</w:t>
      </w:r>
    </w:p>
    <w:p w:rsidR="00A22CD0" w:rsidRPr="0067752B" w:rsidRDefault="00A22CD0" w:rsidP="00A22CD0">
      <w:pPr>
        <w:numPr>
          <w:ilvl w:val="0"/>
          <w:numId w:val="41"/>
        </w:numPr>
        <w:tabs>
          <w:tab w:val="clear" w:pos="567"/>
        </w:tabs>
        <w:spacing w:line="240" w:lineRule="auto"/>
        <w:ind w:left="284" w:hanging="284"/>
        <w:rPr>
          <w:szCs w:val="22"/>
          <w:lang w:val="cs-CZ"/>
        </w:rPr>
      </w:pPr>
      <w:r w:rsidRPr="0067752B">
        <w:rPr>
          <w:lang w:val="cs-CZ"/>
        </w:rPr>
        <w:t>Při podávání přípravku se doporučuje používat jednorázové rukavice, aby se omezil kontakt s pokožkou.</w:t>
      </w:r>
    </w:p>
    <w:p w:rsidR="00A22CD0" w:rsidRPr="0067752B" w:rsidRDefault="00A22CD0" w:rsidP="00A22CD0">
      <w:pPr>
        <w:numPr>
          <w:ilvl w:val="0"/>
          <w:numId w:val="41"/>
        </w:numPr>
        <w:tabs>
          <w:tab w:val="clear" w:pos="567"/>
        </w:tabs>
        <w:spacing w:line="240" w:lineRule="auto"/>
        <w:ind w:left="284" w:hanging="284"/>
        <w:rPr>
          <w:szCs w:val="22"/>
          <w:lang w:val="cs-CZ"/>
        </w:rPr>
      </w:pPr>
      <w:r w:rsidRPr="0067752B">
        <w:rPr>
          <w:szCs w:val="22"/>
          <w:lang w:val="cs-CZ"/>
        </w:rPr>
        <w:t>V případě náhodného pozření vyhledejte ihned lékařskou pomoc a uvědomte zdravotnickou službou o otravě barbiturátem; ukažte příbalovou infor</w:t>
      </w:r>
      <w:r w:rsidRPr="0067752B">
        <w:rPr>
          <w:lang w:val="cs-CZ"/>
        </w:rPr>
        <w:t xml:space="preserve">maci nebo etiketu praktickému lékaři. </w:t>
      </w:r>
      <w:r w:rsidRPr="0067752B">
        <w:rPr>
          <w:szCs w:val="22"/>
          <w:lang w:val="cs-CZ"/>
        </w:rPr>
        <w:t>Je-li to možné, lékař by měl být informován o čase a množství pozřeného přípravku, protože tyto informace mohou pomoci zajistit odpovídající ošetření.</w:t>
      </w:r>
    </w:p>
    <w:p w:rsidR="00A22CD0" w:rsidRPr="0067752B" w:rsidRDefault="00A22CD0" w:rsidP="00A22CD0">
      <w:pPr>
        <w:numPr>
          <w:ilvl w:val="0"/>
          <w:numId w:val="41"/>
        </w:numPr>
        <w:tabs>
          <w:tab w:val="clear" w:pos="567"/>
        </w:tabs>
        <w:spacing w:line="240" w:lineRule="auto"/>
        <w:ind w:left="284" w:hanging="284"/>
        <w:rPr>
          <w:szCs w:val="22"/>
          <w:lang w:val="cs-CZ"/>
        </w:rPr>
      </w:pPr>
      <w:r w:rsidRPr="0067752B">
        <w:rPr>
          <w:szCs w:val="22"/>
          <w:lang w:val="cs-CZ"/>
        </w:rPr>
        <w:t>Vždy, když se nevyužitá část tablety uchovává do dalšího použití, je třeba ji vrátit do otevřeného blistru a blistr zasunout zpět do krabičky.</w:t>
      </w:r>
    </w:p>
    <w:p w:rsidR="00A22CD0" w:rsidRPr="0067752B" w:rsidRDefault="00A22CD0" w:rsidP="00A22CD0">
      <w:pPr>
        <w:numPr>
          <w:ilvl w:val="0"/>
          <w:numId w:val="41"/>
        </w:numPr>
        <w:tabs>
          <w:tab w:val="clear" w:pos="567"/>
        </w:tabs>
        <w:spacing w:line="240" w:lineRule="auto"/>
        <w:ind w:left="284" w:hanging="284"/>
        <w:rPr>
          <w:szCs w:val="22"/>
          <w:lang w:val="cs-CZ"/>
        </w:rPr>
      </w:pPr>
      <w:r w:rsidRPr="0067752B">
        <w:rPr>
          <w:szCs w:val="22"/>
          <w:lang w:val="cs-CZ"/>
        </w:rPr>
        <w:t>Po použití si důkladně umyjte ruce.</w:t>
      </w:r>
    </w:p>
    <w:p w:rsidR="00C801B2" w:rsidRDefault="00C801B2" w:rsidP="00D27A17">
      <w:pPr>
        <w:spacing w:line="240" w:lineRule="auto"/>
        <w:jc w:val="both"/>
        <w:rPr>
          <w:b/>
          <w:lang w:val="cs-CZ"/>
        </w:rPr>
      </w:pPr>
    </w:p>
    <w:p w:rsidR="00187A14" w:rsidRPr="0067752B" w:rsidRDefault="00187A14" w:rsidP="00D27A17">
      <w:pPr>
        <w:tabs>
          <w:tab w:val="clear" w:pos="567"/>
        </w:tabs>
        <w:spacing w:line="240" w:lineRule="auto"/>
        <w:ind w:left="567" w:hanging="567"/>
        <w:jc w:val="both"/>
        <w:rPr>
          <w:u w:val="single"/>
          <w:lang w:val="cs-CZ"/>
        </w:rPr>
      </w:pPr>
      <w:r w:rsidRPr="0067752B">
        <w:rPr>
          <w:u w:val="single"/>
          <w:lang w:val="cs-CZ"/>
        </w:rPr>
        <w:t>Použití v průběhu březosti</w:t>
      </w:r>
      <w:r w:rsidR="00F336D7" w:rsidRPr="0067752B">
        <w:rPr>
          <w:u w:val="single"/>
          <w:lang w:val="cs-CZ"/>
        </w:rPr>
        <w:t xml:space="preserve"> a</w:t>
      </w:r>
      <w:r w:rsidRPr="0067752B">
        <w:rPr>
          <w:u w:val="single"/>
          <w:lang w:val="cs-CZ"/>
        </w:rPr>
        <w:t xml:space="preserve"> laktace</w:t>
      </w:r>
      <w:r w:rsidR="00ED4AE8">
        <w:rPr>
          <w:u w:val="single"/>
          <w:lang w:val="cs-CZ"/>
        </w:rPr>
        <w:t>:</w:t>
      </w:r>
    </w:p>
    <w:p w:rsidR="00732F82" w:rsidRDefault="00732F82" w:rsidP="00D27A17">
      <w:pPr>
        <w:tabs>
          <w:tab w:val="left" w:pos="540"/>
        </w:tabs>
        <w:jc w:val="both"/>
        <w:rPr>
          <w:lang w:val="cs-CZ"/>
        </w:rPr>
      </w:pPr>
      <w:r w:rsidRPr="00B40A44">
        <w:rPr>
          <w:lang w:val="cs-CZ"/>
        </w:rPr>
        <w:t xml:space="preserve">Březost: </w:t>
      </w:r>
    </w:p>
    <w:p w:rsidR="00732F82" w:rsidRDefault="00732F82" w:rsidP="00D27A17">
      <w:pPr>
        <w:tabs>
          <w:tab w:val="left" w:pos="540"/>
        </w:tabs>
        <w:jc w:val="both"/>
        <w:rPr>
          <w:lang w:val="cs-CZ"/>
        </w:rPr>
      </w:pPr>
      <w:r w:rsidRPr="00B40A44">
        <w:rPr>
          <w:lang w:val="cs-CZ"/>
        </w:rPr>
        <w:t>Použít pouze po zvážení terapeutického prospěchu a rizika příslušným veterinárním lékařem</w:t>
      </w:r>
      <w:r>
        <w:rPr>
          <w:lang w:val="cs-CZ"/>
        </w:rPr>
        <w:t>.</w:t>
      </w:r>
      <w:r w:rsidRPr="00B40A44" w:rsidDel="00900F88">
        <w:rPr>
          <w:lang w:val="cs-CZ"/>
        </w:rPr>
        <w:t xml:space="preserve"> </w:t>
      </w:r>
    </w:p>
    <w:p w:rsidR="00D705B0" w:rsidRPr="007D7AD4" w:rsidRDefault="00D705B0" w:rsidP="00D27A17">
      <w:pPr>
        <w:tabs>
          <w:tab w:val="left" w:pos="540"/>
        </w:tabs>
        <w:jc w:val="both"/>
        <w:rPr>
          <w:lang w:val="cs-CZ"/>
        </w:rPr>
      </w:pPr>
      <w:r w:rsidRPr="007D7AD4">
        <w:rPr>
          <w:lang w:val="cs-CZ"/>
        </w:rPr>
        <w:t xml:space="preserve">Studie na laboratorních zvířatech </w:t>
      </w:r>
      <w:r w:rsidR="00732F82">
        <w:rPr>
          <w:lang w:val="cs-CZ"/>
        </w:rPr>
        <w:t>ukázaly, že</w:t>
      </w:r>
      <w:r w:rsidR="00732F82" w:rsidRPr="007D7AD4">
        <w:rPr>
          <w:lang w:val="cs-CZ"/>
        </w:rPr>
        <w:t xml:space="preserve"> </w:t>
      </w:r>
      <w:r w:rsidRPr="007D7AD4">
        <w:rPr>
          <w:lang w:val="cs-CZ"/>
        </w:rPr>
        <w:t xml:space="preserve">fenobarbital </w:t>
      </w:r>
      <w:r w:rsidR="00732F82">
        <w:rPr>
          <w:lang w:val="cs-CZ"/>
        </w:rPr>
        <w:t>působí během</w:t>
      </w:r>
      <w:r w:rsidR="00732F82" w:rsidRPr="007D7AD4">
        <w:rPr>
          <w:lang w:val="cs-CZ"/>
        </w:rPr>
        <w:t xml:space="preserve"> </w:t>
      </w:r>
      <w:r w:rsidRPr="007D7AD4">
        <w:rPr>
          <w:lang w:val="cs-CZ"/>
        </w:rPr>
        <w:t>prenatální</w:t>
      </w:r>
      <w:r w:rsidR="00732F82">
        <w:rPr>
          <w:lang w:val="cs-CZ"/>
        </w:rPr>
        <w:t>ho</w:t>
      </w:r>
      <w:r w:rsidRPr="007D7AD4">
        <w:rPr>
          <w:lang w:val="cs-CZ"/>
        </w:rPr>
        <w:t xml:space="preserve"> růst</w:t>
      </w:r>
      <w:r w:rsidR="00732F82">
        <w:rPr>
          <w:lang w:val="cs-CZ"/>
        </w:rPr>
        <w:t>u</w:t>
      </w:r>
      <w:r w:rsidRPr="007D7AD4">
        <w:rPr>
          <w:lang w:val="cs-CZ"/>
        </w:rPr>
        <w:t xml:space="preserve">, zejména </w:t>
      </w:r>
      <w:r w:rsidR="00732F82" w:rsidRPr="00B40A44">
        <w:rPr>
          <w:lang w:val="cs-CZ"/>
        </w:rPr>
        <w:t xml:space="preserve">způsobuje trvalé změny neurologického </w:t>
      </w:r>
      <w:r w:rsidR="00732F82">
        <w:rPr>
          <w:lang w:val="cs-CZ"/>
        </w:rPr>
        <w:t xml:space="preserve">a </w:t>
      </w:r>
      <w:r w:rsidRPr="007D7AD4">
        <w:rPr>
          <w:lang w:val="cs-CZ"/>
        </w:rPr>
        <w:t>pohlavní</w:t>
      </w:r>
      <w:r w:rsidR="00732F82">
        <w:rPr>
          <w:lang w:val="cs-CZ"/>
        </w:rPr>
        <w:t>ho</w:t>
      </w:r>
      <w:r w:rsidRPr="007D7AD4">
        <w:rPr>
          <w:lang w:val="cs-CZ"/>
        </w:rPr>
        <w:t xml:space="preserve"> vývoj</w:t>
      </w:r>
      <w:r w:rsidR="00732F82">
        <w:rPr>
          <w:lang w:val="cs-CZ"/>
        </w:rPr>
        <w:t>e</w:t>
      </w:r>
      <w:r w:rsidRPr="007D7AD4">
        <w:rPr>
          <w:lang w:val="cs-CZ"/>
        </w:rPr>
        <w:t xml:space="preserve">. S léčbou fenobarbitalem během březosti </w:t>
      </w:r>
      <w:r>
        <w:rPr>
          <w:lang w:val="cs-CZ"/>
        </w:rPr>
        <w:t>jsou</w:t>
      </w:r>
      <w:r w:rsidRPr="007D7AD4">
        <w:rPr>
          <w:lang w:val="cs-CZ"/>
        </w:rPr>
        <w:t xml:space="preserve"> spojovány </w:t>
      </w:r>
      <w:r>
        <w:rPr>
          <w:lang w:val="cs-CZ"/>
        </w:rPr>
        <w:t>sklony ke</w:t>
      </w:r>
      <w:r w:rsidRPr="007D7AD4">
        <w:rPr>
          <w:lang w:val="cs-CZ"/>
        </w:rPr>
        <w:t xml:space="preserve"> krvácení u novorozen</w:t>
      </w:r>
      <w:r>
        <w:rPr>
          <w:lang w:val="cs-CZ"/>
        </w:rPr>
        <w:t>ý</w:t>
      </w:r>
      <w:r w:rsidRPr="007D7AD4">
        <w:rPr>
          <w:lang w:val="cs-CZ"/>
        </w:rPr>
        <w:t>c</w:t>
      </w:r>
      <w:r>
        <w:rPr>
          <w:lang w:val="cs-CZ"/>
        </w:rPr>
        <w:t>h mláďat</w:t>
      </w:r>
      <w:r w:rsidRPr="007D7AD4">
        <w:rPr>
          <w:lang w:val="cs-CZ"/>
        </w:rPr>
        <w:t xml:space="preserve">. </w:t>
      </w:r>
      <w:r w:rsidR="00F606FE" w:rsidRPr="00B40A44">
        <w:rPr>
          <w:lang w:val="cs-CZ"/>
        </w:rPr>
        <w:t xml:space="preserve">Mateřská epilepsie </w:t>
      </w:r>
      <w:r w:rsidRPr="007D7AD4">
        <w:rPr>
          <w:lang w:val="cs-CZ"/>
        </w:rPr>
        <w:t>m</w:t>
      </w:r>
      <w:r w:rsidR="00F606FE">
        <w:rPr>
          <w:lang w:val="cs-CZ"/>
        </w:rPr>
        <w:t>ůže</w:t>
      </w:r>
      <w:r w:rsidRPr="007D7AD4">
        <w:rPr>
          <w:lang w:val="cs-CZ"/>
        </w:rPr>
        <w:t xml:space="preserve"> být </w:t>
      </w:r>
      <w:r w:rsidR="00F606FE" w:rsidRPr="00B40A44">
        <w:rPr>
          <w:lang w:val="cs-CZ"/>
        </w:rPr>
        <w:t>dalším rizikovým faktorem pro zhoršení vývoje plodu</w:t>
      </w:r>
      <w:r w:rsidR="00F606FE">
        <w:rPr>
          <w:lang w:val="cs-CZ"/>
        </w:rPr>
        <w:t>.</w:t>
      </w:r>
      <w:r w:rsidRPr="007D7AD4">
        <w:rPr>
          <w:lang w:val="cs-CZ"/>
        </w:rPr>
        <w:t xml:space="preserve"> Proto </w:t>
      </w:r>
      <w:r w:rsidR="00F606FE" w:rsidRPr="00B40A44">
        <w:rPr>
          <w:lang w:val="cs-CZ"/>
        </w:rPr>
        <w:t>by se mělo zabránit březosti u epileptických psů vždy, kdy je to možné. V případě březosti se musí zvážit riziko, že přípravek může způsobit zvýšení počtu vrozených vad, oproti riziku přerušení léčby během březosti</w:t>
      </w:r>
      <w:r w:rsidR="00F606FE">
        <w:rPr>
          <w:lang w:val="cs-CZ"/>
        </w:rPr>
        <w:t>.</w:t>
      </w:r>
      <w:r w:rsidRPr="007D7AD4">
        <w:rPr>
          <w:lang w:val="cs-CZ"/>
        </w:rPr>
        <w:t xml:space="preserve"> </w:t>
      </w:r>
      <w:r w:rsidR="00F606FE">
        <w:rPr>
          <w:lang w:val="cs-CZ"/>
        </w:rPr>
        <w:t>U</w:t>
      </w:r>
      <w:r w:rsidRPr="007D7AD4">
        <w:rPr>
          <w:lang w:val="cs-CZ"/>
        </w:rPr>
        <w:t xml:space="preserve">končení </w:t>
      </w:r>
      <w:r w:rsidR="00F606FE" w:rsidRPr="00B40A44">
        <w:rPr>
          <w:lang w:val="cs-CZ"/>
        </w:rPr>
        <w:t>léčby se nedoporučuje</w:t>
      </w:r>
      <w:r w:rsidRPr="007D7AD4">
        <w:rPr>
          <w:lang w:val="cs-CZ"/>
        </w:rPr>
        <w:t>, ale dávk</w:t>
      </w:r>
      <w:r w:rsidR="00F606FE">
        <w:rPr>
          <w:lang w:val="cs-CZ"/>
        </w:rPr>
        <w:t>ování</w:t>
      </w:r>
      <w:r w:rsidRPr="007D7AD4">
        <w:rPr>
          <w:lang w:val="cs-CZ"/>
        </w:rPr>
        <w:t xml:space="preserve"> by měl</w:t>
      </w:r>
      <w:r w:rsidR="00F606FE">
        <w:rPr>
          <w:lang w:val="cs-CZ"/>
        </w:rPr>
        <w:t>o</w:t>
      </w:r>
      <w:r w:rsidRPr="007D7AD4">
        <w:rPr>
          <w:lang w:val="cs-CZ"/>
        </w:rPr>
        <w:t xml:space="preserve"> být co nejnižší.</w:t>
      </w:r>
    </w:p>
    <w:p w:rsidR="00F606FE" w:rsidRPr="00B40A44" w:rsidRDefault="00F606FE" w:rsidP="00F606FE">
      <w:pPr>
        <w:tabs>
          <w:tab w:val="left" w:pos="0"/>
        </w:tabs>
        <w:jc w:val="both"/>
        <w:rPr>
          <w:lang w:val="cs-CZ"/>
        </w:rPr>
      </w:pPr>
      <w:r w:rsidRPr="00B40A44">
        <w:rPr>
          <w:lang w:val="cs-CZ"/>
        </w:rPr>
        <w:t>Fenobarbital prochází placent</w:t>
      </w:r>
      <w:r>
        <w:rPr>
          <w:lang w:val="cs-CZ"/>
        </w:rPr>
        <w:t>ou</w:t>
      </w:r>
      <w:r w:rsidRPr="00B40A44">
        <w:rPr>
          <w:lang w:val="cs-CZ"/>
        </w:rPr>
        <w:t xml:space="preserve"> a ve vysokých dávkách nelze vyloučit (reverzibilní) abstinenční příznaky u novorozenců.</w:t>
      </w:r>
    </w:p>
    <w:p w:rsidR="00F606FE" w:rsidRPr="00B40A44" w:rsidRDefault="00F606FE" w:rsidP="00F606FE">
      <w:pPr>
        <w:tabs>
          <w:tab w:val="left" w:pos="0"/>
        </w:tabs>
        <w:jc w:val="both"/>
        <w:rPr>
          <w:lang w:val="cs-CZ"/>
        </w:rPr>
      </w:pPr>
      <w:r w:rsidRPr="00B40A44">
        <w:rPr>
          <w:lang w:val="cs-CZ"/>
        </w:rPr>
        <w:t xml:space="preserve">Bezpečnost veterinárního léčivého přípravku nebyla u psů během </w:t>
      </w:r>
      <w:r w:rsidR="009C6602">
        <w:rPr>
          <w:lang w:val="cs-CZ"/>
        </w:rPr>
        <w:t>laktace</w:t>
      </w:r>
      <w:r w:rsidRPr="00B40A44">
        <w:rPr>
          <w:lang w:val="cs-CZ"/>
        </w:rPr>
        <w:t xml:space="preserve"> prokázána.</w:t>
      </w:r>
    </w:p>
    <w:p w:rsidR="00F606FE" w:rsidRPr="00B40A44" w:rsidRDefault="00F606FE" w:rsidP="00F606FE">
      <w:pPr>
        <w:tabs>
          <w:tab w:val="left" w:pos="0"/>
        </w:tabs>
        <w:jc w:val="both"/>
        <w:rPr>
          <w:lang w:val="cs-CZ"/>
        </w:rPr>
      </w:pPr>
    </w:p>
    <w:p w:rsidR="00F606FE" w:rsidRPr="00B40A44" w:rsidRDefault="00F606FE" w:rsidP="00F606FE">
      <w:pPr>
        <w:tabs>
          <w:tab w:val="left" w:pos="0"/>
        </w:tabs>
        <w:jc w:val="both"/>
        <w:rPr>
          <w:lang w:val="cs-CZ"/>
        </w:rPr>
      </w:pPr>
      <w:r w:rsidRPr="00B40A44">
        <w:rPr>
          <w:lang w:val="cs-CZ"/>
        </w:rPr>
        <w:t>Laktace:</w:t>
      </w:r>
    </w:p>
    <w:p w:rsidR="00F606FE" w:rsidRDefault="00F606FE" w:rsidP="00F606FE">
      <w:pPr>
        <w:tabs>
          <w:tab w:val="left" w:pos="540"/>
        </w:tabs>
        <w:jc w:val="both"/>
        <w:rPr>
          <w:lang w:val="cs-CZ"/>
        </w:rPr>
      </w:pPr>
      <w:r w:rsidRPr="00B40A44">
        <w:rPr>
          <w:lang w:val="cs-CZ"/>
        </w:rPr>
        <w:t>Použít pouze po zvážení terapeutického prospěchu a rizika příslušným veterinárním lékařem</w:t>
      </w:r>
      <w:r>
        <w:rPr>
          <w:lang w:val="cs-CZ"/>
        </w:rPr>
        <w:t>.</w:t>
      </w:r>
    </w:p>
    <w:p w:rsidR="00D705B0" w:rsidRPr="007D7AD4" w:rsidRDefault="00D705B0" w:rsidP="00F606FE">
      <w:pPr>
        <w:tabs>
          <w:tab w:val="left" w:pos="540"/>
        </w:tabs>
        <w:jc w:val="both"/>
        <w:rPr>
          <w:lang w:val="cs-CZ"/>
        </w:rPr>
      </w:pPr>
      <w:r w:rsidRPr="007D7AD4">
        <w:rPr>
          <w:lang w:val="cs-CZ"/>
        </w:rPr>
        <w:t xml:space="preserve">Fenobarbital je v malém množství vylučován do mateřského mléka a během kojení by měla být mláďata pečlivě sledována na nežádoucí sedativní účinky. Může se přistoupit k </w:t>
      </w:r>
      <w:r w:rsidR="00F606FE">
        <w:rPr>
          <w:lang w:val="cs-CZ"/>
        </w:rPr>
        <w:t>ranému</w:t>
      </w:r>
      <w:r w:rsidR="00EC37A7">
        <w:rPr>
          <w:lang w:val="cs-CZ"/>
        </w:rPr>
        <w:t xml:space="preserve"> odstavení</w:t>
      </w:r>
      <w:r w:rsidR="00B3551D">
        <w:rPr>
          <w:lang w:val="cs-CZ"/>
        </w:rPr>
        <w:t xml:space="preserve"> mláďat</w:t>
      </w:r>
      <w:r w:rsidR="00EC37A7">
        <w:rPr>
          <w:lang w:val="cs-CZ"/>
        </w:rPr>
        <w:t>. Pokud se u </w:t>
      </w:r>
      <w:r w:rsidR="00B3551D">
        <w:rPr>
          <w:lang w:val="cs-CZ"/>
        </w:rPr>
        <w:t>sajících</w:t>
      </w:r>
      <w:r w:rsidRPr="007D7AD4">
        <w:rPr>
          <w:lang w:val="cs-CZ"/>
        </w:rPr>
        <w:t xml:space="preserve"> novorozen</w:t>
      </w:r>
      <w:r>
        <w:rPr>
          <w:lang w:val="cs-CZ"/>
        </w:rPr>
        <w:t>ý</w:t>
      </w:r>
      <w:r w:rsidRPr="007D7AD4">
        <w:rPr>
          <w:lang w:val="cs-CZ"/>
        </w:rPr>
        <w:t>c</w:t>
      </w:r>
      <w:r>
        <w:rPr>
          <w:lang w:val="cs-CZ"/>
        </w:rPr>
        <w:t>h mláďat</w:t>
      </w:r>
      <w:r w:rsidRPr="007D7AD4">
        <w:rPr>
          <w:lang w:val="cs-CZ"/>
        </w:rPr>
        <w:t xml:space="preserve"> objeví somnolence / sedativní účinky (které by mohly překážet v sání), měl by se vybrat náhradní </w:t>
      </w:r>
      <w:r>
        <w:rPr>
          <w:lang w:val="cs-CZ"/>
        </w:rPr>
        <w:t xml:space="preserve">způsob </w:t>
      </w:r>
      <w:r w:rsidR="00B3551D">
        <w:rPr>
          <w:lang w:val="cs-CZ"/>
        </w:rPr>
        <w:t>výživy.</w:t>
      </w:r>
    </w:p>
    <w:p w:rsidR="00D705B0" w:rsidRPr="007D7AD4" w:rsidRDefault="00F606FE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B40A44">
        <w:rPr>
          <w:lang w:val="cs-CZ"/>
        </w:rPr>
        <w:t xml:space="preserve">Bezpečnost veterinárního léčivého přípravku nebyla u psů </w:t>
      </w:r>
      <w:r>
        <w:rPr>
          <w:lang w:val="cs-CZ"/>
        </w:rPr>
        <w:t xml:space="preserve">během </w:t>
      </w:r>
      <w:r w:rsidR="00D705B0">
        <w:rPr>
          <w:lang w:val="cs-CZ"/>
        </w:rPr>
        <w:t>laktace</w:t>
      </w:r>
      <w:r w:rsidR="0067752B">
        <w:rPr>
          <w:lang w:val="cs-CZ"/>
        </w:rPr>
        <w:t xml:space="preserve"> </w:t>
      </w:r>
      <w:r>
        <w:rPr>
          <w:lang w:val="cs-CZ"/>
        </w:rPr>
        <w:t>prokázána</w:t>
      </w:r>
      <w:r w:rsidR="00D705B0" w:rsidRPr="007D7AD4">
        <w:rPr>
          <w:lang w:val="cs-CZ"/>
        </w:rPr>
        <w:t>.</w:t>
      </w:r>
    </w:p>
    <w:p w:rsidR="00187A14" w:rsidRPr="007D7AD4" w:rsidRDefault="00187A14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F336D7" w:rsidRPr="0067752B" w:rsidRDefault="00F336D7" w:rsidP="00D27A17">
      <w:pPr>
        <w:pStyle w:val="Zkladntextodsazen"/>
        <w:jc w:val="both"/>
        <w:rPr>
          <w:b w:val="0"/>
          <w:u w:val="single"/>
          <w:lang w:val="cs-CZ"/>
        </w:rPr>
      </w:pPr>
      <w:r w:rsidRPr="0067752B">
        <w:rPr>
          <w:b w:val="0"/>
          <w:u w:val="single"/>
          <w:lang w:val="cs-CZ"/>
        </w:rPr>
        <w:t xml:space="preserve">Předávkování (symptomy, první pomoc, </w:t>
      </w:r>
      <w:proofErr w:type="spellStart"/>
      <w:r w:rsidRPr="0067752B">
        <w:rPr>
          <w:b w:val="0"/>
          <w:u w:val="single"/>
          <w:lang w:val="cs-CZ"/>
        </w:rPr>
        <w:t>antidota</w:t>
      </w:r>
      <w:proofErr w:type="spellEnd"/>
      <w:r w:rsidRPr="0067752B">
        <w:rPr>
          <w:b w:val="0"/>
          <w:u w:val="single"/>
          <w:lang w:val="cs-CZ"/>
        </w:rPr>
        <w:t>), pokud je to nutné</w:t>
      </w:r>
      <w:r w:rsidR="00ED4AE8">
        <w:rPr>
          <w:b w:val="0"/>
          <w:u w:val="single"/>
          <w:lang w:val="cs-CZ"/>
        </w:rPr>
        <w:t>:</w:t>
      </w:r>
    </w:p>
    <w:p w:rsidR="00F336D7" w:rsidRPr="007D7AD4" w:rsidRDefault="00F336D7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>Příznaky předávkování jsou:</w:t>
      </w:r>
    </w:p>
    <w:p w:rsidR="00F336D7" w:rsidRPr="007D7AD4" w:rsidRDefault="00F336D7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 xml:space="preserve">- </w:t>
      </w:r>
      <w:r w:rsidR="00B3551D">
        <w:rPr>
          <w:lang w:val="cs-CZ"/>
        </w:rPr>
        <w:t>útlum</w:t>
      </w:r>
      <w:r w:rsidRPr="007D7AD4">
        <w:rPr>
          <w:lang w:val="cs-CZ"/>
        </w:rPr>
        <w:t xml:space="preserve"> centrálního nervového systému projevující se symptomy od spánku až po kóma, </w:t>
      </w:r>
    </w:p>
    <w:p w:rsidR="00F336D7" w:rsidRPr="007D7AD4" w:rsidRDefault="00F336D7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>- dýchací potíže,</w:t>
      </w:r>
    </w:p>
    <w:p w:rsidR="00F336D7" w:rsidRPr="007D7AD4" w:rsidRDefault="00F336D7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 xml:space="preserve">- kardiovaskulární problémy, hypotenze a šok vedoucí k selhání ledvin a </w:t>
      </w:r>
      <w:r w:rsidR="00B3551D">
        <w:rPr>
          <w:lang w:val="cs-CZ"/>
        </w:rPr>
        <w:t>úhynu</w:t>
      </w:r>
      <w:r w:rsidRPr="007D7AD4">
        <w:rPr>
          <w:lang w:val="cs-CZ"/>
        </w:rPr>
        <w:t>.</w:t>
      </w:r>
    </w:p>
    <w:p w:rsidR="00F336D7" w:rsidRPr="007D7AD4" w:rsidRDefault="00F336D7" w:rsidP="00D27A17">
      <w:pPr>
        <w:tabs>
          <w:tab w:val="clear" w:pos="567"/>
        </w:tabs>
        <w:spacing w:line="240" w:lineRule="auto"/>
        <w:jc w:val="both"/>
        <w:rPr>
          <w:rFonts w:cs="Arial"/>
          <w:bCs/>
          <w:iCs/>
          <w:lang w:val="cs-CZ"/>
        </w:rPr>
      </w:pPr>
    </w:p>
    <w:p w:rsidR="00D705B0" w:rsidRPr="007D7AD4" w:rsidRDefault="00D705B0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lastRenderedPageBreak/>
        <w:t>V případě předávkování odstraňte požitý přípravek ze žaludku</w:t>
      </w:r>
      <w:r w:rsidR="00F606FE" w:rsidRPr="00F606FE">
        <w:rPr>
          <w:lang w:val="cs-CZ"/>
        </w:rPr>
        <w:t xml:space="preserve"> </w:t>
      </w:r>
      <w:r w:rsidR="00F606FE" w:rsidRPr="00C72EA9">
        <w:rPr>
          <w:lang w:val="cs-CZ"/>
        </w:rPr>
        <w:t>a, je-li to potřeba,</w:t>
      </w:r>
      <w:r w:rsidR="00F606FE">
        <w:rPr>
          <w:lang w:val="cs-CZ"/>
        </w:rPr>
        <w:t xml:space="preserve"> p</w:t>
      </w:r>
      <w:r w:rsidRPr="007D7AD4">
        <w:rPr>
          <w:lang w:val="cs-CZ"/>
        </w:rPr>
        <w:t xml:space="preserve">oskytněte </w:t>
      </w:r>
      <w:r w:rsidR="00F606FE" w:rsidRPr="00C72EA9">
        <w:rPr>
          <w:lang w:val="cs-CZ"/>
        </w:rPr>
        <w:t xml:space="preserve">kardiovaskulární podporu a </w:t>
      </w:r>
      <w:r w:rsidRPr="00097AF8">
        <w:rPr>
          <w:lang w:val="cs-CZ"/>
        </w:rPr>
        <w:t>podporu</w:t>
      </w:r>
      <w:r>
        <w:rPr>
          <w:lang w:val="cs-CZ"/>
        </w:rPr>
        <w:t xml:space="preserve"> dýchání</w:t>
      </w:r>
      <w:r w:rsidRPr="007D7AD4">
        <w:rPr>
          <w:lang w:val="cs-CZ"/>
        </w:rPr>
        <w:t>.</w:t>
      </w:r>
    </w:p>
    <w:p w:rsidR="00F606FE" w:rsidRPr="00460D65" w:rsidRDefault="00F606FE" w:rsidP="00F606FE">
      <w:pPr>
        <w:jc w:val="both"/>
        <w:rPr>
          <w:rFonts w:cs="Arial"/>
          <w:bCs/>
          <w:iCs/>
          <w:lang w:val="cs-CZ"/>
        </w:rPr>
      </w:pPr>
    </w:p>
    <w:p w:rsidR="00F606FE" w:rsidRPr="00460D65" w:rsidRDefault="00F606FE" w:rsidP="00F606FE">
      <w:pPr>
        <w:jc w:val="both"/>
        <w:rPr>
          <w:rFonts w:cs="Arial"/>
          <w:bCs/>
          <w:iCs/>
          <w:lang w:val="cs-CZ"/>
        </w:rPr>
      </w:pPr>
      <w:r w:rsidRPr="00460D65">
        <w:rPr>
          <w:rFonts w:cs="Arial"/>
          <w:bCs/>
          <w:iCs/>
          <w:lang w:val="cs-CZ"/>
        </w:rPr>
        <w:t>Hlavními cíli léčby jsou pak intenzivní symptomatická a podpůrná léčba, se zvláštním důrazem na udržování kardiovaskulárních, respiračních a ledvinových funkcí a na udržení rovnováhy elektrolytů.</w:t>
      </w:r>
    </w:p>
    <w:p w:rsidR="00D705B0" w:rsidRPr="007D7AD4" w:rsidRDefault="00D705B0" w:rsidP="00D27A17">
      <w:pPr>
        <w:tabs>
          <w:tab w:val="clear" w:pos="567"/>
        </w:tabs>
        <w:spacing w:line="240" w:lineRule="auto"/>
        <w:jc w:val="both"/>
        <w:rPr>
          <w:rFonts w:cs="Arial"/>
          <w:bCs/>
          <w:iCs/>
          <w:lang w:val="cs-CZ"/>
        </w:rPr>
      </w:pPr>
    </w:p>
    <w:p w:rsidR="00D705B0" w:rsidRPr="007D7AD4" w:rsidRDefault="00D705B0" w:rsidP="00D27A17">
      <w:pPr>
        <w:jc w:val="both"/>
        <w:rPr>
          <w:rFonts w:cs="Arial"/>
          <w:bCs/>
          <w:iCs/>
          <w:lang w:val="cs-CZ"/>
        </w:rPr>
      </w:pPr>
      <w:r w:rsidRPr="007D7AD4">
        <w:rPr>
          <w:lang w:val="cs-CZ"/>
        </w:rPr>
        <w:t xml:space="preserve">Neexistuje žádné specifické </w:t>
      </w:r>
      <w:proofErr w:type="spellStart"/>
      <w:r w:rsidRPr="007D7AD4">
        <w:rPr>
          <w:lang w:val="cs-CZ"/>
        </w:rPr>
        <w:t>antidotum</w:t>
      </w:r>
      <w:proofErr w:type="spellEnd"/>
      <w:r w:rsidRPr="007D7AD4">
        <w:rPr>
          <w:lang w:val="cs-CZ"/>
        </w:rPr>
        <w:t xml:space="preserve">, ale prostředky povzbuzující CNS (jako </w:t>
      </w:r>
      <w:proofErr w:type="spellStart"/>
      <w:r w:rsidRPr="007D7AD4">
        <w:rPr>
          <w:lang w:val="cs-CZ"/>
        </w:rPr>
        <w:t>doxapram</w:t>
      </w:r>
      <w:proofErr w:type="spellEnd"/>
      <w:r w:rsidRPr="007D7AD4">
        <w:rPr>
          <w:lang w:val="cs-CZ"/>
        </w:rPr>
        <w:t>) mohou stimulovat dýchací centrum</w:t>
      </w:r>
      <w:r w:rsidRPr="00097AF8">
        <w:rPr>
          <w:lang w:val="cs-CZ"/>
        </w:rPr>
        <w:t>.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F336D7" w:rsidRPr="0067752B" w:rsidRDefault="00F336D7" w:rsidP="00D27A17">
      <w:pPr>
        <w:tabs>
          <w:tab w:val="clear" w:pos="567"/>
        </w:tabs>
        <w:spacing w:line="240" w:lineRule="auto"/>
        <w:ind w:left="567" w:hanging="567"/>
        <w:jc w:val="both"/>
        <w:rPr>
          <w:u w:val="single"/>
          <w:lang w:val="cs-CZ"/>
        </w:rPr>
      </w:pPr>
      <w:r w:rsidRPr="0067752B">
        <w:rPr>
          <w:u w:val="single"/>
          <w:lang w:val="cs-CZ"/>
        </w:rPr>
        <w:t>Interakce s dalšími léčivými přípravky a další formy interakce</w:t>
      </w:r>
      <w:r w:rsidR="00ED4AE8">
        <w:rPr>
          <w:u w:val="single"/>
          <w:lang w:val="cs-CZ"/>
        </w:rPr>
        <w:t>:</w:t>
      </w:r>
    </w:p>
    <w:p w:rsidR="00D705B0" w:rsidRPr="007D7AD4" w:rsidRDefault="00D705B0" w:rsidP="00D27A17">
      <w:pPr>
        <w:spacing w:line="240" w:lineRule="auto"/>
        <w:jc w:val="both"/>
        <w:rPr>
          <w:lang w:val="cs-CZ"/>
        </w:rPr>
      </w:pPr>
      <w:r w:rsidRPr="007D7AD4">
        <w:rPr>
          <w:lang w:val="cs-CZ"/>
        </w:rPr>
        <w:t xml:space="preserve">Terapeutická dávka fenobarbitalu </w:t>
      </w:r>
      <w:r>
        <w:rPr>
          <w:lang w:val="cs-CZ"/>
        </w:rPr>
        <w:t>při</w:t>
      </w:r>
      <w:r w:rsidRPr="007D7AD4">
        <w:rPr>
          <w:lang w:val="cs-CZ"/>
        </w:rPr>
        <w:t xml:space="preserve"> </w:t>
      </w:r>
      <w:proofErr w:type="spellStart"/>
      <w:r w:rsidRPr="007D7AD4">
        <w:rPr>
          <w:lang w:val="cs-CZ"/>
        </w:rPr>
        <w:t>antiepileptick</w:t>
      </w:r>
      <w:r>
        <w:rPr>
          <w:lang w:val="cs-CZ"/>
        </w:rPr>
        <w:t>é</w:t>
      </w:r>
      <w:proofErr w:type="spellEnd"/>
      <w:r w:rsidRPr="007D7AD4">
        <w:rPr>
          <w:lang w:val="cs-CZ"/>
        </w:rPr>
        <w:t xml:space="preserve"> léčb</w:t>
      </w:r>
      <w:r>
        <w:rPr>
          <w:lang w:val="cs-CZ"/>
        </w:rPr>
        <w:t>ě</w:t>
      </w:r>
      <w:r w:rsidRPr="007D7AD4">
        <w:rPr>
          <w:lang w:val="cs-CZ"/>
        </w:rPr>
        <w:t xml:space="preserve"> může </w:t>
      </w:r>
      <w:r>
        <w:rPr>
          <w:lang w:val="cs-CZ"/>
        </w:rPr>
        <w:t xml:space="preserve">být </w:t>
      </w:r>
      <w:r w:rsidRPr="007D7AD4">
        <w:rPr>
          <w:lang w:val="cs-CZ"/>
        </w:rPr>
        <w:t>výrazně ovlivn</w:t>
      </w:r>
      <w:r>
        <w:rPr>
          <w:lang w:val="cs-CZ"/>
        </w:rPr>
        <w:t>ěna</w:t>
      </w:r>
      <w:r w:rsidRPr="007D7AD4">
        <w:rPr>
          <w:lang w:val="cs-CZ"/>
        </w:rPr>
        <w:t xml:space="preserve"> plazmatick</w:t>
      </w:r>
      <w:r>
        <w:rPr>
          <w:lang w:val="cs-CZ"/>
        </w:rPr>
        <w:t>ými</w:t>
      </w:r>
      <w:r w:rsidRPr="007D7AD4">
        <w:rPr>
          <w:lang w:val="cs-CZ"/>
        </w:rPr>
        <w:t xml:space="preserve"> bílkovin</w:t>
      </w:r>
      <w:r>
        <w:rPr>
          <w:lang w:val="cs-CZ"/>
        </w:rPr>
        <w:t>ami</w:t>
      </w:r>
      <w:r w:rsidRPr="007D7AD4">
        <w:rPr>
          <w:lang w:val="cs-CZ"/>
        </w:rPr>
        <w:t xml:space="preserve"> </w:t>
      </w:r>
      <w:r w:rsidR="00C801B2">
        <w:rPr>
          <w:lang w:val="cs-CZ"/>
        </w:rPr>
        <w:t>(</w:t>
      </w:r>
      <w:r>
        <w:rPr>
          <w:lang w:val="cs-CZ"/>
        </w:rPr>
        <w:t>jako je</w:t>
      </w:r>
      <w:r w:rsidRPr="007D7AD4">
        <w:rPr>
          <w:lang w:val="cs-CZ"/>
        </w:rPr>
        <w:t xml:space="preserve"> </w:t>
      </w:r>
      <w:r w:rsidRPr="007D7AD4">
        <w:rPr>
          <w:rFonts w:cs="Arial"/>
          <w:lang w:val="cs-CZ"/>
        </w:rPr>
        <w:t>α</w:t>
      </w:r>
      <w:r w:rsidRPr="007D7AD4">
        <w:rPr>
          <w:lang w:val="cs-CZ"/>
        </w:rPr>
        <w:t>1</w:t>
      </w:r>
      <w:r>
        <w:rPr>
          <w:lang w:val="cs-CZ"/>
        </w:rPr>
        <w:t>-</w:t>
      </w:r>
      <w:r w:rsidRPr="007D7AD4">
        <w:rPr>
          <w:lang w:val="cs-CZ"/>
        </w:rPr>
        <w:t xml:space="preserve">kyselý </w:t>
      </w:r>
      <w:r w:rsidR="00C801B2">
        <w:rPr>
          <w:lang w:val="cs-CZ"/>
        </w:rPr>
        <w:t>glykoprotei</w:t>
      </w:r>
      <w:r w:rsidR="001F537A">
        <w:rPr>
          <w:lang w:val="cs-CZ"/>
        </w:rPr>
        <w:t>n</w:t>
      </w:r>
      <w:r w:rsidR="00C801B2">
        <w:rPr>
          <w:lang w:val="cs-CZ"/>
        </w:rPr>
        <w:t>,</w:t>
      </w:r>
      <w:r w:rsidRPr="007D7AD4">
        <w:rPr>
          <w:lang w:val="cs-CZ"/>
        </w:rPr>
        <w:t xml:space="preserve"> AGP)</w:t>
      </w:r>
      <w:r w:rsidR="00C801B2">
        <w:rPr>
          <w:lang w:val="cs-CZ"/>
        </w:rPr>
        <w:t>,</w:t>
      </w:r>
      <w:r>
        <w:rPr>
          <w:lang w:val="cs-CZ"/>
        </w:rPr>
        <w:t xml:space="preserve"> </w:t>
      </w:r>
      <w:r w:rsidR="001F537A">
        <w:rPr>
          <w:lang w:val="cs-CZ"/>
        </w:rPr>
        <w:t>který na sebe váže léčivé látky.</w:t>
      </w:r>
      <w:r w:rsidRPr="007D7AD4">
        <w:rPr>
          <w:lang w:val="cs-CZ"/>
        </w:rPr>
        <w:t xml:space="preserve"> Proto musí být věnována zvláštní pozornost farmakokinetice a dávkám současně podávaných lé</w:t>
      </w:r>
      <w:r w:rsidR="001F537A">
        <w:rPr>
          <w:lang w:val="cs-CZ"/>
        </w:rPr>
        <w:t>čiv.</w:t>
      </w:r>
    </w:p>
    <w:p w:rsidR="00F336D7" w:rsidRPr="007D7AD4" w:rsidRDefault="00F336D7" w:rsidP="00D27A17">
      <w:pPr>
        <w:jc w:val="both"/>
        <w:rPr>
          <w:lang w:val="cs-CZ"/>
        </w:rPr>
      </w:pPr>
      <w:r w:rsidRPr="007D7AD4">
        <w:rPr>
          <w:lang w:val="cs-CZ"/>
        </w:rPr>
        <w:t>Plazmatická koncentrace cyklosporinu, hormonů štítné žlázy a teofylinu je v případě souběžného podávání fenobarbitalu snížena. Účinnost těchto látek je také snížena.</w:t>
      </w:r>
    </w:p>
    <w:p w:rsidR="00F336D7" w:rsidRPr="007D7AD4" w:rsidRDefault="00F336D7" w:rsidP="00D27A17">
      <w:pPr>
        <w:spacing w:line="240" w:lineRule="auto"/>
        <w:jc w:val="both"/>
        <w:rPr>
          <w:lang w:val="cs-CZ"/>
        </w:rPr>
      </w:pPr>
      <w:proofErr w:type="spellStart"/>
      <w:r w:rsidRPr="007D7AD4">
        <w:rPr>
          <w:lang w:val="cs-CZ"/>
        </w:rPr>
        <w:t>Cimetidin</w:t>
      </w:r>
      <w:proofErr w:type="spellEnd"/>
      <w:r w:rsidRPr="007D7AD4">
        <w:rPr>
          <w:lang w:val="cs-CZ"/>
        </w:rPr>
        <w:t xml:space="preserve"> a </w:t>
      </w:r>
      <w:proofErr w:type="spellStart"/>
      <w:r w:rsidRPr="007D7AD4">
        <w:rPr>
          <w:lang w:val="cs-CZ"/>
        </w:rPr>
        <w:t>ketokonazol</w:t>
      </w:r>
      <w:proofErr w:type="spellEnd"/>
      <w:r w:rsidRPr="007D7AD4">
        <w:rPr>
          <w:lang w:val="cs-CZ"/>
        </w:rPr>
        <w:t xml:space="preserve"> jsou inhibitory jaterních enzymů: současné užívání s fenobarbitalem může vyvolat zvýšení sérové koncentrace fenobarbitalu.</w:t>
      </w:r>
    </w:p>
    <w:p w:rsidR="00F336D7" w:rsidRPr="007D7AD4" w:rsidRDefault="00F336D7" w:rsidP="00D27A17">
      <w:pPr>
        <w:spacing w:line="240" w:lineRule="auto"/>
        <w:jc w:val="both"/>
        <w:rPr>
          <w:lang w:val="cs-CZ"/>
        </w:rPr>
      </w:pPr>
      <w:r w:rsidRPr="007D7AD4">
        <w:rPr>
          <w:lang w:val="cs-CZ"/>
        </w:rPr>
        <w:t>Současné užívání bromidu draselného zvyšuje riziko pankreatitidy.</w:t>
      </w:r>
    </w:p>
    <w:p w:rsidR="00F336D7" w:rsidRPr="007D7AD4" w:rsidRDefault="00F336D7" w:rsidP="00D27A17">
      <w:pPr>
        <w:spacing w:line="240" w:lineRule="auto"/>
        <w:jc w:val="both"/>
        <w:rPr>
          <w:lang w:val="cs-CZ"/>
        </w:rPr>
      </w:pPr>
      <w:r w:rsidRPr="007D7AD4">
        <w:rPr>
          <w:lang w:val="cs-CZ"/>
        </w:rPr>
        <w:t>Současné užívání s jinými lé</w:t>
      </w:r>
      <w:r w:rsidR="001F537A">
        <w:rPr>
          <w:lang w:val="cs-CZ"/>
        </w:rPr>
        <w:t>čivy</w:t>
      </w:r>
      <w:r w:rsidRPr="007D7AD4">
        <w:rPr>
          <w:lang w:val="cs-CZ"/>
        </w:rPr>
        <w:t>, kter</w:t>
      </w:r>
      <w:r w:rsidR="001F537A">
        <w:rPr>
          <w:lang w:val="cs-CZ"/>
        </w:rPr>
        <w:t>á</w:t>
      </w:r>
      <w:r w:rsidRPr="007D7AD4">
        <w:rPr>
          <w:lang w:val="cs-CZ"/>
        </w:rPr>
        <w:t xml:space="preserve"> mají centrální</w:t>
      </w:r>
      <w:r w:rsidR="001F537A">
        <w:rPr>
          <w:lang w:val="cs-CZ"/>
        </w:rPr>
        <w:t xml:space="preserve"> tlumivé </w:t>
      </w:r>
      <w:r w:rsidRPr="007D7AD4">
        <w:rPr>
          <w:lang w:val="cs-CZ"/>
        </w:rPr>
        <w:t>účinky, jako jsou narkotická analgetika, deriváty morfi</w:t>
      </w:r>
      <w:r w:rsidR="001F537A">
        <w:rPr>
          <w:lang w:val="cs-CZ"/>
        </w:rPr>
        <w:t>nu</w:t>
      </w:r>
      <w:r w:rsidRPr="007D7AD4">
        <w:rPr>
          <w:lang w:val="cs-CZ"/>
        </w:rPr>
        <w:t xml:space="preserve">, </w:t>
      </w:r>
      <w:proofErr w:type="spellStart"/>
      <w:r w:rsidRPr="007D7AD4">
        <w:rPr>
          <w:lang w:val="cs-CZ"/>
        </w:rPr>
        <w:t>fenothiaziny</w:t>
      </w:r>
      <w:proofErr w:type="spellEnd"/>
      <w:r w:rsidRPr="007D7AD4">
        <w:rPr>
          <w:lang w:val="cs-CZ"/>
        </w:rPr>
        <w:t xml:space="preserve">, antihistaminika, </w:t>
      </w:r>
      <w:proofErr w:type="spellStart"/>
      <w:r w:rsidRPr="007D7AD4">
        <w:rPr>
          <w:lang w:val="cs-CZ"/>
        </w:rPr>
        <w:t>klomipramin</w:t>
      </w:r>
      <w:proofErr w:type="spellEnd"/>
      <w:r w:rsidRPr="007D7AD4">
        <w:rPr>
          <w:lang w:val="cs-CZ"/>
        </w:rPr>
        <w:t xml:space="preserve"> a chloramfenikol, mohou účinek fenobarbitalu </w:t>
      </w:r>
      <w:r w:rsidR="00F606FE">
        <w:rPr>
          <w:lang w:val="cs-CZ"/>
        </w:rPr>
        <w:t>zvýšit</w:t>
      </w:r>
      <w:r w:rsidR="001F537A">
        <w:rPr>
          <w:lang w:val="cs-CZ"/>
        </w:rPr>
        <w:t>.</w:t>
      </w:r>
    </w:p>
    <w:p w:rsidR="00F336D7" w:rsidRPr="007D7AD4" w:rsidRDefault="00F336D7" w:rsidP="00D27A17">
      <w:pPr>
        <w:spacing w:line="240" w:lineRule="auto"/>
        <w:jc w:val="both"/>
        <w:rPr>
          <w:lang w:val="cs-CZ"/>
        </w:rPr>
      </w:pPr>
      <w:r w:rsidRPr="007D7AD4">
        <w:rPr>
          <w:lang w:val="cs-CZ"/>
        </w:rPr>
        <w:t>Fenobarbital může zv</w:t>
      </w:r>
      <w:r w:rsidR="001F537A">
        <w:rPr>
          <w:lang w:val="cs-CZ"/>
        </w:rPr>
        <w:t>yšovat</w:t>
      </w:r>
      <w:r w:rsidRPr="007D7AD4">
        <w:rPr>
          <w:lang w:val="cs-CZ"/>
        </w:rPr>
        <w:t xml:space="preserve"> metabolismus, a tedy sn</w:t>
      </w:r>
      <w:r w:rsidR="001F537A">
        <w:rPr>
          <w:lang w:val="cs-CZ"/>
        </w:rPr>
        <w:t>ižovat</w:t>
      </w:r>
      <w:r w:rsidRPr="007D7AD4">
        <w:rPr>
          <w:lang w:val="cs-CZ"/>
        </w:rPr>
        <w:t xml:space="preserve"> účinek antiepileptik, chloramfenik</w:t>
      </w:r>
      <w:r w:rsidR="00401FC9">
        <w:rPr>
          <w:lang w:val="cs-CZ"/>
        </w:rPr>
        <w:t>o</w:t>
      </w:r>
      <w:r w:rsidRPr="007D7AD4">
        <w:rPr>
          <w:lang w:val="cs-CZ"/>
        </w:rPr>
        <w:t xml:space="preserve">lu, kortikosteroidů, doxycyklinu, beta-blokátorů a </w:t>
      </w:r>
      <w:proofErr w:type="spellStart"/>
      <w:r w:rsidRPr="007D7AD4">
        <w:rPr>
          <w:lang w:val="cs-CZ"/>
        </w:rPr>
        <w:t>metronidazolu</w:t>
      </w:r>
      <w:proofErr w:type="spellEnd"/>
      <w:r w:rsidRPr="007D7AD4">
        <w:rPr>
          <w:lang w:val="cs-CZ"/>
        </w:rPr>
        <w:t>.</w:t>
      </w:r>
    </w:p>
    <w:p w:rsidR="00F336D7" w:rsidRPr="007D7AD4" w:rsidRDefault="00F336D7" w:rsidP="00D27A17">
      <w:pPr>
        <w:spacing w:line="240" w:lineRule="auto"/>
        <w:jc w:val="both"/>
        <w:rPr>
          <w:lang w:val="cs-CZ"/>
        </w:rPr>
      </w:pPr>
      <w:r w:rsidRPr="007D7AD4">
        <w:rPr>
          <w:lang w:val="cs-CZ"/>
        </w:rPr>
        <w:t>Spolehlivost perorálních antikoncepčních prostředků je nižší.</w:t>
      </w:r>
    </w:p>
    <w:p w:rsidR="00F336D7" w:rsidRPr="007D7AD4" w:rsidRDefault="00F336D7" w:rsidP="00D27A17">
      <w:pPr>
        <w:spacing w:line="240" w:lineRule="auto"/>
        <w:jc w:val="both"/>
        <w:rPr>
          <w:lang w:val="cs-CZ"/>
        </w:rPr>
      </w:pPr>
      <w:r w:rsidRPr="007D7AD4">
        <w:rPr>
          <w:lang w:val="cs-CZ"/>
        </w:rPr>
        <w:t>Fenobarbital může sn</w:t>
      </w:r>
      <w:r w:rsidR="001F537A">
        <w:rPr>
          <w:lang w:val="cs-CZ"/>
        </w:rPr>
        <w:t>ižovat</w:t>
      </w:r>
      <w:r w:rsidRPr="007D7AD4">
        <w:rPr>
          <w:lang w:val="cs-CZ"/>
        </w:rPr>
        <w:t xml:space="preserve"> absorpci griseofulvinu.</w:t>
      </w:r>
    </w:p>
    <w:p w:rsidR="00F336D7" w:rsidRPr="007D7AD4" w:rsidRDefault="00F336D7" w:rsidP="00D27A17">
      <w:pPr>
        <w:jc w:val="both"/>
        <w:rPr>
          <w:bCs/>
          <w:lang w:val="cs-CZ"/>
        </w:rPr>
      </w:pPr>
      <w:r w:rsidRPr="007D7AD4">
        <w:rPr>
          <w:lang w:val="cs-CZ"/>
        </w:rPr>
        <w:t>Následující lé</w:t>
      </w:r>
      <w:r w:rsidR="001F537A">
        <w:rPr>
          <w:lang w:val="cs-CZ"/>
        </w:rPr>
        <w:t>čiva</w:t>
      </w:r>
      <w:r w:rsidRPr="007D7AD4">
        <w:rPr>
          <w:lang w:val="cs-CZ"/>
        </w:rPr>
        <w:t xml:space="preserve"> mohou snižovat křečový práh: například </w:t>
      </w:r>
      <w:proofErr w:type="spellStart"/>
      <w:r w:rsidRPr="007D7AD4">
        <w:rPr>
          <w:lang w:val="cs-CZ"/>
        </w:rPr>
        <w:t>chinolony</w:t>
      </w:r>
      <w:proofErr w:type="spellEnd"/>
      <w:r w:rsidRPr="007D7AD4">
        <w:rPr>
          <w:lang w:val="cs-CZ"/>
        </w:rPr>
        <w:t>, vysoké dávky β-</w:t>
      </w:r>
      <w:proofErr w:type="spellStart"/>
      <w:r w:rsidRPr="007D7AD4">
        <w:rPr>
          <w:lang w:val="cs-CZ"/>
        </w:rPr>
        <w:t>laktamových</w:t>
      </w:r>
      <w:proofErr w:type="spellEnd"/>
      <w:r w:rsidRPr="007D7AD4">
        <w:rPr>
          <w:lang w:val="cs-CZ"/>
        </w:rPr>
        <w:t xml:space="preserve"> antibiotik, teofylin, aminofylin, cyklosporin a </w:t>
      </w:r>
      <w:proofErr w:type="spellStart"/>
      <w:r w:rsidRPr="007D7AD4">
        <w:rPr>
          <w:lang w:val="cs-CZ"/>
        </w:rPr>
        <w:t>propofol</w:t>
      </w:r>
      <w:proofErr w:type="spellEnd"/>
      <w:r w:rsidRPr="007D7AD4">
        <w:rPr>
          <w:lang w:val="cs-CZ"/>
        </w:rPr>
        <w:t>. Lé</w:t>
      </w:r>
      <w:r w:rsidR="001F537A">
        <w:rPr>
          <w:lang w:val="cs-CZ"/>
        </w:rPr>
        <w:t>čiva</w:t>
      </w:r>
      <w:r w:rsidRPr="007D7AD4">
        <w:rPr>
          <w:lang w:val="cs-CZ"/>
        </w:rPr>
        <w:t>, kter</w:t>
      </w:r>
      <w:r w:rsidR="001F537A">
        <w:rPr>
          <w:lang w:val="cs-CZ"/>
        </w:rPr>
        <w:t>á</w:t>
      </w:r>
      <w:r w:rsidRPr="007D7AD4">
        <w:rPr>
          <w:lang w:val="cs-CZ"/>
        </w:rPr>
        <w:t xml:space="preserve"> mohou měnit práh pro vznik záchvatů</w:t>
      </w:r>
      <w:r w:rsidR="0074259F">
        <w:rPr>
          <w:lang w:val="cs-CZ"/>
        </w:rPr>
        <w:t>,</w:t>
      </w:r>
      <w:bookmarkStart w:id="0" w:name="_GoBack"/>
      <w:bookmarkEnd w:id="0"/>
      <w:r w:rsidRPr="007D7AD4">
        <w:rPr>
          <w:lang w:val="cs-CZ"/>
        </w:rPr>
        <w:t xml:space="preserve"> by měl</w:t>
      </w:r>
      <w:r w:rsidR="001F537A">
        <w:rPr>
          <w:lang w:val="cs-CZ"/>
        </w:rPr>
        <w:t>a</w:t>
      </w:r>
      <w:r w:rsidRPr="007D7AD4">
        <w:rPr>
          <w:lang w:val="cs-CZ"/>
        </w:rPr>
        <w:t xml:space="preserve"> být použ</w:t>
      </w:r>
      <w:r w:rsidR="001F537A">
        <w:rPr>
          <w:lang w:val="cs-CZ"/>
        </w:rPr>
        <w:t>ívána</w:t>
      </w:r>
      <w:r w:rsidRPr="007D7AD4">
        <w:rPr>
          <w:lang w:val="cs-CZ"/>
        </w:rPr>
        <w:t xml:space="preserve"> pouze v případě, že to je skutečně nutné a pokud neexistuje</w:t>
      </w:r>
      <w:r w:rsidR="001F537A">
        <w:rPr>
          <w:lang w:val="cs-CZ"/>
        </w:rPr>
        <w:t xml:space="preserve"> žádná </w:t>
      </w:r>
      <w:r w:rsidRPr="007D7AD4">
        <w:rPr>
          <w:lang w:val="cs-CZ"/>
        </w:rPr>
        <w:t>bezpečnější alternativa.</w:t>
      </w:r>
    </w:p>
    <w:p w:rsidR="00F606FE" w:rsidRPr="008C136E" w:rsidRDefault="00F606FE" w:rsidP="00F606FE">
      <w:pPr>
        <w:jc w:val="both"/>
        <w:rPr>
          <w:lang w:val="cs-CZ"/>
        </w:rPr>
      </w:pPr>
      <w:r w:rsidRPr="008C136E">
        <w:rPr>
          <w:lang w:val="cs-CZ"/>
        </w:rPr>
        <w:t xml:space="preserve">Použití tablet fenobarbitalu ve spojení s </w:t>
      </w:r>
      <w:proofErr w:type="spellStart"/>
      <w:r w:rsidRPr="008C136E">
        <w:rPr>
          <w:lang w:val="cs-CZ"/>
        </w:rPr>
        <w:t>primidonem</w:t>
      </w:r>
      <w:proofErr w:type="spellEnd"/>
      <w:r w:rsidRPr="008C136E">
        <w:rPr>
          <w:lang w:val="cs-CZ"/>
        </w:rPr>
        <w:t xml:space="preserve"> se nedoporučuje, protože </w:t>
      </w:r>
      <w:proofErr w:type="spellStart"/>
      <w:r w:rsidRPr="008C136E">
        <w:rPr>
          <w:lang w:val="cs-CZ"/>
        </w:rPr>
        <w:t>primidon</w:t>
      </w:r>
      <w:proofErr w:type="spellEnd"/>
      <w:r w:rsidRPr="008C136E">
        <w:rPr>
          <w:lang w:val="cs-CZ"/>
        </w:rPr>
        <w:t xml:space="preserve"> je převážně metabolizován na fenobarbital.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AE5E0C" w:rsidRPr="007D7AD4" w:rsidRDefault="00AE5E0C" w:rsidP="00D27A17">
      <w:pPr>
        <w:spacing w:line="240" w:lineRule="auto"/>
        <w:ind w:left="567" w:hanging="567"/>
        <w:jc w:val="both"/>
        <w:rPr>
          <w:b/>
          <w:lang w:val="cs-CZ"/>
        </w:rPr>
      </w:pPr>
      <w:r w:rsidRPr="007D7AD4">
        <w:rPr>
          <w:b/>
          <w:lang w:val="cs-CZ"/>
        </w:rPr>
        <w:t>13.</w:t>
      </w:r>
      <w:r w:rsidRPr="007D7AD4">
        <w:rPr>
          <w:b/>
          <w:lang w:val="cs-CZ"/>
        </w:rPr>
        <w:tab/>
      </w:r>
      <w:r w:rsidR="009F7587" w:rsidRPr="007D7AD4">
        <w:rPr>
          <w:b/>
          <w:lang w:val="cs-CZ"/>
        </w:rPr>
        <w:t>ZVLÁŠTNÍ OPATŘENÍ PRO ZNEŠKODŇOVÁNÍ NEPOUŽITÝCH PŘÍPRAVKŮ NEBO ODPADU, POKUD JE JICH TŘEBA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ind w:right="-318"/>
        <w:jc w:val="both"/>
        <w:rPr>
          <w:lang w:val="cs-CZ"/>
        </w:rPr>
      </w:pPr>
    </w:p>
    <w:p w:rsidR="00AE5E0C" w:rsidRPr="007D7AD4" w:rsidRDefault="002F08D0" w:rsidP="00D27A17">
      <w:pPr>
        <w:tabs>
          <w:tab w:val="clear" w:pos="567"/>
        </w:tabs>
        <w:spacing w:line="240" w:lineRule="auto"/>
        <w:ind w:right="-318"/>
        <w:jc w:val="both"/>
        <w:rPr>
          <w:lang w:val="cs-CZ"/>
        </w:rPr>
      </w:pPr>
      <w:r w:rsidRPr="007D7AD4">
        <w:rPr>
          <w:lang w:val="cs-CZ"/>
        </w:rPr>
        <w:t>Léčivé přípravky se nesmí likvidovat prostřednictvím odpadní vody či domovního odpadu</w:t>
      </w:r>
      <w:r w:rsidR="00AE5E0C" w:rsidRPr="007D7AD4">
        <w:rPr>
          <w:lang w:val="cs-CZ"/>
        </w:rPr>
        <w:t>.</w:t>
      </w:r>
    </w:p>
    <w:p w:rsidR="00AE5E0C" w:rsidRPr="007D7AD4" w:rsidRDefault="002F08D0" w:rsidP="00EC37A7">
      <w:pPr>
        <w:tabs>
          <w:tab w:val="clear" w:pos="567"/>
        </w:tabs>
        <w:spacing w:line="240" w:lineRule="auto"/>
        <w:ind w:right="10"/>
        <w:jc w:val="both"/>
        <w:rPr>
          <w:lang w:val="cs-CZ"/>
        </w:rPr>
      </w:pPr>
      <w:r w:rsidRPr="007D7AD4">
        <w:rPr>
          <w:lang w:val="cs-CZ"/>
        </w:rPr>
        <w:t>O možnostech likvidace nepotřebných léčivých přípravků se poraďte s vaším veterinárním lékařem. Tato opatření napomáhají chránit životní prostředí</w:t>
      </w:r>
      <w:r w:rsidR="00AE5E0C" w:rsidRPr="007D7AD4">
        <w:rPr>
          <w:lang w:val="cs-CZ"/>
        </w:rPr>
        <w:t>.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ind w:right="-318"/>
        <w:jc w:val="both"/>
        <w:rPr>
          <w:lang w:val="cs-CZ"/>
        </w:rPr>
      </w:pPr>
    </w:p>
    <w:p w:rsidR="00AE5E0C" w:rsidRPr="007D7AD4" w:rsidRDefault="00AE5E0C" w:rsidP="00D27A17">
      <w:pPr>
        <w:spacing w:line="240" w:lineRule="auto"/>
        <w:ind w:left="567" w:hanging="567"/>
        <w:jc w:val="both"/>
        <w:rPr>
          <w:lang w:val="cs-CZ"/>
        </w:rPr>
      </w:pPr>
      <w:r w:rsidRPr="007D7AD4">
        <w:rPr>
          <w:b/>
          <w:lang w:val="cs-CZ"/>
        </w:rPr>
        <w:t>14.</w:t>
      </w:r>
      <w:r w:rsidRPr="007D7AD4">
        <w:rPr>
          <w:b/>
          <w:lang w:val="cs-CZ"/>
        </w:rPr>
        <w:tab/>
      </w:r>
      <w:r w:rsidR="002F08D0" w:rsidRPr="007D7AD4">
        <w:rPr>
          <w:b/>
          <w:lang w:val="cs-CZ"/>
        </w:rPr>
        <w:t>DATUM POSLEDNÍ REVIZE PŘÍBALOVÉ INFORMACE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ind w:right="-318"/>
        <w:jc w:val="both"/>
        <w:rPr>
          <w:lang w:val="cs-CZ"/>
        </w:rPr>
      </w:pPr>
    </w:p>
    <w:p w:rsidR="00D2338A" w:rsidRPr="007D7AD4" w:rsidRDefault="00F16EE2" w:rsidP="00D27A17">
      <w:pPr>
        <w:tabs>
          <w:tab w:val="clear" w:pos="567"/>
        </w:tabs>
        <w:spacing w:line="240" w:lineRule="auto"/>
        <w:ind w:right="-318"/>
        <w:jc w:val="both"/>
        <w:rPr>
          <w:lang w:val="cs-CZ"/>
        </w:rPr>
      </w:pPr>
      <w:proofErr w:type="gramStart"/>
      <w:r>
        <w:rPr>
          <w:lang w:val="cs-CZ"/>
        </w:rPr>
        <w:t>Leden</w:t>
      </w:r>
      <w:proofErr w:type="gramEnd"/>
      <w:r>
        <w:rPr>
          <w:lang w:val="cs-CZ"/>
        </w:rPr>
        <w:t xml:space="preserve"> 2023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ind w:right="-318"/>
        <w:jc w:val="both"/>
        <w:rPr>
          <w:lang w:val="cs-CZ"/>
        </w:rPr>
      </w:pPr>
    </w:p>
    <w:p w:rsidR="00AE5E0C" w:rsidRPr="007D7AD4" w:rsidRDefault="00AE5E0C" w:rsidP="00D27A17">
      <w:pPr>
        <w:spacing w:line="240" w:lineRule="auto"/>
        <w:ind w:left="567" w:hanging="567"/>
        <w:jc w:val="both"/>
        <w:rPr>
          <w:lang w:val="cs-CZ"/>
        </w:rPr>
      </w:pPr>
      <w:r w:rsidRPr="007D7AD4">
        <w:rPr>
          <w:b/>
          <w:lang w:val="cs-CZ"/>
        </w:rPr>
        <w:t>15.</w:t>
      </w:r>
      <w:r w:rsidRPr="007D7AD4">
        <w:rPr>
          <w:b/>
          <w:lang w:val="cs-CZ"/>
        </w:rPr>
        <w:tab/>
      </w:r>
      <w:r w:rsidR="002F08D0" w:rsidRPr="007D7AD4">
        <w:rPr>
          <w:b/>
          <w:lang w:val="cs-CZ"/>
        </w:rPr>
        <w:t>DALŠÍ INFORMACE</w:t>
      </w:r>
    </w:p>
    <w:p w:rsidR="00AE5E0C" w:rsidRPr="007D7AD4" w:rsidRDefault="00AE5E0C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F336D7" w:rsidRPr="007D7AD4" w:rsidRDefault="00F336D7" w:rsidP="00D27A17">
      <w:pPr>
        <w:tabs>
          <w:tab w:val="clear" w:pos="567"/>
        </w:tabs>
        <w:spacing w:line="240" w:lineRule="auto"/>
        <w:jc w:val="both"/>
        <w:rPr>
          <w:b/>
          <w:lang w:val="cs-CZ"/>
        </w:rPr>
      </w:pPr>
      <w:r w:rsidRPr="007D7AD4">
        <w:rPr>
          <w:b/>
          <w:lang w:val="cs-CZ"/>
        </w:rPr>
        <w:t>Farmakodynamické vlastnosti</w:t>
      </w:r>
    </w:p>
    <w:p w:rsidR="00F336D7" w:rsidRPr="007D7AD4" w:rsidRDefault="00F336D7" w:rsidP="00D27A17">
      <w:pPr>
        <w:jc w:val="both"/>
        <w:rPr>
          <w:lang w:val="cs-CZ"/>
        </w:rPr>
      </w:pPr>
      <w:proofErr w:type="spellStart"/>
      <w:r w:rsidRPr="007D7AD4">
        <w:rPr>
          <w:lang w:val="cs-CZ"/>
        </w:rPr>
        <w:t>Antiepileptické</w:t>
      </w:r>
      <w:proofErr w:type="spellEnd"/>
      <w:r w:rsidRPr="007D7AD4">
        <w:rPr>
          <w:lang w:val="cs-CZ"/>
        </w:rPr>
        <w:t xml:space="preserve"> účinky fenobarbitalu jsou pravděpodobně výsledkem nejméně dvou mechanismů,</w:t>
      </w:r>
      <w:r w:rsidR="0064364A">
        <w:rPr>
          <w:lang w:val="cs-CZ"/>
        </w:rPr>
        <w:t xml:space="preserve"> </w:t>
      </w:r>
      <w:r w:rsidR="001F537A">
        <w:rPr>
          <w:lang w:val="cs-CZ"/>
        </w:rPr>
        <w:t>kterými jsou snížení</w:t>
      </w:r>
      <w:r w:rsidRPr="007D7AD4">
        <w:rPr>
          <w:lang w:val="cs-CZ"/>
        </w:rPr>
        <w:t xml:space="preserve"> </w:t>
      </w:r>
      <w:proofErr w:type="spellStart"/>
      <w:r w:rsidRPr="007D7AD4">
        <w:rPr>
          <w:lang w:val="cs-CZ"/>
        </w:rPr>
        <w:t>monosynaptick</w:t>
      </w:r>
      <w:r w:rsidR="001F537A">
        <w:rPr>
          <w:lang w:val="cs-CZ"/>
        </w:rPr>
        <w:t>ého</w:t>
      </w:r>
      <w:proofErr w:type="spellEnd"/>
      <w:r w:rsidRPr="007D7AD4">
        <w:rPr>
          <w:lang w:val="cs-CZ"/>
        </w:rPr>
        <w:t xml:space="preserve"> přenos</w:t>
      </w:r>
      <w:r w:rsidR="001F537A">
        <w:rPr>
          <w:lang w:val="cs-CZ"/>
        </w:rPr>
        <w:t>u</w:t>
      </w:r>
      <w:r w:rsidRPr="007D7AD4">
        <w:rPr>
          <w:lang w:val="cs-CZ"/>
        </w:rPr>
        <w:t xml:space="preserve">, </w:t>
      </w:r>
      <w:r w:rsidR="001F537A">
        <w:rPr>
          <w:lang w:val="cs-CZ"/>
        </w:rPr>
        <w:t xml:space="preserve">které </w:t>
      </w:r>
      <w:r w:rsidRPr="007D7AD4">
        <w:rPr>
          <w:lang w:val="cs-CZ"/>
        </w:rPr>
        <w:t xml:space="preserve">pravděpodobně vede ke snížení </w:t>
      </w:r>
      <w:proofErr w:type="spellStart"/>
      <w:r w:rsidRPr="007D7AD4">
        <w:rPr>
          <w:lang w:val="cs-CZ"/>
        </w:rPr>
        <w:t>neuronální</w:t>
      </w:r>
      <w:proofErr w:type="spellEnd"/>
      <w:r w:rsidRPr="007D7AD4">
        <w:rPr>
          <w:lang w:val="cs-CZ"/>
        </w:rPr>
        <w:t xml:space="preserve"> dráždivosti a zvýšení prahu motorické kůry pro elektrickou stimulaci.</w:t>
      </w:r>
    </w:p>
    <w:p w:rsidR="00F336D7" w:rsidRPr="007D7AD4" w:rsidRDefault="00F336D7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F336D7" w:rsidRPr="007D7AD4" w:rsidRDefault="00F336D7" w:rsidP="00D27A17">
      <w:pPr>
        <w:spacing w:line="240" w:lineRule="auto"/>
        <w:jc w:val="both"/>
        <w:rPr>
          <w:lang w:val="cs-CZ"/>
        </w:rPr>
      </w:pPr>
      <w:r w:rsidRPr="007D7AD4">
        <w:rPr>
          <w:b/>
          <w:lang w:val="cs-CZ"/>
        </w:rPr>
        <w:t>Farmakokinetické údaje</w:t>
      </w:r>
    </w:p>
    <w:p w:rsidR="00FF156D" w:rsidRPr="007D7AD4" w:rsidRDefault="00FF156D" w:rsidP="00D27A17">
      <w:pPr>
        <w:pStyle w:val="z-Zatekformule"/>
        <w:tabs>
          <w:tab w:val="clear" w:pos="720"/>
          <w:tab w:val="left" w:pos="567"/>
        </w:tabs>
        <w:jc w:val="both"/>
        <w:rPr>
          <w:sz w:val="22"/>
          <w:lang w:val="cs-CZ"/>
        </w:rPr>
      </w:pPr>
      <w:r w:rsidRPr="007D7AD4">
        <w:rPr>
          <w:sz w:val="22"/>
          <w:lang w:val="cs-CZ"/>
        </w:rPr>
        <w:t xml:space="preserve">Po perorálním podání fenobarbitalu psům se </w:t>
      </w:r>
      <w:r w:rsidR="00410FFB">
        <w:rPr>
          <w:sz w:val="22"/>
          <w:lang w:val="cs-CZ"/>
        </w:rPr>
        <w:t>léčivá</w:t>
      </w:r>
      <w:r>
        <w:rPr>
          <w:sz w:val="22"/>
          <w:lang w:val="cs-CZ"/>
        </w:rPr>
        <w:t xml:space="preserve"> látka</w:t>
      </w:r>
      <w:r w:rsidRPr="007D7AD4">
        <w:rPr>
          <w:sz w:val="22"/>
          <w:lang w:val="cs-CZ"/>
        </w:rPr>
        <w:t xml:space="preserve"> rychle vstř</w:t>
      </w:r>
      <w:r w:rsidR="00C801B2">
        <w:rPr>
          <w:sz w:val="22"/>
          <w:lang w:val="cs-CZ"/>
        </w:rPr>
        <w:t>ebává a maximální koncentrace v </w:t>
      </w:r>
      <w:r w:rsidRPr="007D7AD4">
        <w:rPr>
          <w:sz w:val="22"/>
          <w:lang w:val="cs-CZ"/>
        </w:rPr>
        <w:t>plazmě je dosažen</w:t>
      </w:r>
      <w:r>
        <w:rPr>
          <w:sz w:val="22"/>
          <w:lang w:val="cs-CZ"/>
        </w:rPr>
        <w:t>a</w:t>
      </w:r>
      <w:r w:rsidRPr="007D7AD4">
        <w:rPr>
          <w:sz w:val="22"/>
          <w:lang w:val="cs-CZ"/>
        </w:rPr>
        <w:t xml:space="preserve"> během 4-8 hodin. Biologická dostupnost je v rozmezí 86</w:t>
      </w:r>
      <w:r>
        <w:rPr>
          <w:sz w:val="22"/>
          <w:lang w:val="cs-CZ"/>
        </w:rPr>
        <w:t xml:space="preserve"> </w:t>
      </w:r>
      <w:r w:rsidRPr="007D7AD4">
        <w:rPr>
          <w:sz w:val="22"/>
          <w:lang w:val="cs-CZ"/>
        </w:rPr>
        <w:t>-</w:t>
      </w:r>
      <w:r>
        <w:rPr>
          <w:sz w:val="22"/>
          <w:lang w:val="cs-CZ"/>
        </w:rPr>
        <w:t xml:space="preserve"> </w:t>
      </w:r>
      <w:r w:rsidRPr="007D7AD4">
        <w:rPr>
          <w:sz w:val="22"/>
          <w:lang w:val="cs-CZ"/>
        </w:rPr>
        <w:t>96</w:t>
      </w:r>
      <w:r>
        <w:rPr>
          <w:sz w:val="22"/>
          <w:lang w:val="cs-CZ"/>
        </w:rPr>
        <w:t xml:space="preserve"> %, </w:t>
      </w:r>
      <w:r w:rsidR="00410FFB">
        <w:rPr>
          <w:sz w:val="22"/>
          <w:lang w:val="cs-CZ"/>
        </w:rPr>
        <w:t xml:space="preserve">zdánlivý </w:t>
      </w:r>
      <w:r>
        <w:rPr>
          <w:sz w:val="22"/>
          <w:lang w:val="cs-CZ"/>
        </w:rPr>
        <w:t>distribuční objem je 0,75 </w:t>
      </w:r>
      <w:r w:rsidRPr="007D7AD4">
        <w:rPr>
          <w:sz w:val="22"/>
          <w:lang w:val="cs-CZ"/>
        </w:rPr>
        <w:t xml:space="preserve">l/kg a </w:t>
      </w:r>
      <w:r w:rsidR="00410FFB">
        <w:rPr>
          <w:sz w:val="22"/>
          <w:lang w:val="cs-CZ"/>
        </w:rPr>
        <w:t xml:space="preserve">rovnovážný </w:t>
      </w:r>
      <w:r w:rsidRPr="007D7AD4">
        <w:rPr>
          <w:sz w:val="22"/>
          <w:lang w:val="cs-CZ"/>
        </w:rPr>
        <w:t>stav koncentrace v séru je dosažen 2-3 týdny po zahájení léčby.</w:t>
      </w:r>
    </w:p>
    <w:p w:rsidR="00FF156D" w:rsidRPr="007D7AD4" w:rsidRDefault="00FF156D" w:rsidP="00D27A17">
      <w:pPr>
        <w:jc w:val="both"/>
        <w:rPr>
          <w:lang w:val="cs-CZ"/>
        </w:rPr>
      </w:pPr>
      <w:r w:rsidRPr="007D7AD4">
        <w:rPr>
          <w:lang w:val="cs-CZ"/>
        </w:rPr>
        <w:t>Asi 45</w:t>
      </w:r>
      <w:r>
        <w:rPr>
          <w:lang w:val="cs-CZ"/>
        </w:rPr>
        <w:t xml:space="preserve"> </w:t>
      </w:r>
      <w:r w:rsidRPr="007D7AD4">
        <w:rPr>
          <w:lang w:val="cs-CZ"/>
        </w:rPr>
        <w:t>% koncentrace v plazmě je vázán</w:t>
      </w:r>
      <w:r>
        <w:rPr>
          <w:lang w:val="cs-CZ"/>
        </w:rPr>
        <w:t>o</w:t>
      </w:r>
      <w:r w:rsidRPr="007D7AD4">
        <w:rPr>
          <w:lang w:val="cs-CZ"/>
        </w:rPr>
        <w:t xml:space="preserve"> na bílkoviny. </w:t>
      </w:r>
      <w:r w:rsidR="00410FFB">
        <w:rPr>
          <w:lang w:val="cs-CZ"/>
        </w:rPr>
        <w:t xml:space="preserve">Léčivá látka je metabolizována formou </w:t>
      </w:r>
      <w:r w:rsidRPr="007D7AD4">
        <w:rPr>
          <w:lang w:val="cs-CZ"/>
        </w:rPr>
        <w:t>aromatické hydroxylace fenylové skupiny v poloze para (p-</w:t>
      </w:r>
      <w:proofErr w:type="spellStart"/>
      <w:r w:rsidRPr="007D7AD4">
        <w:rPr>
          <w:lang w:val="cs-CZ"/>
        </w:rPr>
        <w:t>hydroxyfenobarbital</w:t>
      </w:r>
      <w:proofErr w:type="spellEnd"/>
      <w:r w:rsidRPr="007D7AD4">
        <w:rPr>
          <w:lang w:val="cs-CZ"/>
        </w:rPr>
        <w:t>) a asi 25</w:t>
      </w:r>
      <w:r>
        <w:rPr>
          <w:lang w:val="cs-CZ"/>
        </w:rPr>
        <w:t xml:space="preserve"> % účinné látky </w:t>
      </w:r>
      <w:r>
        <w:rPr>
          <w:lang w:val="cs-CZ"/>
        </w:rPr>
        <w:lastRenderedPageBreak/>
        <w:t>se vylučuje v </w:t>
      </w:r>
      <w:r w:rsidRPr="007D7AD4">
        <w:rPr>
          <w:lang w:val="cs-CZ"/>
        </w:rPr>
        <w:t xml:space="preserve">nezměněné formě močí. </w:t>
      </w:r>
      <w:r w:rsidR="00410FFB">
        <w:rPr>
          <w:lang w:val="cs-CZ"/>
        </w:rPr>
        <w:t>Biologický p</w:t>
      </w:r>
      <w:r w:rsidRPr="007D7AD4">
        <w:rPr>
          <w:lang w:val="cs-CZ"/>
        </w:rPr>
        <w:t>oločas vylučování se mezi jednotli</w:t>
      </w:r>
      <w:r w:rsidR="00C801B2">
        <w:rPr>
          <w:lang w:val="cs-CZ"/>
        </w:rPr>
        <w:t>vci značně liší a pohybuje se v </w:t>
      </w:r>
      <w:r w:rsidRPr="007D7AD4">
        <w:rPr>
          <w:lang w:val="cs-CZ"/>
        </w:rPr>
        <w:t>rozmezí 40-90 hodin.</w:t>
      </w:r>
    </w:p>
    <w:p w:rsidR="00F336D7" w:rsidRPr="007D7AD4" w:rsidRDefault="00F336D7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AE5E0C" w:rsidRPr="007D7AD4" w:rsidRDefault="00F336D7" w:rsidP="00D27A17">
      <w:pPr>
        <w:pStyle w:val="z-Konecformule"/>
        <w:jc w:val="both"/>
        <w:rPr>
          <w:b/>
          <w:sz w:val="22"/>
          <w:lang w:val="cs-CZ" w:eastAsia="ja-JP"/>
        </w:rPr>
      </w:pPr>
      <w:r>
        <w:rPr>
          <w:b/>
          <w:sz w:val="22"/>
          <w:lang w:val="cs-CZ" w:eastAsia="ja-JP"/>
        </w:rPr>
        <w:t>Balení</w:t>
      </w:r>
      <w:r w:rsidR="00AE5E0C" w:rsidRPr="007D7AD4">
        <w:rPr>
          <w:b/>
          <w:sz w:val="22"/>
          <w:lang w:val="cs-CZ" w:eastAsia="ja-JP"/>
        </w:rPr>
        <w:t xml:space="preserve"> (</w:t>
      </w:r>
      <w:r>
        <w:rPr>
          <w:b/>
          <w:sz w:val="22"/>
          <w:lang w:val="cs-CZ" w:eastAsia="ja-JP"/>
        </w:rPr>
        <w:t>velikost</w:t>
      </w:r>
      <w:r w:rsidR="00AE5E0C" w:rsidRPr="007D7AD4">
        <w:rPr>
          <w:b/>
          <w:sz w:val="22"/>
          <w:lang w:val="cs-CZ" w:eastAsia="ja-JP"/>
        </w:rPr>
        <w:t>)</w:t>
      </w:r>
    </w:p>
    <w:p w:rsidR="00E2105B" w:rsidRDefault="00E2105B" w:rsidP="00E2105B">
      <w:pPr>
        <w:autoSpaceDE w:val="0"/>
        <w:autoSpaceDN w:val="0"/>
        <w:adjustRightInd w:val="0"/>
        <w:rPr>
          <w:szCs w:val="22"/>
          <w:lang w:val="cs-CZ"/>
        </w:rPr>
      </w:pPr>
      <w:r w:rsidRPr="004C7465">
        <w:rPr>
          <w:szCs w:val="22"/>
          <w:lang w:val="cs-CZ"/>
        </w:rPr>
        <w:t>100 tablet v </w:t>
      </w:r>
      <w:r>
        <w:rPr>
          <w:szCs w:val="22"/>
          <w:lang w:val="cs-CZ"/>
        </w:rPr>
        <w:t>papír</w:t>
      </w:r>
      <w:r w:rsidRPr="004C7465">
        <w:rPr>
          <w:szCs w:val="22"/>
          <w:lang w:val="cs-CZ"/>
        </w:rPr>
        <w:t>ové krabi</w:t>
      </w:r>
      <w:r>
        <w:rPr>
          <w:szCs w:val="22"/>
          <w:lang w:val="cs-CZ"/>
        </w:rPr>
        <w:t>čce</w:t>
      </w:r>
      <w:r w:rsidRPr="004C7465">
        <w:rPr>
          <w:szCs w:val="22"/>
          <w:lang w:val="cs-CZ"/>
        </w:rPr>
        <w:t xml:space="preserve">, která obsahuje 10 </w:t>
      </w:r>
      <w:r>
        <w:rPr>
          <w:szCs w:val="22"/>
          <w:lang w:val="cs-CZ"/>
        </w:rPr>
        <w:t>Al</w:t>
      </w:r>
      <w:r w:rsidRPr="004C7465">
        <w:rPr>
          <w:szCs w:val="22"/>
          <w:lang w:val="cs-CZ"/>
        </w:rPr>
        <w:t xml:space="preserve">/PVC </w:t>
      </w:r>
      <w:r w:rsidR="006C04F6">
        <w:rPr>
          <w:szCs w:val="22"/>
          <w:lang w:val="cs-CZ"/>
        </w:rPr>
        <w:t>blistrů</w:t>
      </w:r>
      <w:r w:rsidR="006C04F6" w:rsidRPr="004C7465">
        <w:rPr>
          <w:szCs w:val="22"/>
          <w:lang w:val="cs-CZ"/>
        </w:rPr>
        <w:t xml:space="preserve"> </w:t>
      </w:r>
      <w:r w:rsidRPr="004C7465">
        <w:rPr>
          <w:szCs w:val="22"/>
          <w:lang w:val="cs-CZ"/>
        </w:rPr>
        <w:t xml:space="preserve">a každý </w:t>
      </w:r>
      <w:r w:rsidR="006C04F6">
        <w:rPr>
          <w:szCs w:val="22"/>
          <w:lang w:val="cs-CZ"/>
        </w:rPr>
        <w:t>blistr</w:t>
      </w:r>
      <w:r w:rsidR="006C04F6" w:rsidRPr="004C7465">
        <w:rPr>
          <w:szCs w:val="22"/>
          <w:lang w:val="cs-CZ"/>
        </w:rPr>
        <w:t xml:space="preserve"> </w:t>
      </w:r>
      <w:r w:rsidRPr="004C7465">
        <w:rPr>
          <w:szCs w:val="22"/>
          <w:lang w:val="cs-CZ"/>
        </w:rPr>
        <w:t>obsahuje 10 tablet.</w:t>
      </w:r>
    </w:p>
    <w:p w:rsidR="00F46F2A" w:rsidRPr="004C7465" w:rsidRDefault="00F46F2A" w:rsidP="00E2105B">
      <w:pPr>
        <w:autoSpaceDE w:val="0"/>
        <w:autoSpaceDN w:val="0"/>
        <w:adjustRightInd w:val="0"/>
        <w:rPr>
          <w:szCs w:val="22"/>
          <w:lang w:val="cs-CZ"/>
        </w:rPr>
      </w:pPr>
      <w:r w:rsidRPr="00F46F2A">
        <w:rPr>
          <w:szCs w:val="22"/>
          <w:lang w:val="cs-CZ"/>
        </w:rPr>
        <w:t>100 tablet v papírové krabičce, která obsahuje 10 Al/PVC/PE/PVDC blistrů a každý blistr obsahuje 10 tablet.</w:t>
      </w:r>
    </w:p>
    <w:p w:rsidR="00E2105B" w:rsidRDefault="00E2105B" w:rsidP="00E2105B">
      <w:pPr>
        <w:autoSpaceDE w:val="0"/>
        <w:autoSpaceDN w:val="0"/>
        <w:adjustRightInd w:val="0"/>
        <w:rPr>
          <w:szCs w:val="22"/>
          <w:lang w:val="cs-CZ"/>
        </w:rPr>
      </w:pPr>
      <w:r>
        <w:rPr>
          <w:szCs w:val="22"/>
          <w:lang w:val="cs-CZ"/>
        </w:rPr>
        <w:t>5</w:t>
      </w:r>
      <w:r w:rsidRPr="004C7465">
        <w:rPr>
          <w:szCs w:val="22"/>
          <w:lang w:val="cs-CZ"/>
        </w:rPr>
        <w:t>00 tablet v </w:t>
      </w:r>
      <w:r>
        <w:rPr>
          <w:szCs w:val="22"/>
          <w:lang w:val="cs-CZ"/>
        </w:rPr>
        <w:t>papír</w:t>
      </w:r>
      <w:r w:rsidRPr="004C7465">
        <w:rPr>
          <w:szCs w:val="22"/>
          <w:lang w:val="cs-CZ"/>
        </w:rPr>
        <w:t>ové krabi</w:t>
      </w:r>
      <w:r>
        <w:rPr>
          <w:szCs w:val="22"/>
          <w:lang w:val="cs-CZ"/>
        </w:rPr>
        <w:t>čce</w:t>
      </w:r>
      <w:r w:rsidRPr="004C7465">
        <w:rPr>
          <w:szCs w:val="22"/>
          <w:lang w:val="cs-CZ"/>
        </w:rPr>
        <w:t>, která</w:t>
      </w:r>
      <w:r>
        <w:rPr>
          <w:szCs w:val="22"/>
          <w:lang w:val="cs-CZ"/>
        </w:rPr>
        <w:t xml:space="preserve"> obsahuje 5</w:t>
      </w:r>
      <w:r w:rsidRPr="004C7465">
        <w:rPr>
          <w:szCs w:val="22"/>
          <w:lang w:val="cs-CZ"/>
        </w:rPr>
        <w:t xml:space="preserve">0 </w:t>
      </w:r>
      <w:r>
        <w:rPr>
          <w:szCs w:val="22"/>
          <w:lang w:val="cs-CZ"/>
        </w:rPr>
        <w:t>Al</w:t>
      </w:r>
      <w:r w:rsidRPr="004C7465">
        <w:rPr>
          <w:szCs w:val="22"/>
          <w:lang w:val="cs-CZ"/>
        </w:rPr>
        <w:t xml:space="preserve">/PVC </w:t>
      </w:r>
      <w:r w:rsidR="006C04F6">
        <w:rPr>
          <w:szCs w:val="22"/>
          <w:lang w:val="cs-CZ"/>
        </w:rPr>
        <w:t>blistrů</w:t>
      </w:r>
      <w:r w:rsidR="006C04F6" w:rsidRPr="004C7465">
        <w:rPr>
          <w:szCs w:val="22"/>
          <w:lang w:val="cs-CZ"/>
        </w:rPr>
        <w:t xml:space="preserve"> </w:t>
      </w:r>
      <w:r w:rsidRPr="004C7465">
        <w:rPr>
          <w:szCs w:val="22"/>
          <w:lang w:val="cs-CZ"/>
        </w:rPr>
        <w:t xml:space="preserve">a každý </w:t>
      </w:r>
      <w:r w:rsidR="006C04F6">
        <w:rPr>
          <w:szCs w:val="22"/>
          <w:lang w:val="cs-CZ"/>
        </w:rPr>
        <w:t>blistr</w:t>
      </w:r>
      <w:r w:rsidR="006C04F6" w:rsidRPr="004C7465">
        <w:rPr>
          <w:szCs w:val="22"/>
          <w:lang w:val="cs-CZ"/>
        </w:rPr>
        <w:t xml:space="preserve"> </w:t>
      </w:r>
      <w:r w:rsidRPr="004C7465">
        <w:rPr>
          <w:szCs w:val="22"/>
          <w:lang w:val="cs-CZ"/>
        </w:rPr>
        <w:t>obsahuje 10 tablet.</w:t>
      </w:r>
    </w:p>
    <w:p w:rsidR="00F46F2A" w:rsidRPr="004C7465" w:rsidRDefault="00F46F2A" w:rsidP="00E2105B">
      <w:pPr>
        <w:autoSpaceDE w:val="0"/>
        <w:autoSpaceDN w:val="0"/>
        <w:adjustRightInd w:val="0"/>
        <w:rPr>
          <w:szCs w:val="22"/>
          <w:lang w:val="cs-CZ"/>
        </w:rPr>
      </w:pPr>
      <w:r w:rsidRPr="00F46F2A">
        <w:rPr>
          <w:szCs w:val="22"/>
          <w:lang w:val="cs-CZ"/>
        </w:rPr>
        <w:t>500 tablet v papírové krabičce, která obsahuje 50 Al/PVC/PE/PVDC blistrů a každý blistr obsahuje 10 tablet.</w:t>
      </w:r>
    </w:p>
    <w:p w:rsidR="00AE5E0C" w:rsidRDefault="002F08D0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>Na trhu nemusí být všechny velikosti balení</w:t>
      </w:r>
      <w:r w:rsidR="00AE5E0C" w:rsidRPr="007D7AD4">
        <w:rPr>
          <w:lang w:val="cs-CZ"/>
        </w:rPr>
        <w:t>.</w:t>
      </w:r>
    </w:p>
    <w:p w:rsidR="00F336D7" w:rsidRPr="007D7AD4" w:rsidRDefault="00F336D7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AE5E0C" w:rsidRPr="007D7AD4" w:rsidRDefault="002F08D0" w:rsidP="00D27A1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7AD4">
        <w:rPr>
          <w:lang w:val="cs-CZ"/>
        </w:rPr>
        <w:t>Pokud chcete získat informace o tomto veterinárním léčivém přípravku, kontaktujte prosím příslušného místního zástupce držitele rozhodnutí o registraci</w:t>
      </w:r>
      <w:r w:rsidR="00AE5E0C" w:rsidRPr="007D7AD4">
        <w:rPr>
          <w:lang w:val="cs-CZ"/>
        </w:rPr>
        <w:t>.</w:t>
      </w:r>
    </w:p>
    <w:p w:rsidR="00AE5E0C" w:rsidRDefault="00AE5E0C" w:rsidP="00D27A17">
      <w:pPr>
        <w:tabs>
          <w:tab w:val="clear" w:pos="567"/>
        </w:tabs>
        <w:spacing w:line="240" w:lineRule="auto"/>
        <w:ind w:right="-2"/>
        <w:jc w:val="both"/>
        <w:rPr>
          <w:lang w:val="cs-CZ"/>
        </w:rPr>
      </w:pPr>
    </w:p>
    <w:p w:rsidR="00CB23D2" w:rsidRPr="007D7AD4" w:rsidRDefault="00CB23D2" w:rsidP="00D27A17">
      <w:pPr>
        <w:tabs>
          <w:tab w:val="clear" w:pos="567"/>
        </w:tabs>
        <w:spacing w:line="240" w:lineRule="auto"/>
        <w:ind w:right="-2"/>
        <w:jc w:val="both"/>
        <w:rPr>
          <w:lang w:val="cs-CZ"/>
        </w:rPr>
      </w:pPr>
      <w:r w:rsidRPr="00460D65">
        <w:rPr>
          <w:lang w:val="cs-CZ"/>
        </w:rPr>
        <w:t>Pouze pro zvířata.</w:t>
      </w:r>
    </w:p>
    <w:p w:rsidR="00AE5E0C" w:rsidRDefault="00C915CE" w:rsidP="00D27A17">
      <w:pPr>
        <w:tabs>
          <w:tab w:val="clear" w:pos="567"/>
        </w:tabs>
        <w:spacing w:line="240" w:lineRule="auto"/>
        <w:ind w:right="113"/>
        <w:jc w:val="both"/>
        <w:rPr>
          <w:lang w:val="cs-CZ"/>
        </w:rPr>
      </w:pPr>
      <w:r w:rsidRPr="00460D65">
        <w:rPr>
          <w:lang w:val="cs-CZ"/>
        </w:rPr>
        <w:t>Veterinární léčivý přípravek je vydáván pouze na předpis.</w:t>
      </w:r>
    </w:p>
    <w:p w:rsidR="009F2766" w:rsidRPr="006C5D90" w:rsidRDefault="009F2766" w:rsidP="009F2766">
      <w:pPr>
        <w:spacing w:line="240" w:lineRule="auto"/>
        <w:ind w:right="113"/>
        <w:jc w:val="both"/>
      </w:pPr>
      <w:proofErr w:type="spellStart"/>
      <w:r w:rsidRPr="006C5D90">
        <w:t>Přípravek</w:t>
      </w:r>
      <w:proofErr w:type="spellEnd"/>
      <w:r w:rsidRPr="006C5D90">
        <w:t xml:space="preserve"> </w:t>
      </w:r>
      <w:proofErr w:type="spellStart"/>
      <w:r w:rsidRPr="006C5D90">
        <w:t>obsahuje</w:t>
      </w:r>
      <w:proofErr w:type="spellEnd"/>
      <w:r w:rsidRPr="006C5D90">
        <w:t xml:space="preserve"> </w:t>
      </w:r>
      <w:proofErr w:type="spellStart"/>
      <w:r w:rsidRPr="006C5D90">
        <w:t>návykové</w:t>
      </w:r>
      <w:proofErr w:type="spellEnd"/>
      <w:r w:rsidRPr="006C5D90">
        <w:t xml:space="preserve"> </w:t>
      </w:r>
      <w:proofErr w:type="spellStart"/>
      <w:r w:rsidRPr="006C5D90">
        <w:t>látky</w:t>
      </w:r>
      <w:proofErr w:type="spellEnd"/>
      <w:r w:rsidRPr="006C5D90">
        <w:t xml:space="preserve">. </w:t>
      </w:r>
      <w:r w:rsidR="00786275" w:rsidRPr="008C5E35">
        <w:rPr>
          <w:noProof/>
          <w:lang w:val="cs-CZ" w:eastAsia="cs-CZ"/>
        </w:rPr>
        <w:drawing>
          <wp:inline distT="0" distB="0" distL="0" distR="0">
            <wp:extent cx="495300" cy="295275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66" w:rsidRPr="007D7AD4" w:rsidRDefault="009F2766" w:rsidP="00D27A17">
      <w:pPr>
        <w:tabs>
          <w:tab w:val="clear" w:pos="567"/>
        </w:tabs>
        <w:spacing w:line="240" w:lineRule="auto"/>
        <w:ind w:right="113"/>
        <w:jc w:val="both"/>
        <w:rPr>
          <w:lang w:val="cs-CZ"/>
        </w:rPr>
      </w:pPr>
    </w:p>
    <w:sectPr w:rsidR="009F2766" w:rsidRPr="007D7AD4">
      <w:footerReference w:type="default" r:id="rId10"/>
      <w:headerReference w:type="first" r:id="rId11"/>
      <w:footerReference w:type="first" r:id="rId12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A08" w:rsidRDefault="00111A08">
      <w:r>
        <w:separator/>
      </w:r>
    </w:p>
  </w:endnote>
  <w:endnote w:type="continuationSeparator" w:id="0">
    <w:p w:rsidR="00111A08" w:rsidRDefault="0011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E1" w:rsidRDefault="004845E1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 w:eastAsia="el-GR"/>
      </w:rPr>
    </w:pPr>
  </w:p>
  <w:p w:rsidR="004845E1" w:rsidRDefault="004845E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 w:eastAsia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67752B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E1" w:rsidRDefault="004845E1">
    <w:pPr>
      <w:pStyle w:val="Zpat"/>
      <w:tabs>
        <w:tab w:val="clear" w:pos="8930"/>
        <w:tab w:val="right" w:pos="8931"/>
      </w:tabs>
    </w:pPr>
  </w:p>
  <w:p w:rsidR="004845E1" w:rsidRDefault="004845E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 w:eastAsia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6775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A08" w:rsidRDefault="00111A08">
      <w:r>
        <w:separator/>
      </w:r>
    </w:p>
  </w:footnote>
  <w:footnote w:type="continuationSeparator" w:id="0">
    <w:p w:rsidR="00111A08" w:rsidRDefault="0011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F37" w:rsidRDefault="003D2F37" w:rsidP="003D2F37">
    <w:pPr>
      <w:pStyle w:val="Zhlav"/>
      <w:rPr>
        <w:lang w:val="cs-CZ"/>
      </w:rPr>
    </w:pPr>
  </w:p>
  <w:p w:rsidR="004845E1" w:rsidRPr="00F923E6" w:rsidRDefault="001C212C">
    <w:pPr>
      <w:pStyle w:val="Zhlav"/>
      <w:rPr>
        <w:rFonts w:ascii="Times New Roman" w:hAnsi="Times New Roman"/>
        <w:lang w:val="cs-CZ"/>
      </w:rPr>
    </w:pPr>
    <w:r>
      <w:rPr>
        <w:rFonts w:ascii="Times New Roman" w:hAnsi="Times New Roman"/>
        <w:lang w:val="cs-CZ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2C4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A3914"/>
    <w:multiLevelType w:val="hybridMultilevel"/>
    <w:tmpl w:val="F1C6E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114039"/>
    <w:multiLevelType w:val="hybridMultilevel"/>
    <w:tmpl w:val="F4A27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B199D"/>
    <w:multiLevelType w:val="hybridMultilevel"/>
    <w:tmpl w:val="09427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94A6C"/>
    <w:multiLevelType w:val="hybridMultilevel"/>
    <w:tmpl w:val="6D42122C"/>
    <w:lvl w:ilvl="0" w:tplc="27AC959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6F4C5F"/>
    <w:multiLevelType w:val="hybridMultilevel"/>
    <w:tmpl w:val="F0742C78"/>
    <w:lvl w:ilvl="0" w:tplc="668E830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4"/>
  </w:num>
  <w:num w:numId="6">
    <w:abstractNumId w:val="26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6"/>
  </w:num>
  <w:num w:numId="12">
    <w:abstractNumId w:val="15"/>
  </w:num>
  <w:num w:numId="13">
    <w:abstractNumId w:val="4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2"/>
  </w:num>
  <w:num w:numId="19">
    <w:abstractNumId w:val="17"/>
  </w:num>
  <w:num w:numId="20">
    <w:abstractNumId w:val="5"/>
  </w:num>
  <w:num w:numId="21">
    <w:abstractNumId w:val="8"/>
  </w:num>
  <w:num w:numId="22">
    <w:abstractNumId w:val="27"/>
  </w:num>
  <w:num w:numId="23">
    <w:abstractNumId w:val="35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6"/>
  </w:num>
  <w:num w:numId="31">
    <w:abstractNumId w:val="39"/>
  </w:num>
  <w:num w:numId="32">
    <w:abstractNumId w:val="21"/>
  </w:num>
  <w:num w:numId="33">
    <w:abstractNumId w:val="28"/>
  </w:num>
  <w:num w:numId="34">
    <w:abstractNumId w:val="24"/>
  </w:num>
  <w:num w:numId="35">
    <w:abstractNumId w:val="3"/>
  </w:num>
  <w:num w:numId="36">
    <w:abstractNumId w:val="37"/>
  </w:num>
  <w:num w:numId="37">
    <w:abstractNumId w:val="38"/>
  </w:num>
  <w:num w:numId="38">
    <w:abstractNumId w:val="0"/>
  </w:num>
  <w:num w:numId="39">
    <w:abstractNumId w:val="25"/>
  </w:num>
  <w:num w:numId="40">
    <w:abstractNumId w:val="1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B447B4"/>
    <w:rsid w:val="00015C45"/>
    <w:rsid w:val="00017E9F"/>
    <w:rsid w:val="000225AA"/>
    <w:rsid w:val="000368F3"/>
    <w:rsid w:val="000410F3"/>
    <w:rsid w:val="00041AFA"/>
    <w:rsid w:val="000664DF"/>
    <w:rsid w:val="000C42D9"/>
    <w:rsid w:val="000E275E"/>
    <w:rsid w:val="000E2E94"/>
    <w:rsid w:val="00106999"/>
    <w:rsid w:val="00111A08"/>
    <w:rsid w:val="0011247C"/>
    <w:rsid w:val="00123653"/>
    <w:rsid w:val="00133CAE"/>
    <w:rsid w:val="001427BC"/>
    <w:rsid w:val="00186B27"/>
    <w:rsid w:val="00187A14"/>
    <w:rsid w:val="001C212C"/>
    <w:rsid w:val="001E5025"/>
    <w:rsid w:val="001F0764"/>
    <w:rsid w:val="001F537A"/>
    <w:rsid w:val="001F7F3F"/>
    <w:rsid w:val="002251C3"/>
    <w:rsid w:val="00227BCA"/>
    <w:rsid w:val="00251C3C"/>
    <w:rsid w:val="00251C65"/>
    <w:rsid w:val="00251E66"/>
    <w:rsid w:val="00252068"/>
    <w:rsid w:val="00257B8D"/>
    <w:rsid w:val="002649B1"/>
    <w:rsid w:val="00270D92"/>
    <w:rsid w:val="00295735"/>
    <w:rsid w:val="002B3F41"/>
    <w:rsid w:val="002D6B2D"/>
    <w:rsid w:val="002F08D0"/>
    <w:rsid w:val="002F23A9"/>
    <w:rsid w:val="002F3BF2"/>
    <w:rsid w:val="00300F6D"/>
    <w:rsid w:val="003169B4"/>
    <w:rsid w:val="0035342F"/>
    <w:rsid w:val="003872A8"/>
    <w:rsid w:val="003920ED"/>
    <w:rsid w:val="003A34E8"/>
    <w:rsid w:val="003D2F37"/>
    <w:rsid w:val="00401FC9"/>
    <w:rsid w:val="00410FFB"/>
    <w:rsid w:val="00426D66"/>
    <w:rsid w:val="00426E7F"/>
    <w:rsid w:val="004377A7"/>
    <w:rsid w:val="00451B6B"/>
    <w:rsid w:val="00455C6D"/>
    <w:rsid w:val="00460D65"/>
    <w:rsid w:val="00461C9A"/>
    <w:rsid w:val="00465E32"/>
    <w:rsid w:val="004845E1"/>
    <w:rsid w:val="004A633E"/>
    <w:rsid w:val="004B62F9"/>
    <w:rsid w:val="004D1BA3"/>
    <w:rsid w:val="004E2BB4"/>
    <w:rsid w:val="004F2671"/>
    <w:rsid w:val="00546FA0"/>
    <w:rsid w:val="00554816"/>
    <w:rsid w:val="005648AD"/>
    <w:rsid w:val="00572BED"/>
    <w:rsid w:val="005B7CD6"/>
    <w:rsid w:val="005D2062"/>
    <w:rsid w:val="005E1E0F"/>
    <w:rsid w:val="005E7EAD"/>
    <w:rsid w:val="005F0BDE"/>
    <w:rsid w:val="005F54EA"/>
    <w:rsid w:val="005F62F4"/>
    <w:rsid w:val="005F79B8"/>
    <w:rsid w:val="00603545"/>
    <w:rsid w:val="00621769"/>
    <w:rsid w:val="006255A0"/>
    <w:rsid w:val="00632E80"/>
    <w:rsid w:val="0064364A"/>
    <w:rsid w:val="006528BA"/>
    <w:rsid w:val="0066017B"/>
    <w:rsid w:val="0066190F"/>
    <w:rsid w:val="00663ED8"/>
    <w:rsid w:val="00672C42"/>
    <w:rsid w:val="00673FEB"/>
    <w:rsid w:val="0067752B"/>
    <w:rsid w:val="00696389"/>
    <w:rsid w:val="006C04F6"/>
    <w:rsid w:val="006C6AD7"/>
    <w:rsid w:val="006D1F71"/>
    <w:rsid w:val="006E6B3F"/>
    <w:rsid w:val="00715392"/>
    <w:rsid w:val="0071678B"/>
    <w:rsid w:val="007242FE"/>
    <w:rsid w:val="00732F82"/>
    <w:rsid w:val="00737177"/>
    <w:rsid w:val="00737514"/>
    <w:rsid w:val="0074259F"/>
    <w:rsid w:val="007425D5"/>
    <w:rsid w:val="00761F1C"/>
    <w:rsid w:val="00786275"/>
    <w:rsid w:val="007A4ADF"/>
    <w:rsid w:val="007B485A"/>
    <w:rsid w:val="007C2E58"/>
    <w:rsid w:val="007D2402"/>
    <w:rsid w:val="007D7AD4"/>
    <w:rsid w:val="007F03F7"/>
    <w:rsid w:val="007F7D76"/>
    <w:rsid w:val="00815860"/>
    <w:rsid w:val="00836AC8"/>
    <w:rsid w:val="0086566D"/>
    <w:rsid w:val="00866119"/>
    <w:rsid w:val="00887B4B"/>
    <w:rsid w:val="0089543E"/>
    <w:rsid w:val="008B2B79"/>
    <w:rsid w:val="008C1BB5"/>
    <w:rsid w:val="008E259D"/>
    <w:rsid w:val="008E6237"/>
    <w:rsid w:val="008F03E8"/>
    <w:rsid w:val="00955DB0"/>
    <w:rsid w:val="00984EC3"/>
    <w:rsid w:val="009C6602"/>
    <w:rsid w:val="009F2766"/>
    <w:rsid w:val="009F7587"/>
    <w:rsid w:val="00A22CD0"/>
    <w:rsid w:val="00A32FF0"/>
    <w:rsid w:val="00A34F53"/>
    <w:rsid w:val="00A35E08"/>
    <w:rsid w:val="00A46526"/>
    <w:rsid w:val="00A82512"/>
    <w:rsid w:val="00A842E2"/>
    <w:rsid w:val="00A87771"/>
    <w:rsid w:val="00AA058E"/>
    <w:rsid w:val="00AA3BDE"/>
    <w:rsid w:val="00AB3FDE"/>
    <w:rsid w:val="00AE5E0C"/>
    <w:rsid w:val="00AF5FD2"/>
    <w:rsid w:val="00B05F23"/>
    <w:rsid w:val="00B15641"/>
    <w:rsid w:val="00B3551D"/>
    <w:rsid w:val="00B3728F"/>
    <w:rsid w:val="00B447B4"/>
    <w:rsid w:val="00B45F0E"/>
    <w:rsid w:val="00B63333"/>
    <w:rsid w:val="00B97FE4"/>
    <w:rsid w:val="00BA075A"/>
    <w:rsid w:val="00BD4C2C"/>
    <w:rsid w:val="00BD6141"/>
    <w:rsid w:val="00BF304D"/>
    <w:rsid w:val="00C30538"/>
    <w:rsid w:val="00C305A6"/>
    <w:rsid w:val="00C33DCA"/>
    <w:rsid w:val="00C40EB4"/>
    <w:rsid w:val="00C4298D"/>
    <w:rsid w:val="00C47E19"/>
    <w:rsid w:val="00C558F5"/>
    <w:rsid w:val="00C5778A"/>
    <w:rsid w:val="00C744A6"/>
    <w:rsid w:val="00C801B2"/>
    <w:rsid w:val="00C915CE"/>
    <w:rsid w:val="00CA359E"/>
    <w:rsid w:val="00CB23D2"/>
    <w:rsid w:val="00CB4355"/>
    <w:rsid w:val="00CE4D60"/>
    <w:rsid w:val="00CE579F"/>
    <w:rsid w:val="00CE7E4E"/>
    <w:rsid w:val="00D14B45"/>
    <w:rsid w:val="00D2338A"/>
    <w:rsid w:val="00D238BC"/>
    <w:rsid w:val="00D26556"/>
    <w:rsid w:val="00D27A17"/>
    <w:rsid w:val="00D36F67"/>
    <w:rsid w:val="00D44E05"/>
    <w:rsid w:val="00D50D0E"/>
    <w:rsid w:val="00D60E9A"/>
    <w:rsid w:val="00D705B0"/>
    <w:rsid w:val="00D752F8"/>
    <w:rsid w:val="00D93DA0"/>
    <w:rsid w:val="00DC0798"/>
    <w:rsid w:val="00DC1B61"/>
    <w:rsid w:val="00DC2324"/>
    <w:rsid w:val="00DD25FF"/>
    <w:rsid w:val="00DE385B"/>
    <w:rsid w:val="00DF10BC"/>
    <w:rsid w:val="00DF3101"/>
    <w:rsid w:val="00DF4AD9"/>
    <w:rsid w:val="00DF4B21"/>
    <w:rsid w:val="00E2105B"/>
    <w:rsid w:val="00E37EB5"/>
    <w:rsid w:val="00E4554F"/>
    <w:rsid w:val="00E50002"/>
    <w:rsid w:val="00E5548A"/>
    <w:rsid w:val="00E6452D"/>
    <w:rsid w:val="00E7343E"/>
    <w:rsid w:val="00E93512"/>
    <w:rsid w:val="00E96BDA"/>
    <w:rsid w:val="00EA122A"/>
    <w:rsid w:val="00EC37A7"/>
    <w:rsid w:val="00ED4AE8"/>
    <w:rsid w:val="00F01357"/>
    <w:rsid w:val="00F041B7"/>
    <w:rsid w:val="00F16EE2"/>
    <w:rsid w:val="00F24BB3"/>
    <w:rsid w:val="00F336D7"/>
    <w:rsid w:val="00F36742"/>
    <w:rsid w:val="00F410A7"/>
    <w:rsid w:val="00F46F2A"/>
    <w:rsid w:val="00F50AD9"/>
    <w:rsid w:val="00F606FE"/>
    <w:rsid w:val="00F70000"/>
    <w:rsid w:val="00F75956"/>
    <w:rsid w:val="00F847F1"/>
    <w:rsid w:val="00F901FF"/>
    <w:rsid w:val="00F923E6"/>
    <w:rsid w:val="00FE0982"/>
    <w:rsid w:val="00FE7229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6D69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link w:val="Nadpis1Char"/>
    <w:qFormat/>
    <w:pPr>
      <w:spacing w:before="240" w:after="120"/>
      <w:ind w:left="357" w:hanging="357"/>
      <w:outlineLvl w:val="0"/>
    </w:pPr>
    <w:rPr>
      <w:b/>
      <w:caps/>
      <w:sz w:val="26"/>
      <w:lang w:val="en-US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Helvetica" w:hAnsi="Helvetica"/>
      <w:b/>
      <w:i/>
      <w:sz w:val="24"/>
      <w:lang w:eastAsia="x-none"/>
    </w:rPr>
  </w:style>
  <w:style w:type="paragraph" w:styleId="Nadpis3">
    <w:name w:val="heading 3"/>
    <w:basedOn w:val="Normln"/>
    <w:next w:val="Normln"/>
    <w:link w:val="Nadpis3Char"/>
    <w:qFormat/>
    <w:pPr>
      <w:keepNext/>
      <w:keepLines/>
      <w:spacing w:before="120" w:after="80"/>
      <w:outlineLvl w:val="2"/>
    </w:pPr>
    <w:rPr>
      <w:b/>
      <w:kern w:val="28"/>
      <w:sz w:val="24"/>
      <w:lang w:val="en-US" w:eastAsia="x-none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clear" w:pos="567"/>
      </w:tabs>
      <w:outlineLvl w:val="3"/>
    </w:pPr>
    <w:rPr>
      <w:b/>
      <w:noProof/>
      <w:lang w:eastAsia="x-none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clear" w:pos="567"/>
      </w:tabs>
      <w:jc w:val="center"/>
      <w:outlineLvl w:val="4"/>
    </w:pPr>
    <w:rPr>
      <w:b/>
      <w:noProof/>
      <w:lang w:eastAsia="x-none"/>
    </w:rPr>
  </w:style>
  <w:style w:type="paragraph" w:styleId="Nadpis6">
    <w:name w:val="heading 6"/>
    <w:basedOn w:val="Normln"/>
    <w:next w:val="Normln"/>
    <w:link w:val="Nadpis6Char"/>
    <w:qFormat/>
    <w:pPr>
      <w:keepNext/>
      <w:tabs>
        <w:tab w:val="left" w:pos="-720"/>
        <w:tab w:val="left" w:pos="4536"/>
      </w:tabs>
      <w:suppressAutoHyphens/>
      <w:outlineLvl w:val="5"/>
    </w:pPr>
    <w:rPr>
      <w:i/>
      <w:lang w:eastAsia="x-none"/>
    </w:rPr>
  </w:style>
  <w:style w:type="paragraph" w:styleId="Nadpis7">
    <w:name w:val="heading 7"/>
    <w:basedOn w:val="Normln"/>
    <w:next w:val="Normln"/>
    <w:link w:val="Nadpis7Char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eastAsia="x-none"/>
    </w:rPr>
  </w:style>
  <w:style w:type="paragraph" w:styleId="Nadpis8">
    <w:name w:val="heading 8"/>
    <w:basedOn w:val="Normln"/>
    <w:next w:val="Normln"/>
    <w:link w:val="Nadpis8Char"/>
    <w:qFormat/>
    <w:pPr>
      <w:keepNext/>
      <w:tabs>
        <w:tab w:val="clear" w:pos="567"/>
      </w:tabs>
      <w:ind w:right="-318"/>
      <w:outlineLvl w:val="7"/>
    </w:pPr>
    <w:rPr>
      <w:b/>
      <w:lang w:eastAsia="x-none"/>
    </w:rPr>
  </w:style>
  <w:style w:type="paragraph" w:styleId="Nadpis9">
    <w:name w:val="heading 9"/>
    <w:basedOn w:val="Normln"/>
    <w:next w:val="Normln"/>
    <w:link w:val="Nadpis9Char"/>
    <w:qFormat/>
    <w:pPr>
      <w:keepNext/>
      <w:tabs>
        <w:tab w:val="clear" w:pos="567"/>
      </w:tabs>
      <w:ind w:left="2268" w:right="1711" w:hanging="567"/>
      <w:outlineLvl w:val="8"/>
    </w:pPr>
    <w:rPr>
      <w:b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83E0E"/>
    <w:rPr>
      <w:b/>
      <w:caps/>
      <w:sz w:val="26"/>
      <w:lang w:val="en-US"/>
    </w:rPr>
  </w:style>
  <w:style w:type="character" w:customStyle="1" w:styleId="Nadpis2Char">
    <w:name w:val="Nadpis 2 Char"/>
    <w:link w:val="Nadpis2"/>
    <w:rsid w:val="00B83E0E"/>
    <w:rPr>
      <w:rFonts w:ascii="Helvetica" w:hAnsi="Helvetica"/>
      <w:b/>
      <w:i/>
      <w:sz w:val="24"/>
      <w:lang w:val="en-GB"/>
    </w:rPr>
  </w:style>
  <w:style w:type="character" w:customStyle="1" w:styleId="Nadpis3Char">
    <w:name w:val="Nadpis 3 Char"/>
    <w:link w:val="Nadpis3"/>
    <w:rsid w:val="00B83E0E"/>
    <w:rPr>
      <w:b/>
      <w:kern w:val="28"/>
      <w:sz w:val="24"/>
      <w:lang w:val="en-US"/>
    </w:rPr>
  </w:style>
  <w:style w:type="character" w:customStyle="1" w:styleId="Nadpis4Char">
    <w:name w:val="Nadpis 4 Char"/>
    <w:link w:val="Nadpis4"/>
    <w:rsid w:val="00B83E0E"/>
    <w:rPr>
      <w:b/>
      <w:noProof/>
      <w:sz w:val="22"/>
      <w:lang w:val="en-GB"/>
    </w:rPr>
  </w:style>
  <w:style w:type="character" w:customStyle="1" w:styleId="Nadpis5Char">
    <w:name w:val="Nadpis 5 Char"/>
    <w:link w:val="Nadpis5"/>
    <w:rsid w:val="00B83E0E"/>
    <w:rPr>
      <w:b/>
      <w:noProof/>
      <w:sz w:val="22"/>
      <w:lang w:val="en-GB"/>
    </w:rPr>
  </w:style>
  <w:style w:type="character" w:customStyle="1" w:styleId="Nadpis6Char">
    <w:name w:val="Nadpis 6 Char"/>
    <w:link w:val="Nadpis6"/>
    <w:rsid w:val="00B83E0E"/>
    <w:rPr>
      <w:i/>
      <w:sz w:val="22"/>
      <w:lang w:val="en-GB"/>
    </w:rPr>
  </w:style>
  <w:style w:type="character" w:customStyle="1" w:styleId="Nadpis7Char">
    <w:name w:val="Nadpis 7 Char"/>
    <w:link w:val="Nadpis7"/>
    <w:rsid w:val="00B83E0E"/>
    <w:rPr>
      <w:i/>
      <w:sz w:val="22"/>
      <w:lang w:val="en-GB"/>
    </w:rPr>
  </w:style>
  <w:style w:type="character" w:customStyle="1" w:styleId="Nadpis8Char">
    <w:name w:val="Nadpis 8 Char"/>
    <w:link w:val="Nadpis8"/>
    <w:rsid w:val="00B83E0E"/>
    <w:rPr>
      <w:b/>
      <w:sz w:val="22"/>
      <w:lang w:val="en-GB"/>
    </w:rPr>
  </w:style>
  <w:style w:type="character" w:customStyle="1" w:styleId="Nadpis9Char">
    <w:name w:val="Nadpis 9 Char"/>
    <w:link w:val="Nadpis9"/>
    <w:rsid w:val="00B83E0E"/>
    <w:rPr>
      <w:b/>
      <w:sz w:val="22"/>
      <w:lang w:val="en-GB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  <w:lang w:eastAsia="x-none"/>
    </w:rPr>
  </w:style>
  <w:style w:type="character" w:customStyle="1" w:styleId="ZhlavChar">
    <w:name w:val="Záhlaví Char"/>
    <w:link w:val="Zhlav"/>
    <w:rsid w:val="00B83E0E"/>
    <w:rPr>
      <w:rFonts w:ascii="Helvetica" w:hAnsi="Helvetica"/>
      <w:lang w:val="en-GB"/>
    </w:rPr>
  </w:style>
  <w:style w:type="paragraph" w:styleId="Zpat">
    <w:name w:val="footer"/>
    <w:basedOn w:val="Normln"/>
    <w:link w:val="ZpatChar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eastAsia="x-none"/>
    </w:rPr>
  </w:style>
  <w:style w:type="character" w:customStyle="1" w:styleId="ZpatChar">
    <w:name w:val="Zápatí Char"/>
    <w:link w:val="Zpat"/>
    <w:rsid w:val="00B83E0E"/>
    <w:rPr>
      <w:rFonts w:ascii="Helvetica" w:hAnsi="Helvetica"/>
      <w:sz w:val="16"/>
      <w:lang w:val="en-GB"/>
    </w:rPr>
  </w:style>
  <w:style w:type="paragraph" w:styleId="Obsah9">
    <w:name w:val="toc 9"/>
    <w:basedOn w:val="Normln"/>
    <w:next w:val="Normln"/>
    <w:pPr>
      <w:tabs>
        <w:tab w:val="clear" w:pos="567"/>
      </w:tabs>
      <w:ind w:left="1760"/>
    </w:pPr>
  </w:style>
  <w:style w:type="character" w:styleId="Odkaznavysvtlivky">
    <w:name w:val="endnote reference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paragraph" w:styleId="Textpoznpodarou">
    <w:name w:val="footnote text"/>
    <w:basedOn w:val="Normln"/>
    <w:link w:val="TextpoznpodarouChar"/>
    <w:pPr>
      <w:tabs>
        <w:tab w:val="clear" w:pos="567"/>
      </w:tabs>
      <w:spacing w:line="240" w:lineRule="auto"/>
      <w:jc w:val="both"/>
    </w:pPr>
    <w:rPr>
      <w:sz w:val="20"/>
      <w:lang w:eastAsia="x-none"/>
    </w:rPr>
  </w:style>
  <w:style w:type="character" w:customStyle="1" w:styleId="TextpoznpodarouChar">
    <w:name w:val="Text pozn. pod čarou Char"/>
    <w:link w:val="Textpoznpodarou"/>
    <w:rsid w:val="00B83E0E"/>
    <w:rPr>
      <w:lang w:val="en-GB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  <w:rPr>
      <w:lang w:eastAsia="x-none"/>
    </w:rPr>
  </w:style>
  <w:style w:type="character" w:customStyle="1" w:styleId="ZkladntextChar">
    <w:name w:val="Základní text Char"/>
    <w:link w:val="Zkladntext"/>
    <w:rsid w:val="00B83E0E"/>
    <w:rPr>
      <w:sz w:val="22"/>
      <w:lang w:val="en-GB"/>
    </w:r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pPr>
      <w:spacing w:line="240" w:lineRule="auto"/>
      <w:ind w:left="567" w:hanging="567"/>
    </w:pPr>
    <w:rPr>
      <w:b/>
      <w:lang w:eastAsia="x-none"/>
    </w:rPr>
  </w:style>
  <w:style w:type="paragraph" w:styleId="Zkladntext3">
    <w:name w:val="Body Text 3"/>
    <w:basedOn w:val="Normln"/>
    <w:link w:val="Zkladntext3Char"/>
    <w:pPr>
      <w:ind w:right="113"/>
      <w:jc w:val="both"/>
    </w:pPr>
    <w:rPr>
      <w:b/>
      <w:lang w:eastAsia="x-none"/>
    </w:rPr>
  </w:style>
  <w:style w:type="character" w:customStyle="1" w:styleId="Zkladntext3Char">
    <w:name w:val="Základní text 3 Char"/>
    <w:link w:val="Zkladntext3"/>
    <w:rsid w:val="00B83E0E"/>
    <w:rPr>
      <w:b/>
      <w:sz w:val="22"/>
      <w:lang w:val="en-GB"/>
    </w:rPr>
  </w:style>
  <w:style w:type="paragraph" w:styleId="Textvysvtlivek">
    <w:name w:val="endnote text"/>
    <w:basedOn w:val="Normln"/>
    <w:link w:val="TextvysvtlivekChar"/>
    <w:pPr>
      <w:spacing w:line="240" w:lineRule="auto"/>
    </w:pPr>
    <w:rPr>
      <w:lang w:eastAsia="x-none"/>
    </w:rPr>
  </w:style>
  <w:style w:type="character" w:customStyle="1" w:styleId="TextvysvtlivekChar">
    <w:name w:val="Text vysvětlivek Char"/>
    <w:link w:val="Textvysvtlivek"/>
    <w:rsid w:val="00B83E0E"/>
    <w:rPr>
      <w:sz w:val="22"/>
      <w:lang w:val="en-GB"/>
    </w:rPr>
  </w:style>
  <w:style w:type="character" w:styleId="Odkaznakoment">
    <w:name w:val="annotation reference"/>
    <w:rPr>
      <w:sz w:val="16"/>
    </w:rPr>
  </w:style>
  <w:style w:type="paragraph" w:styleId="Zkladntextodsazen2">
    <w:name w:val="Body Text Indent 2"/>
    <w:basedOn w:val="Normln"/>
    <w:link w:val="Zkladntextodsazen2Char"/>
    <w:pPr>
      <w:ind w:left="567" w:hanging="567"/>
      <w:jc w:val="both"/>
    </w:pPr>
    <w:rPr>
      <w:b/>
      <w:lang w:eastAsia="x-none"/>
    </w:rPr>
  </w:style>
  <w:style w:type="character" w:customStyle="1" w:styleId="Zkladntextodsazen2Char">
    <w:name w:val="Základní text odsazený 2 Char"/>
    <w:link w:val="Zkladntextodsazen2"/>
    <w:rsid w:val="00B83E0E"/>
    <w:rPr>
      <w:b/>
      <w:sz w:val="22"/>
      <w:lang w:val="en-GB"/>
    </w:rPr>
  </w:style>
  <w:style w:type="paragraph" w:styleId="Textkomente">
    <w:name w:val="annotation text"/>
    <w:basedOn w:val="Normln"/>
    <w:link w:val="TextkomenteChar"/>
    <w:rPr>
      <w:sz w:val="20"/>
      <w:lang w:eastAsia="x-none"/>
    </w:rPr>
  </w:style>
  <w:style w:type="character" w:customStyle="1" w:styleId="TextkomenteChar">
    <w:name w:val="Text komentáře Char"/>
    <w:link w:val="Textkomente"/>
    <w:rsid w:val="00B83E0E"/>
    <w:rPr>
      <w:lang w:val="en-GB"/>
    </w:rPr>
  </w:style>
  <w:style w:type="paragraph" w:styleId="Zkladntextodsazen3">
    <w:name w:val="Body Text Indent 3"/>
    <w:basedOn w:val="Normln"/>
    <w:link w:val="Zkladntextodsazen3Char"/>
    <w:pPr>
      <w:spacing w:line="240" w:lineRule="auto"/>
      <w:ind w:left="567" w:hanging="567"/>
    </w:pPr>
    <w:rPr>
      <w:lang w:eastAsia="x-none"/>
    </w:rPr>
  </w:style>
  <w:style w:type="character" w:customStyle="1" w:styleId="Zkladntextodsazen3Char">
    <w:name w:val="Základní text odsazený 3 Char"/>
    <w:link w:val="Zkladntextodsazen3"/>
    <w:rsid w:val="00B83E0E"/>
    <w:rPr>
      <w:sz w:val="22"/>
      <w:lang w:val="en-GB"/>
    </w:rPr>
  </w:style>
  <w:style w:type="character" w:customStyle="1" w:styleId="Zkladntext2Char">
    <w:name w:val="Základní text 2 Char"/>
    <w:link w:val="Zkladntext2"/>
    <w:rsid w:val="00B83E0E"/>
    <w:rPr>
      <w:b/>
      <w:sz w:val="22"/>
      <w:lang w:val="en-GB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  <w:lang w:eastAsia="x-none"/>
    </w:rPr>
  </w:style>
  <w:style w:type="character" w:customStyle="1" w:styleId="ZkladntextodsazenChar">
    <w:name w:val="Základní text odsazený Char"/>
    <w:link w:val="Zkladntextodsazen"/>
    <w:rsid w:val="00B83E0E"/>
    <w:rPr>
      <w:b/>
      <w:sz w:val="22"/>
      <w:lang w:val="en-GB"/>
    </w:rPr>
  </w:style>
  <w:style w:type="paragraph" w:styleId="Textbubliny">
    <w:name w:val="Balloon Text"/>
    <w:basedOn w:val="Normln"/>
    <w:link w:val="TextbublinyChar"/>
    <w:semiHidden/>
    <w:rsid w:val="00B447B4"/>
    <w:rPr>
      <w:rFonts w:ascii="Lucida Grande" w:hAnsi="Lucida Grande"/>
      <w:sz w:val="18"/>
      <w:szCs w:val="18"/>
      <w:lang w:eastAsia="x-none"/>
    </w:rPr>
  </w:style>
  <w:style w:type="character" w:customStyle="1" w:styleId="TextbublinyChar">
    <w:name w:val="Text bubliny Char"/>
    <w:link w:val="Textbubliny"/>
    <w:semiHidden/>
    <w:rsid w:val="00B83E0E"/>
    <w:rPr>
      <w:rFonts w:ascii="Lucida Grande" w:hAnsi="Lucida Grande"/>
      <w:sz w:val="18"/>
      <w:szCs w:val="18"/>
      <w:lang w:val="en-GB"/>
    </w:rPr>
  </w:style>
  <w:style w:type="paragraph" w:styleId="z-Zatekformule">
    <w:name w:val="HTML Top of Form"/>
    <w:basedOn w:val="Normln"/>
    <w:link w:val="z-ZatekformuleChar"/>
    <w:rsid w:val="00F95347"/>
    <w:pP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</w:pPr>
    <w:rPr>
      <w:sz w:val="24"/>
      <w:lang w:val="en-US" w:eastAsia="x-none"/>
    </w:rPr>
  </w:style>
  <w:style w:type="character" w:customStyle="1" w:styleId="z-ZatekformuleChar">
    <w:name w:val="z-Začátek formuláře Char"/>
    <w:link w:val="z-Zatekformule"/>
    <w:rsid w:val="00B83E0E"/>
    <w:rPr>
      <w:sz w:val="24"/>
      <w:lang w:val="en-US"/>
    </w:rPr>
  </w:style>
  <w:style w:type="paragraph" w:styleId="z-Konecformule">
    <w:name w:val="HTML Bottom of Form"/>
    <w:basedOn w:val="z-Zatekformule"/>
    <w:link w:val="z-KonecformuleChar"/>
    <w:hidden/>
    <w:rsid w:val="00B83E0E"/>
  </w:style>
  <w:style w:type="character" w:customStyle="1" w:styleId="z-KonecformuleChar">
    <w:name w:val="z-Konec formuláře Char"/>
    <w:link w:val="z-Konecformule"/>
    <w:rsid w:val="00B83E0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2309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2023-01-03T09:53:00Z</dcterms:created>
  <dcterms:modified xsi:type="dcterms:W3CDTF">2023-02-01T09:57:00Z</dcterms:modified>
  <cp:category/>
</cp:coreProperties>
</file>