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62E7" w14:textId="77777777" w:rsidR="00EF28A4" w:rsidRPr="009847D8" w:rsidRDefault="00EF28A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776F463" w14:textId="77777777" w:rsidR="007330D0" w:rsidRPr="009847D8" w:rsidRDefault="007330D0" w:rsidP="007330D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98A43D8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859930E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F6B54E7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3A5136F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EE76A5A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EE80785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6752080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66CCEA2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73FC158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3E9120E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F6668B2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6CB44B0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F16ED7A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DA13D7C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DC0818F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D3717AC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59421AF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EDD2EAF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654D003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EBCADCC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764597B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FC98C84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2206CB6" w14:textId="0C95D10C" w:rsidR="00C114FF" w:rsidRPr="009847D8" w:rsidRDefault="00787F5C" w:rsidP="00A9226B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b/>
          <w:szCs w:val="22"/>
        </w:rPr>
        <w:t>C</w:t>
      </w:r>
      <w:bookmarkStart w:id="0" w:name="_GoBack"/>
      <w:bookmarkEnd w:id="0"/>
      <w:r w:rsidR="00C114FF" w:rsidRPr="009847D8">
        <w:rPr>
          <w:rFonts w:asciiTheme="majorBidi" w:hAnsiTheme="majorBidi" w:cstheme="majorBidi"/>
          <w:b/>
          <w:szCs w:val="22"/>
        </w:rPr>
        <w:t xml:space="preserve">. </w:t>
      </w:r>
      <w:r w:rsidR="00C97832" w:rsidRPr="009847D8">
        <w:rPr>
          <w:rFonts w:asciiTheme="majorBidi" w:hAnsiTheme="majorBidi" w:cstheme="majorBidi"/>
          <w:b/>
          <w:szCs w:val="22"/>
        </w:rPr>
        <w:t>PŘÍBALOVÁ INFORMACE</w:t>
      </w:r>
    </w:p>
    <w:p w14:paraId="00F743E9" w14:textId="6D0EB6A3" w:rsidR="00C114FF" w:rsidRPr="009847D8" w:rsidRDefault="00C114FF" w:rsidP="00A9226B">
      <w:pPr>
        <w:tabs>
          <w:tab w:val="clear" w:pos="567"/>
        </w:tabs>
        <w:spacing w:line="240" w:lineRule="auto"/>
        <w:jc w:val="center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br w:type="page"/>
      </w:r>
      <w:r w:rsidRPr="009847D8">
        <w:rPr>
          <w:rFonts w:asciiTheme="majorBidi" w:hAnsiTheme="majorBidi" w:cstheme="majorBidi"/>
          <w:b/>
          <w:szCs w:val="22"/>
        </w:rPr>
        <w:lastRenderedPageBreak/>
        <w:t>P</w:t>
      </w:r>
      <w:r w:rsidR="00C97832" w:rsidRPr="009847D8">
        <w:rPr>
          <w:rFonts w:asciiTheme="majorBidi" w:hAnsiTheme="majorBidi" w:cstheme="majorBidi"/>
          <w:b/>
          <w:szCs w:val="22"/>
        </w:rPr>
        <w:t>ŘÍBALOVÁ INFORMACE</w:t>
      </w:r>
      <w:r w:rsidR="003909E0" w:rsidRPr="009847D8">
        <w:rPr>
          <w:rFonts w:asciiTheme="majorBidi" w:hAnsiTheme="majorBidi" w:cstheme="majorBidi"/>
          <w:b/>
          <w:szCs w:val="22"/>
        </w:rPr>
        <w:t>:</w:t>
      </w:r>
    </w:p>
    <w:p w14:paraId="28F4E131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</w:p>
    <w:p w14:paraId="556FDA56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F17E9CD" w14:textId="5414956E" w:rsidR="00C114FF" w:rsidRPr="009847D8" w:rsidRDefault="00311ABD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</w:t>
      </w:r>
      <w:r w:rsidR="00C114FF"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="00C114FF" w:rsidRPr="009847D8">
        <w:rPr>
          <w:rFonts w:asciiTheme="majorBidi" w:hAnsiTheme="majorBidi" w:cstheme="majorBidi"/>
          <w:b/>
          <w:szCs w:val="22"/>
        </w:rPr>
        <w:tab/>
      </w:r>
      <w:r w:rsidR="00C97832" w:rsidRPr="009847D8">
        <w:rPr>
          <w:rFonts w:asciiTheme="majorBidi" w:hAnsiTheme="majorBidi" w:cstheme="majorBidi"/>
          <w:b/>
          <w:szCs w:val="22"/>
        </w:rPr>
        <w:t>Název veterinárního léčivého přípravku</w:t>
      </w:r>
    </w:p>
    <w:p w14:paraId="13712375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66A0C01" w14:textId="75B49886" w:rsidR="00E06684" w:rsidRPr="009847D8" w:rsidRDefault="00847580" w:rsidP="0084758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proofErr w:type="spellStart"/>
      <w:r w:rsidRPr="009847D8">
        <w:rPr>
          <w:rFonts w:asciiTheme="majorBidi" w:hAnsiTheme="majorBidi" w:cstheme="majorBidi"/>
          <w:szCs w:val="22"/>
        </w:rPr>
        <w:t>Fludosol</w:t>
      </w:r>
      <w:proofErr w:type="spellEnd"/>
      <w:r w:rsidRPr="009847D8">
        <w:rPr>
          <w:rFonts w:asciiTheme="majorBidi" w:hAnsiTheme="majorBidi" w:cstheme="majorBidi"/>
          <w:szCs w:val="22"/>
        </w:rPr>
        <w:t xml:space="preserve"> 200 mg/ml </w:t>
      </w:r>
      <w:r w:rsidR="00C97832" w:rsidRPr="009847D8">
        <w:rPr>
          <w:rFonts w:asciiTheme="majorBidi" w:hAnsiTheme="majorBidi" w:cstheme="majorBidi"/>
          <w:szCs w:val="22"/>
        </w:rPr>
        <w:t xml:space="preserve">suspenze pro </w:t>
      </w:r>
      <w:r w:rsidR="006021B0" w:rsidRPr="009847D8">
        <w:rPr>
          <w:rFonts w:asciiTheme="majorBidi" w:hAnsiTheme="majorBidi" w:cstheme="majorBidi"/>
          <w:szCs w:val="22"/>
        </w:rPr>
        <w:t xml:space="preserve">podání </w:t>
      </w:r>
      <w:r w:rsidR="00C97832" w:rsidRPr="009847D8">
        <w:rPr>
          <w:rFonts w:asciiTheme="majorBidi" w:hAnsiTheme="majorBidi" w:cstheme="majorBidi"/>
          <w:szCs w:val="22"/>
        </w:rPr>
        <w:t>v pitné vodě pro prasata a ku</w:t>
      </w:r>
      <w:r w:rsidR="00BC2B5A">
        <w:rPr>
          <w:rFonts w:asciiTheme="majorBidi" w:hAnsiTheme="majorBidi" w:cstheme="majorBidi"/>
          <w:szCs w:val="22"/>
        </w:rPr>
        <w:t>ra domácího</w:t>
      </w:r>
    </w:p>
    <w:p w14:paraId="5D5B6DA9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78ACA6F" w14:textId="2FFCA937" w:rsidR="00C114FF" w:rsidRPr="009847D8" w:rsidRDefault="00311ABD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2</w:t>
      </w:r>
      <w:r w:rsidR="00C114FF"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="00C114FF" w:rsidRPr="009847D8">
        <w:rPr>
          <w:rFonts w:asciiTheme="majorBidi" w:hAnsiTheme="majorBidi" w:cstheme="majorBidi"/>
          <w:b/>
          <w:szCs w:val="22"/>
        </w:rPr>
        <w:tab/>
      </w:r>
      <w:r w:rsidR="00A23815" w:rsidRPr="009847D8">
        <w:rPr>
          <w:rFonts w:asciiTheme="majorBidi" w:hAnsiTheme="majorBidi" w:cstheme="majorBidi"/>
          <w:b/>
          <w:szCs w:val="22"/>
        </w:rPr>
        <w:t>Složení</w:t>
      </w:r>
      <w:r w:rsidR="007219CE" w:rsidRPr="009847D8">
        <w:rPr>
          <w:rFonts w:asciiTheme="majorBidi" w:hAnsiTheme="majorBidi" w:cstheme="majorBidi"/>
          <w:b/>
          <w:szCs w:val="22"/>
        </w:rPr>
        <w:t xml:space="preserve"> </w:t>
      </w:r>
    </w:p>
    <w:p w14:paraId="4284B63A" w14:textId="77777777" w:rsidR="007219CE" w:rsidRPr="009847D8" w:rsidRDefault="007219CE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784FA7DB" w14:textId="02C1935F" w:rsidR="00B802FB" w:rsidRPr="009847D8" w:rsidRDefault="006021B0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iCs/>
          <w:szCs w:val="22"/>
        </w:rPr>
      </w:pPr>
      <w:r w:rsidRPr="009847D8">
        <w:rPr>
          <w:rFonts w:asciiTheme="majorBidi" w:hAnsiTheme="majorBidi" w:cstheme="majorBidi"/>
          <w:b/>
          <w:iCs/>
          <w:szCs w:val="22"/>
        </w:rPr>
        <w:t xml:space="preserve">Léčivá </w:t>
      </w:r>
      <w:r w:rsidR="00A23815" w:rsidRPr="009847D8">
        <w:rPr>
          <w:rFonts w:asciiTheme="majorBidi" w:hAnsiTheme="majorBidi" w:cstheme="majorBidi"/>
          <w:b/>
          <w:iCs/>
          <w:szCs w:val="22"/>
        </w:rPr>
        <w:t>látka</w:t>
      </w:r>
      <w:r w:rsidR="00B802FB" w:rsidRPr="009847D8">
        <w:rPr>
          <w:rFonts w:asciiTheme="majorBidi" w:hAnsiTheme="majorBidi" w:cstheme="majorBidi"/>
          <w:b/>
          <w:iCs/>
          <w:szCs w:val="22"/>
        </w:rPr>
        <w:t>:</w:t>
      </w:r>
    </w:p>
    <w:p w14:paraId="22E78621" w14:textId="310BB3D5" w:rsidR="001B7FB1" w:rsidRPr="009847D8" w:rsidRDefault="00E06684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proofErr w:type="spellStart"/>
      <w:r w:rsidRPr="009847D8">
        <w:rPr>
          <w:rFonts w:asciiTheme="majorBidi" w:hAnsiTheme="majorBidi" w:cstheme="majorBidi"/>
          <w:iCs/>
          <w:szCs w:val="22"/>
        </w:rPr>
        <w:t>Flubendazol</w:t>
      </w:r>
      <w:r w:rsidR="006021B0" w:rsidRPr="009847D8">
        <w:rPr>
          <w:rFonts w:asciiTheme="majorBidi" w:hAnsiTheme="majorBidi" w:cstheme="majorBidi"/>
          <w:iCs/>
          <w:szCs w:val="22"/>
        </w:rPr>
        <w:t>um</w:t>
      </w:r>
      <w:proofErr w:type="spellEnd"/>
      <w:r w:rsidRPr="009847D8">
        <w:rPr>
          <w:rFonts w:asciiTheme="majorBidi" w:hAnsiTheme="majorBidi" w:cstheme="majorBidi"/>
          <w:iCs/>
          <w:szCs w:val="22"/>
        </w:rPr>
        <w:tab/>
      </w:r>
      <w:r w:rsidR="002E4223" w:rsidRPr="009847D8">
        <w:rPr>
          <w:rFonts w:asciiTheme="majorBidi" w:hAnsiTheme="majorBidi" w:cstheme="majorBidi"/>
          <w:iCs/>
          <w:szCs w:val="22"/>
        </w:rPr>
        <w:tab/>
      </w:r>
      <w:r w:rsidR="002E4223" w:rsidRPr="009847D8">
        <w:rPr>
          <w:rFonts w:asciiTheme="majorBidi" w:hAnsiTheme="majorBidi" w:cstheme="majorBidi"/>
          <w:iCs/>
          <w:szCs w:val="22"/>
        </w:rPr>
        <w:tab/>
      </w:r>
      <w:r w:rsidR="002E4223" w:rsidRPr="009847D8">
        <w:rPr>
          <w:rFonts w:asciiTheme="majorBidi" w:hAnsiTheme="majorBidi" w:cstheme="majorBidi"/>
          <w:iCs/>
          <w:szCs w:val="22"/>
        </w:rPr>
        <w:tab/>
      </w:r>
      <w:r w:rsidR="005D29D8" w:rsidRPr="009847D8">
        <w:rPr>
          <w:rFonts w:asciiTheme="majorBidi" w:hAnsiTheme="majorBidi" w:cstheme="majorBidi"/>
          <w:iCs/>
          <w:szCs w:val="22"/>
        </w:rPr>
        <w:tab/>
      </w:r>
      <w:r w:rsidR="005D29D8" w:rsidRPr="009847D8">
        <w:rPr>
          <w:rFonts w:asciiTheme="majorBidi" w:hAnsiTheme="majorBidi" w:cstheme="majorBidi"/>
          <w:iCs/>
          <w:szCs w:val="22"/>
        </w:rPr>
        <w:tab/>
      </w:r>
      <w:r w:rsidRPr="009847D8">
        <w:rPr>
          <w:rFonts w:asciiTheme="majorBidi" w:hAnsiTheme="majorBidi" w:cstheme="majorBidi"/>
          <w:iCs/>
          <w:szCs w:val="22"/>
        </w:rPr>
        <w:t>200 mg/ml</w:t>
      </w:r>
    </w:p>
    <w:p w14:paraId="27116659" w14:textId="0C9FFD7F" w:rsidR="00B802FB" w:rsidRPr="009847D8" w:rsidRDefault="00A23815" w:rsidP="002E4223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iCs/>
          <w:szCs w:val="22"/>
        </w:rPr>
      </w:pPr>
      <w:r w:rsidRPr="009847D8">
        <w:rPr>
          <w:rFonts w:asciiTheme="majorBidi" w:hAnsiTheme="majorBidi" w:cstheme="majorBidi"/>
          <w:b/>
          <w:iCs/>
          <w:szCs w:val="22"/>
        </w:rPr>
        <w:t>Pomocné látky</w:t>
      </w:r>
      <w:r w:rsidR="00B802FB" w:rsidRPr="009847D8">
        <w:rPr>
          <w:rFonts w:asciiTheme="majorBidi" w:hAnsiTheme="majorBidi" w:cstheme="majorBidi"/>
          <w:b/>
          <w:iCs/>
          <w:szCs w:val="22"/>
        </w:rPr>
        <w:t>:</w:t>
      </w:r>
    </w:p>
    <w:p w14:paraId="61902D4F" w14:textId="573F5B68" w:rsidR="002E4223" w:rsidRPr="009847D8" w:rsidRDefault="002E4223" w:rsidP="002E4223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proofErr w:type="spellStart"/>
      <w:r w:rsidRPr="009847D8">
        <w:rPr>
          <w:rFonts w:asciiTheme="majorBidi" w:hAnsiTheme="majorBidi" w:cstheme="majorBidi"/>
          <w:iCs/>
          <w:szCs w:val="22"/>
        </w:rPr>
        <w:t>Methyl</w:t>
      </w:r>
      <w:r w:rsidR="006021B0" w:rsidRPr="009847D8">
        <w:rPr>
          <w:rFonts w:asciiTheme="majorBidi" w:hAnsiTheme="majorBidi" w:cstheme="majorBidi"/>
          <w:iCs/>
          <w:szCs w:val="22"/>
        </w:rPr>
        <w:t>paraben</w:t>
      </w:r>
      <w:proofErr w:type="spellEnd"/>
      <w:r w:rsidRPr="009847D8">
        <w:rPr>
          <w:rFonts w:asciiTheme="majorBidi" w:hAnsiTheme="majorBidi" w:cstheme="majorBidi"/>
          <w:iCs/>
          <w:szCs w:val="22"/>
        </w:rPr>
        <w:t xml:space="preserve"> (E</w:t>
      </w:r>
      <w:r w:rsidR="006021B0" w:rsidRPr="009847D8">
        <w:rPr>
          <w:rFonts w:asciiTheme="majorBidi" w:hAnsiTheme="majorBidi" w:cstheme="majorBidi"/>
          <w:iCs/>
          <w:szCs w:val="22"/>
        </w:rPr>
        <w:t xml:space="preserve"> </w:t>
      </w:r>
      <w:r w:rsidRPr="009847D8">
        <w:rPr>
          <w:rFonts w:asciiTheme="majorBidi" w:hAnsiTheme="majorBidi" w:cstheme="majorBidi"/>
          <w:iCs/>
          <w:szCs w:val="22"/>
        </w:rPr>
        <w:t xml:space="preserve">218)      </w:t>
      </w:r>
      <w:r w:rsidR="005D29D8" w:rsidRPr="009847D8">
        <w:rPr>
          <w:rFonts w:asciiTheme="majorBidi" w:hAnsiTheme="majorBidi" w:cstheme="majorBidi"/>
          <w:iCs/>
          <w:szCs w:val="22"/>
        </w:rPr>
        <w:tab/>
      </w:r>
      <w:r w:rsidRPr="009847D8">
        <w:rPr>
          <w:rFonts w:asciiTheme="majorBidi" w:hAnsiTheme="majorBidi" w:cstheme="majorBidi"/>
          <w:iCs/>
          <w:szCs w:val="22"/>
        </w:rPr>
        <w:t>0</w:t>
      </w:r>
      <w:r w:rsidR="00A23815" w:rsidRPr="009847D8">
        <w:rPr>
          <w:rFonts w:asciiTheme="majorBidi" w:hAnsiTheme="majorBidi" w:cstheme="majorBidi"/>
          <w:iCs/>
          <w:szCs w:val="22"/>
        </w:rPr>
        <w:t>,</w:t>
      </w:r>
      <w:r w:rsidRPr="009847D8">
        <w:rPr>
          <w:rFonts w:asciiTheme="majorBidi" w:hAnsiTheme="majorBidi" w:cstheme="majorBidi"/>
          <w:iCs/>
          <w:szCs w:val="22"/>
        </w:rPr>
        <w:t>8 mg/ml</w:t>
      </w:r>
    </w:p>
    <w:p w14:paraId="73272CC0" w14:textId="34A291F5" w:rsidR="000D0BE3" w:rsidRPr="009847D8" w:rsidRDefault="002E4223" w:rsidP="002E4223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proofErr w:type="spellStart"/>
      <w:r w:rsidRPr="009847D8">
        <w:rPr>
          <w:rFonts w:asciiTheme="majorBidi" w:hAnsiTheme="majorBidi" w:cstheme="majorBidi"/>
          <w:iCs/>
          <w:szCs w:val="22"/>
        </w:rPr>
        <w:t>Propyl</w:t>
      </w:r>
      <w:r w:rsidR="006021B0" w:rsidRPr="009847D8">
        <w:rPr>
          <w:rFonts w:asciiTheme="majorBidi" w:hAnsiTheme="majorBidi" w:cstheme="majorBidi"/>
          <w:iCs/>
          <w:szCs w:val="22"/>
        </w:rPr>
        <w:t>paraben</w:t>
      </w:r>
      <w:proofErr w:type="spellEnd"/>
      <w:r w:rsidRPr="009847D8">
        <w:rPr>
          <w:rFonts w:asciiTheme="majorBidi" w:hAnsiTheme="majorBidi" w:cstheme="majorBidi"/>
          <w:iCs/>
          <w:szCs w:val="22"/>
        </w:rPr>
        <w:t xml:space="preserve">                    </w:t>
      </w:r>
      <w:r w:rsidR="005D29D8" w:rsidRPr="009847D8">
        <w:rPr>
          <w:rFonts w:asciiTheme="majorBidi" w:hAnsiTheme="majorBidi" w:cstheme="majorBidi"/>
          <w:iCs/>
          <w:szCs w:val="22"/>
        </w:rPr>
        <w:tab/>
      </w:r>
      <w:r w:rsidRPr="009847D8">
        <w:rPr>
          <w:rFonts w:asciiTheme="majorBidi" w:hAnsiTheme="majorBidi" w:cstheme="majorBidi"/>
          <w:iCs/>
          <w:szCs w:val="22"/>
        </w:rPr>
        <w:t>0</w:t>
      </w:r>
      <w:r w:rsidR="00A23815" w:rsidRPr="009847D8">
        <w:rPr>
          <w:rFonts w:asciiTheme="majorBidi" w:hAnsiTheme="majorBidi" w:cstheme="majorBidi"/>
          <w:iCs/>
          <w:szCs w:val="22"/>
        </w:rPr>
        <w:t>,</w:t>
      </w:r>
      <w:r w:rsidRPr="009847D8">
        <w:rPr>
          <w:rFonts w:asciiTheme="majorBidi" w:hAnsiTheme="majorBidi" w:cstheme="majorBidi"/>
          <w:iCs/>
          <w:szCs w:val="22"/>
        </w:rPr>
        <w:t>2 mg/ml</w:t>
      </w:r>
    </w:p>
    <w:p w14:paraId="40ECC806" w14:textId="77777777" w:rsidR="002E4223" w:rsidRPr="009847D8" w:rsidRDefault="002E4223" w:rsidP="000D0BE3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6C254D6" w14:textId="5BC62112" w:rsidR="00E06684" w:rsidRPr="009847D8" w:rsidRDefault="00A23815" w:rsidP="000D0BE3">
      <w:pPr>
        <w:tabs>
          <w:tab w:val="clear" w:pos="567"/>
        </w:tabs>
        <w:spacing w:line="240" w:lineRule="auto"/>
      </w:pPr>
      <w:r w:rsidRPr="009847D8">
        <w:t xml:space="preserve">Bílá nebo lehce nažloutlá suspenze </w:t>
      </w:r>
      <w:r w:rsidR="006021B0" w:rsidRPr="009847D8">
        <w:t>pro podání</w:t>
      </w:r>
      <w:r w:rsidRPr="009847D8">
        <w:t xml:space="preserve"> v pitné vodě.</w:t>
      </w:r>
    </w:p>
    <w:p w14:paraId="783D7A98" w14:textId="77777777" w:rsidR="00311ABD" w:rsidRPr="009847D8" w:rsidRDefault="00311ABD" w:rsidP="00311AB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99505CA" w14:textId="24757BDF" w:rsidR="00311ABD" w:rsidRPr="009847D8" w:rsidRDefault="00311ABD" w:rsidP="00311AB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3.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A23815" w:rsidRPr="009847D8">
        <w:rPr>
          <w:rFonts w:asciiTheme="majorBidi" w:hAnsiTheme="majorBidi" w:cstheme="majorBidi"/>
          <w:b/>
          <w:szCs w:val="22"/>
        </w:rPr>
        <w:t>Cílové druhy zvířat</w:t>
      </w:r>
    </w:p>
    <w:p w14:paraId="150BF7DE" w14:textId="77777777" w:rsidR="00311ABD" w:rsidRPr="009847D8" w:rsidRDefault="00311ABD" w:rsidP="00311AB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730BF31" w14:textId="5AEF8ACD" w:rsidR="00311ABD" w:rsidRPr="009847D8" w:rsidRDefault="00A23815" w:rsidP="00311ABD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9847D8">
        <w:rPr>
          <w:szCs w:val="22"/>
          <w:lang w:eastAsia="cs-CZ"/>
        </w:rPr>
        <w:t xml:space="preserve">Prasata </w:t>
      </w:r>
      <w:r w:rsidR="00354750" w:rsidRPr="009847D8">
        <w:rPr>
          <w:szCs w:val="22"/>
          <w:lang w:eastAsia="cs-CZ"/>
        </w:rPr>
        <w:t>a</w:t>
      </w:r>
      <w:r w:rsidRPr="009847D8">
        <w:rPr>
          <w:szCs w:val="22"/>
          <w:lang w:eastAsia="cs-CZ"/>
        </w:rPr>
        <w:t xml:space="preserve"> ku</w:t>
      </w:r>
      <w:r w:rsidR="00BC2B5A">
        <w:rPr>
          <w:szCs w:val="22"/>
          <w:lang w:eastAsia="cs-CZ"/>
        </w:rPr>
        <w:t>r domácí</w:t>
      </w:r>
    </w:p>
    <w:p w14:paraId="74236F79" w14:textId="77777777" w:rsidR="000D0BE3" w:rsidRPr="009847D8" w:rsidRDefault="000D0BE3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E786966" w14:textId="4DDC1B18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4.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7219CE" w:rsidRPr="009847D8">
        <w:rPr>
          <w:rFonts w:asciiTheme="majorBidi" w:hAnsiTheme="majorBidi" w:cstheme="majorBidi"/>
          <w:b/>
          <w:szCs w:val="22"/>
        </w:rPr>
        <w:t>Indi</w:t>
      </w:r>
      <w:r w:rsidR="00A23815" w:rsidRPr="009847D8">
        <w:rPr>
          <w:rFonts w:asciiTheme="majorBidi" w:hAnsiTheme="majorBidi" w:cstheme="majorBidi"/>
          <w:b/>
          <w:szCs w:val="22"/>
        </w:rPr>
        <w:t xml:space="preserve">kace pro použití </w:t>
      </w:r>
    </w:p>
    <w:p w14:paraId="3C702C05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2BB6F4E" w14:textId="30527E99" w:rsidR="00A23815" w:rsidRPr="009847D8" w:rsidRDefault="00A23815" w:rsidP="00A23815">
      <w:pPr>
        <w:widowControl w:val="0"/>
        <w:tabs>
          <w:tab w:val="clear" w:pos="567"/>
          <w:tab w:val="left" w:pos="-2"/>
          <w:tab w:val="left" w:pos="358"/>
          <w:tab w:val="left" w:pos="838"/>
          <w:tab w:val="left" w:pos="1078"/>
          <w:tab w:val="left" w:pos="6598"/>
        </w:tabs>
        <w:suppressAutoHyphens/>
        <w:spacing w:line="240" w:lineRule="auto"/>
        <w:ind w:right="283"/>
        <w:rPr>
          <w:rFonts w:ascii="NewCenturySchlbk" w:hAnsi="NewCenturySchlbk"/>
          <w:u w:val="single"/>
        </w:rPr>
      </w:pPr>
      <w:r w:rsidRPr="009847D8">
        <w:rPr>
          <w:szCs w:val="22"/>
          <w:u w:val="single"/>
        </w:rPr>
        <w:t>Prasata:</w:t>
      </w:r>
      <w:r w:rsidRPr="009847D8">
        <w:rPr>
          <w:rFonts w:ascii="NewCenturySchlbk" w:hAnsi="NewCenturySchlbk"/>
          <w:u w:val="single"/>
        </w:rPr>
        <w:t xml:space="preserve"> </w:t>
      </w:r>
    </w:p>
    <w:p w14:paraId="099A9272" w14:textId="56865707" w:rsidR="00A23815" w:rsidRPr="009847D8" w:rsidRDefault="00A23815" w:rsidP="005D29D8">
      <w:pPr>
        <w:widowControl w:val="0"/>
        <w:tabs>
          <w:tab w:val="clear" w:pos="567"/>
          <w:tab w:val="left" w:pos="-2"/>
          <w:tab w:val="left" w:pos="358"/>
          <w:tab w:val="left" w:pos="838"/>
          <w:tab w:val="left" w:pos="1078"/>
          <w:tab w:val="left" w:pos="6598"/>
        </w:tabs>
        <w:suppressAutoHyphens/>
        <w:spacing w:line="240" w:lineRule="auto"/>
        <w:ind w:left="567" w:right="-1" w:hanging="567"/>
        <w:rPr>
          <w:szCs w:val="22"/>
        </w:rPr>
      </w:pPr>
      <w:r w:rsidRPr="009847D8">
        <w:rPr>
          <w:szCs w:val="22"/>
        </w:rPr>
        <w:t xml:space="preserve">Léčba </w:t>
      </w:r>
      <w:proofErr w:type="spellStart"/>
      <w:r w:rsidRPr="009847D8">
        <w:rPr>
          <w:szCs w:val="22"/>
        </w:rPr>
        <w:t>helmint</w:t>
      </w:r>
      <w:r w:rsidR="00BC2B5A">
        <w:rPr>
          <w:szCs w:val="22"/>
        </w:rPr>
        <w:t>ó</w:t>
      </w:r>
      <w:r w:rsidRPr="009847D8">
        <w:rPr>
          <w:szCs w:val="22"/>
        </w:rPr>
        <w:t>z</w:t>
      </w:r>
      <w:proofErr w:type="spellEnd"/>
      <w:r w:rsidRPr="009847D8">
        <w:rPr>
          <w:szCs w:val="22"/>
        </w:rPr>
        <w:t xml:space="preserve"> </w:t>
      </w:r>
      <w:r w:rsidR="00BC2B5A">
        <w:rPr>
          <w:szCs w:val="22"/>
        </w:rPr>
        <w:t>vyvolaných</w:t>
      </w:r>
      <w:r w:rsidR="00BC2B5A" w:rsidRPr="009847D8">
        <w:t> </w:t>
      </w:r>
      <w:proofErr w:type="spellStart"/>
      <w:r w:rsidRPr="009847D8">
        <w:rPr>
          <w:i/>
          <w:szCs w:val="22"/>
        </w:rPr>
        <w:t>Ascaris</w:t>
      </w:r>
      <w:proofErr w:type="spellEnd"/>
      <w:r w:rsidRPr="009847D8">
        <w:rPr>
          <w:i/>
          <w:szCs w:val="22"/>
        </w:rPr>
        <w:t xml:space="preserve"> </w:t>
      </w:r>
      <w:proofErr w:type="spellStart"/>
      <w:r w:rsidRPr="009847D8">
        <w:rPr>
          <w:i/>
          <w:szCs w:val="22"/>
        </w:rPr>
        <w:t>suum</w:t>
      </w:r>
      <w:proofErr w:type="spellEnd"/>
      <w:r w:rsidRPr="009847D8">
        <w:rPr>
          <w:szCs w:val="22"/>
        </w:rPr>
        <w:t xml:space="preserve"> (</w:t>
      </w:r>
      <w:r w:rsidR="00F74EBB" w:rsidRPr="005558F3">
        <w:rPr>
          <w:szCs w:val="22"/>
        </w:rPr>
        <w:t>dospěl</w:t>
      </w:r>
      <w:r w:rsidR="00F74EBB">
        <w:rPr>
          <w:szCs w:val="22"/>
        </w:rPr>
        <w:t>ci</w:t>
      </w:r>
      <w:r w:rsidRPr="009847D8">
        <w:rPr>
          <w:szCs w:val="22"/>
        </w:rPr>
        <w:t>, migrující (L3) a střevní (L4) larvální stadia).</w:t>
      </w:r>
    </w:p>
    <w:p w14:paraId="6F63FFA4" w14:textId="77777777" w:rsidR="00E06684" w:rsidRPr="009847D8" w:rsidRDefault="00E06684" w:rsidP="00E06684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u w:val="single"/>
          <w:lang w:eastAsia="es-ES" w:bidi="he-IL"/>
        </w:rPr>
      </w:pPr>
    </w:p>
    <w:p w14:paraId="0EAA0743" w14:textId="7AC585A6" w:rsidR="00612778" w:rsidRPr="009847D8" w:rsidRDefault="00612778" w:rsidP="00612778">
      <w:pPr>
        <w:spacing w:line="240" w:lineRule="auto"/>
        <w:rPr>
          <w:u w:val="single"/>
        </w:rPr>
      </w:pPr>
      <w:r w:rsidRPr="009847D8">
        <w:rPr>
          <w:u w:val="single"/>
        </w:rPr>
        <w:t>Ku</w:t>
      </w:r>
      <w:r w:rsidR="00BC2B5A">
        <w:rPr>
          <w:u w:val="single"/>
        </w:rPr>
        <w:t>r domácí</w:t>
      </w:r>
      <w:r w:rsidRPr="009847D8">
        <w:rPr>
          <w:u w:val="single"/>
        </w:rPr>
        <w:t>:</w:t>
      </w:r>
    </w:p>
    <w:p w14:paraId="2BE55D1F" w14:textId="4EA6E9DA" w:rsidR="00612778" w:rsidRPr="009847D8" w:rsidRDefault="00612778" w:rsidP="00612778">
      <w:pPr>
        <w:spacing w:line="240" w:lineRule="auto"/>
        <w:rPr>
          <w:szCs w:val="22"/>
        </w:rPr>
      </w:pPr>
      <w:r w:rsidRPr="009847D8">
        <w:t xml:space="preserve">Léčba </w:t>
      </w:r>
      <w:proofErr w:type="spellStart"/>
      <w:r w:rsidRPr="009847D8">
        <w:t>helmint</w:t>
      </w:r>
      <w:r w:rsidR="00BC2B5A">
        <w:t>ó</w:t>
      </w:r>
      <w:r w:rsidRPr="009847D8">
        <w:t>z</w:t>
      </w:r>
      <w:proofErr w:type="spellEnd"/>
      <w:r w:rsidRPr="009847D8">
        <w:t xml:space="preserve"> </w:t>
      </w:r>
      <w:r w:rsidR="00BC2B5A">
        <w:t>vy</w:t>
      </w:r>
      <w:r w:rsidR="008413D4">
        <w:t>v</w:t>
      </w:r>
      <w:r w:rsidR="00BC2B5A">
        <w:t>olaných</w:t>
      </w:r>
      <w:r w:rsidR="00BC2B5A" w:rsidRPr="009847D8">
        <w:t> </w:t>
      </w:r>
      <w:proofErr w:type="spellStart"/>
      <w:r w:rsidRPr="009847D8">
        <w:rPr>
          <w:i/>
          <w:szCs w:val="22"/>
        </w:rPr>
        <w:t>Ascaridia</w:t>
      </w:r>
      <w:proofErr w:type="spellEnd"/>
      <w:r w:rsidRPr="009847D8">
        <w:rPr>
          <w:i/>
          <w:szCs w:val="22"/>
        </w:rPr>
        <w:t xml:space="preserve"> </w:t>
      </w:r>
      <w:proofErr w:type="spellStart"/>
      <w:r w:rsidRPr="009847D8">
        <w:rPr>
          <w:i/>
          <w:szCs w:val="22"/>
        </w:rPr>
        <w:t>galli</w:t>
      </w:r>
      <w:proofErr w:type="spellEnd"/>
      <w:r w:rsidRPr="009847D8">
        <w:rPr>
          <w:i/>
          <w:szCs w:val="22"/>
        </w:rPr>
        <w:t xml:space="preserve"> </w:t>
      </w:r>
      <w:r w:rsidRPr="009847D8">
        <w:rPr>
          <w:szCs w:val="22"/>
        </w:rPr>
        <w:t>(</w:t>
      </w:r>
      <w:r w:rsidR="00F74EBB" w:rsidRPr="005558F3">
        <w:rPr>
          <w:szCs w:val="22"/>
        </w:rPr>
        <w:t>dospěl</w:t>
      </w:r>
      <w:r w:rsidR="00F74EBB">
        <w:rPr>
          <w:szCs w:val="22"/>
        </w:rPr>
        <w:t>ci</w:t>
      </w:r>
      <w:r w:rsidRPr="009847D8">
        <w:rPr>
          <w:szCs w:val="22"/>
        </w:rPr>
        <w:t xml:space="preserve">), </w:t>
      </w:r>
      <w:proofErr w:type="spellStart"/>
      <w:r w:rsidRPr="009847D8">
        <w:rPr>
          <w:i/>
          <w:szCs w:val="22"/>
        </w:rPr>
        <w:t>Heterakis</w:t>
      </w:r>
      <w:proofErr w:type="spellEnd"/>
      <w:r w:rsidRPr="009847D8">
        <w:rPr>
          <w:i/>
          <w:szCs w:val="22"/>
        </w:rPr>
        <w:t xml:space="preserve"> </w:t>
      </w:r>
      <w:proofErr w:type="spellStart"/>
      <w:r w:rsidRPr="009847D8">
        <w:rPr>
          <w:i/>
          <w:szCs w:val="22"/>
        </w:rPr>
        <w:t>gallinarum</w:t>
      </w:r>
      <w:proofErr w:type="spellEnd"/>
      <w:r w:rsidRPr="009847D8">
        <w:rPr>
          <w:i/>
          <w:szCs w:val="22"/>
        </w:rPr>
        <w:t xml:space="preserve"> </w:t>
      </w:r>
      <w:r w:rsidRPr="009847D8">
        <w:rPr>
          <w:szCs w:val="22"/>
        </w:rPr>
        <w:t>(</w:t>
      </w:r>
      <w:r w:rsidR="00F74EBB" w:rsidRPr="005558F3">
        <w:rPr>
          <w:szCs w:val="22"/>
        </w:rPr>
        <w:t>dospěl</w:t>
      </w:r>
      <w:r w:rsidR="00F74EBB">
        <w:rPr>
          <w:szCs w:val="22"/>
        </w:rPr>
        <w:t>ci</w:t>
      </w:r>
      <w:r w:rsidRPr="009847D8">
        <w:rPr>
          <w:szCs w:val="22"/>
        </w:rPr>
        <w:t xml:space="preserve">), </w:t>
      </w:r>
      <w:proofErr w:type="spellStart"/>
      <w:r w:rsidRPr="009847D8">
        <w:rPr>
          <w:i/>
          <w:szCs w:val="22"/>
        </w:rPr>
        <w:t>Capillaria</w:t>
      </w:r>
      <w:proofErr w:type="spellEnd"/>
      <w:r w:rsidRPr="009847D8">
        <w:rPr>
          <w:i/>
          <w:szCs w:val="22"/>
        </w:rPr>
        <w:t xml:space="preserve"> </w:t>
      </w:r>
      <w:proofErr w:type="spellStart"/>
      <w:r w:rsidRPr="009847D8">
        <w:rPr>
          <w:szCs w:val="22"/>
        </w:rPr>
        <w:t>spp</w:t>
      </w:r>
      <w:proofErr w:type="spellEnd"/>
      <w:r w:rsidRPr="009847D8">
        <w:rPr>
          <w:i/>
          <w:szCs w:val="22"/>
        </w:rPr>
        <w:t>.</w:t>
      </w:r>
      <w:r w:rsidRPr="009847D8">
        <w:rPr>
          <w:szCs w:val="22"/>
        </w:rPr>
        <w:t xml:space="preserve"> (</w:t>
      </w:r>
      <w:r w:rsidR="00F74EBB" w:rsidRPr="005558F3">
        <w:rPr>
          <w:szCs w:val="22"/>
        </w:rPr>
        <w:t>dospěl</w:t>
      </w:r>
      <w:r w:rsidR="00F74EBB">
        <w:rPr>
          <w:szCs w:val="22"/>
        </w:rPr>
        <w:t>ci</w:t>
      </w:r>
      <w:r w:rsidRPr="009847D8">
        <w:rPr>
          <w:szCs w:val="22"/>
        </w:rPr>
        <w:t>).</w:t>
      </w:r>
    </w:p>
    <w:p w14:paraId="4908C405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054E0AF" w14:textId="7014550F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5.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612778" w:rsidRPr="009847D8">
        <w:rPr>
          <w:rFonts w:asciiTheme="majorBidi" w:hAnsiTheme="majorBidi" w:cstheme="majorBidi"/>
          <w:b/>
          <w:szCs w:val="22"/>
        </w:rPr>
        <w:t>Kontraindikace</w:t>
      </w:r>
    </w:p>
    <w:p w14:paraId="033C96DC" w14:textId="77777777" w:rsidR="000D0BE3" w:rsidRPr="009847D8" w:rsidRDefault="000D0BE3" w:rsidP="000D0BE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</w:p>
    <w:p w14:paraId="46741E02" w14:textId="5A784733" w:rsidR="000D0BE3" w:rsidRPr="009847D8" w:rsidRDefault="0018799B" w:rsidP="000D0BE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  <w:bookmarkStart w:id="1" w:name="_Hlk33546910"/>
      <w:r w:rsidRPr="009847D8">
        <w:rPr>
          <w:rFonts w:asciiTheme="majorBidi" w:hAnsiTheme="majorBidi" w:cstheme="majorBidi"/>
          <w:szCs w:val="22"/>
          <w:lang w:eastAsia="es-ES" w:bidi="he-IL"/>
        </w:rPr>
        <w:t>Nepoužívat v případě přecitlivělosti na léčivou látku nebo na některou z pomocných látek</w:t>
      </w:r>
      <w:r w:rsidR="000D0BE3" w:rsidRPr="009847D8">
        <w:rPr>
          <w:rFonts w:asciiTheme="majorBidi" w:hAnsiTheme="majorBidi" w:cstheme="majorBidi"/>
          <w:szCs w:val="22"/>
          <w:lang w:eastAsia="es-ES" w:bidi="he-IL"/>
        </w:rPr>
        <w:t>.</w:t>
      </w:r>
    </w:p>
    <w:bookmarkEnd w:id="1"/>
    <w:p w14:paraId="6FB01362" w14:textId="77777777" w:rsidR="00FF38B9" w:rsidRPr="009847D8" w:rsidRDefault="00FF38B9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0E49395" w14:textId="545EEC44" w:rsidR="00FF38B9" w:rsidRPr="009847D8" w:rsidRDefault="00FF38B9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6.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612778" w:rsidRPr="009847D8">
        <w:rPr>
          <w:rFonts w:asciiTheme="majorBidi" w:hAnsiTheme="majorBidi" w:cstheme="majorBidi"/>
          <w:b/>
          <w:szCs w:val="22"/>
        </w:rPr>
        <w:t>Zvláštní upozornění</w:t>
      </w:r>
    </w:p>
    <w:p w14:paraId="6BFE9411" w14:textId="77777777" w:rsidR="00FF38B9" w:rsidRPr="009847D8" w:rsidRDefault="00FF38B9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0834152" w14:textId="480D24BC" w:rsidR="003A31D0" w:rsidRPr="009847D8" w:rsidRDefault="00612778" w:rsidP="003A31D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  <w:r w:rsidRPr="009847D8">
        <w:rPr>
          <w:rFonts w:asciiTheme="majorBidi" w:hAnsiTheme="majorBidi" w:cstheme="majorBidi"/>
          <w:szCs w:val="22"/>
          <w:u w:val="single"/>
        </w:rPr>
        <w:t>Zvláštní upozornění</w:t>
      </w:r>
      <w:r w:rsidR="003A31D0" w:rsidRPr="009847D8">
        <w:rPr>
          <w:rFonts w:asciiTheme="majorBidi" w:hAnsiTheme="majorBidi" w:cstheme="majorBidi"/>
          <w:szCs w:val="22"/>
          <w:u w:val="single"/>
        </w:rPr>
        <w:t>:</w:t>
      </w:r>
    </w:p>
    <w:p w14:paraId="34D05F36" w14:textId="6EE47D46" w:rsidR="00612778" w:rsidRPr="009847D8" w:rsidRDefault="00612778" w:rsidP="00612778">
      <w:pPr>
        <w:spacing w:line="240" w:lineRule="auto"/>
      </w:pPr>
      <w:r w:rsidRPr="009847D8">
        <w:t xml:space="preserve">Léčba tímto </w:t>
      </w:r>
      <w:r w:rsidR="00354750" w:rsidRPr="009847D8">
        <w:t xml:space="preserve">veterinárního léčivého </w:t>
      </w:r>
      <w:r w:rsidRPr="009847D8">
        <w:t xml:space="preserve">přípravkem poskytuje optimální výsledky pouze při současném přísném dodržování hygieny v </w:t>
      </w:r>
      <w:r w:rsidR="00075525">
        <w:t>halách</w:t>
      </w:r>
      <w:r w:rsidR="00075525" w:rsidRPr="009847D8">
        <w:t xml:space="preserve"> </w:t>
      </w:r>
      <w:r w:rsidRPr="009847D8">
        <w:t>a v ohradách.</w:t>
      </w:r>
    </w:p>
    <w:p w14:paraId="1E8A1A97" w14:textId="77777777" w:rsidR="00F74EBB" w:rsidRPr="008D49CC" w:rsidRDefault="00F74EBB" w:rsidP="00F74EBB">
      <w:pPr>
        <w:jc w:val="both"/>
        <w:rPr>
          <w:szCs w:val="22"/>
        </w:rPr>
      </w:pPr>
      <w:bookmarkStart w:id="2" w:name="_Hlk129161107"/>
      <w:r w:rsidRPr="00180374">
        <w:rPr>
          <w:szCs w:val="22"/>
        </w:rPr>
        <w:t xml:space="preserve">Nadbytečné použití </w:t>
      </w:r>
      <w:proofErr w:type="spellStart"/>
      <w:r w:rsidRPr="00180374">
        <w:rPr>
          <w:szCs w:val="22"/>
        </w:rPr>
        <w:t>antiparazitik</w:t>
      </w:r>
      <w:proofErr w:type="spellEnd"/>
      <w:r w:rsidRPr="00180374">
        <w:rPr>
          <w:szCs w:val="22"/>
        </w:rPr>
        <w:t xml:space="preserve"> nebo použití v rozporu s pokyny uvedenými v SPC, může zvýšit </w:t>
      </w:r>
      <w:r w:rsidRPr="008D49CC">
        <w:rPr>
          <w:szCs w:val="22"/>
        </w:rPr>
        <w:t xml:space="preserve">selekčním tlakem rezistenci a vést ke snížení účinnosti. </w:t>
      </w:r>
      <w:bookmarkEnd w:id="2"/>
      <w:r w:rsidRPr="008D49CC">
        <w:rPr>
          <w:szCs w:val="22"/>
        </w:rPr>
        <w:t xml:space="preserve">Rozhodnutí o použití přípravku by mělo být </w:t>
      </w:r>
      <w:r w:rsidRPr="00FC5C9C">
        <w:rPr>
          <w:szCs w:val="22"/>
        </w:rPr>
        <w:t xml:space="preserve">pro každé stádo/ hejno </w:t>
      </w:r>
      <w:r w:rsidRPr="008D49CC">
        <w:rPr>
          <w:szCs w:val="22"/>
        </w:rPr>
        <w:t xml:space="preserve">založeno na potvrzení druhu parazita a </w:t>
      </w:r>
      <w:r w:rsidRPr="00FC5C9C">
        <w:rPr>
          <w:szCs w:val="22"/>
        </w:rPr>
        <w:t>s ním spojené</w:t>
      </w:r>
      <w:r w:rsidRPr="008D49CC">
        <w:rPr>
          <w:szCs w:val="22"/>
        </w:rPr>
        <w:t xml:space="preserve"> zátěže nebo rizika napad</w:t>
      </w:r>
      <w:r w:rsidRPr="00FC5C9C">
        <w:rPr>
          <w:szCs w:val="22"/>
        </w:rPr>
        <w:t xml:space="preserve">ení </w:t>
      </w:r>
      <w:r w:rsidRPr="008D49CC">
        <w:rPr>
          <w:szCs w:val="22"/>
        </w:rPr>
        <w:t>zohledňujícího dostupn</w:t>
      </w:r>
      <w:r w:rsidRPr="00FC5C9C">
        <w:rPr>
          <w:szCs w:val="22"/>
        </w:rPr>
        <w:t>é</w:t>
      </w:r>
      <w:r w:rsidRPr="008D49CC">
        <w:rPr>
          <w:szCs w:val="22"/>
        </w:rPr>
        <w:t xml:space="preserve"> epidemiologick</w:t>
      </w:r>
      <w:r w:rsidRPr="00FC5C9C">
        <w:rPr>
          <w:szCs w:val="22"/>
        </w:rPr>
        <w:t>é</w:t>
      </w:r>
      <w:r w:rsidRPr="008D49CC">
        <w:rPr>
          <w:szCs w:val="22"/>
        </w:rPr>
        <w:t xml:space="preserve"> údaj</w:t>
      </w:r>
      <w:r w:rsidRPr="00FC5C9C">
        <w:rPr>
          <w:szCs w:val="22"/>
        </w:rPr>
        <w:t>e.</w:t>
      </w:r>
      <w:r w:rsidRPr="008D49CC">
        <w:rPr>
          <w:szCs w:val="22"/>
        </w:rPr>
        <w:t xml:space="preserve"> </w:t>
      </w:r>
    </w:p>
    <w:p w14:paraId="13B5AAC8" w14:textId="380EEC05" w:rsidR="00612778" w:rsidRPr="009847D8" w:rsidRDefault="00612778" w:rsidP="00612778">
      <w:r w:rsidRPr="008D49CC">
        <w:t xml:space="preserve">Je třeba </w:t>
      </w:r>
      <w:r w:rsidR="008F4147" w:rsidRPr="008D49CC">
        <w:t>se</w:t>
      </w:r>
      <w:r w:rsidRPr="008D49CC">
        <w:t xml:space="preserve"> vyhnout následujícím postupům, protože zvyšují riziko vzniku rezistence a mohly by mít za </w:t>
      </w:r>
      <w:r w:rsidRPr="009847D8">
        <w:t>následek neúčinnost léčby:</w:t>
      </w:r>
    </w:p>
    <w:p w14:paraId="58FA6892" w14:textId="77777777" w:rsidR="008F4147" w:rsidRDefault="008F4147" w:rsidP="008F4147">
      <w:pPr>
        <w:spacing w:line="240" w:lineRule="auto"/>
      </w:pPr>
      <w:r>
        <w:t>- příliš častému a opakujícímu se používání anthelmintik ze stejné skupiny, příliš dlouhé době podávání</w:t>
      </w:r>
    </w:p>
    <w:p w14:paraId="198A95B0" w14:textId="77777777" w:rsidR="008F4147" w:rsidRDefault="008F4147" w:rsidP="008F4147">
      <w:pPr>
        <w:spacing w:line="240" w:lineRule="auto"/>
      </w:pPr>
      <w:r>
        <w:t xml:space="preserve">- </w:t>
      </w:r>
      <w:proofErr w:type="spellStart"/>
      <w:r>
        <w:t>poddávkování</w:t>
      </w:r>
      <w:proofErr w:type="spellEnd"/>
      <w:r>
        <w:t>, z důvodu špatného stanovení živé hmotnosti, chybného podání veterinárního léčivého přípravku nebo nedostatečné kalibrace dávkovacího zařízení (pokud je použito)</w:t>
      </w:r>
    </w:p>
    <w:p w14:paraId="4ADE6F21" w14:textId="1399DB6B" w:rsidR="00FF38B9" w:rsidRPr="009847D8" w:rsidRDefault="008F4147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t xml:space="preserve">Podezřelé klinické případy rezistence k anthelmintikům musí být dále vyšetřena za použití vhodných testů (např. Testu redukce počtu vajíček-FECRT). Tam, kde výsledky testů jasně naznačují rezistenci k určitému anthelmintiku, musí se použít anthelmintikum patřící do jiné farmakologické skupiny a mající jiný způsob účinku. Potvrzená rezistence musí být oznámena držiteli rozhodnutí o registraci nebo kompetentním úřadům. </w:t>
      </w:r>
    </w:p>
    <w:p w14:paraId="525A15E9" w14:textId="5BBE8B16" w:rsidR="00FF38B9" w:rsidRPr="009847D8" w:rsidRDefault="00177BD3" w:rsidP="00FC5C9C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  <w:u w:val="single"/>
        </w:rPr>
        <w:lastRenderedPageBreak/>
        <w:t>Zvláštní opatření pro osobu, která podává veterinární léčivý přípravek zvířatům</w:t>
      </w:r>
      <w:r w:rsidR="00FF38B9" w:rsidRPr="009847D8">
        <w:rPr>
          <w:rFonts w:asciiTheme="majorBidi" w:hAnsiTheme="majorBidi" w:cstheme="majorBidi"/>
          <w:szCs w:val="22"/>
        </w:rPr>
        <w:t>:</w:t>
      </w:r>
    </w:p>
    <w:p w14:paraId="411E2167" w14:textId="40F7C86C" w:rsidR="00177BD3" w:rsidRPr="009847D8" w:rsidRDefault="00177BD3" w:rsidP="00FC5C9C">
      <w:pPr>
        <w:jc w:val="both"/>
      </w:pPr>
      <w:proofErr w:type="spellStart"/>
      <w:r w:rsidRPr="009847D8">
        <w:t>Flubendazol</w:t>
      </w:r>
      <w:proofErr w:type="spellEnd"/>
      <w:r w:rsidRPr="009847D8">
        <w:t xml:space="preserve"> může způsobit přecitlivělost (alergii) a kontaktní dermatitidu. Veterinární léčivý přípravek také obsahuje </w:t>
      </w:r>
      <w:proofErr w:type="spellStart"/>
      <w:r w:rsidRPr="009847D8">
        <w:t>parahydroxibenzoáty</w:t>
      </w:r>
      <w:proofErr w:type="spellEnd"/>
      <w:r w:rsidRPr="009847D8">
        <w:t xml:space="preserve">, což může u dříve senzibilizovaných jedinců vyvolat kontaktní </w:t>
      </w:r>
      <w:r w:rsidR="00693B6C" w:rsidRPr="009847D8">
        <w:t>přecitlivělost</w:t>
      </w:r>
      <w:r w:rsidRPr="009847D8">
        <w:t>.</w:t>
      </w:r>
    </w:p>
    <w:p w14:paraId="68CA0C56" w14:textId="4C68FBAF" w:rsidR="003A31D0" w:rsidRPr="009847D8" w:rsidRDefault="00177BD3" w:rsidP="00FC5C9C">
      <w:pPr>
        <w:spacing w:line="240" w:lineRule="auto"/>
        <w:jc w:val="both"/>
      </w:pPr>
      <w:r w:rsidRPr="009847D8">
        <w:t>Veterinární léčivý přípravek může způsobit podráždění pokožky a očí.</w:t>
      </w:r>
    </w:p>
    <w:p w14:paraId="41B89748" w14:textId="01A5E004" w:rsidR="00177BD3" w:rsidRPr="009847D8" w:rsidRDefault="00693B6C" w:rsidP="00FC5C9C">
      <w:pPr>
        <w:spacing w:line="240" w:lineRule="auto"/>
        <w:jc w:val="both"/>
      </w:pPr>
      <w:r w:rsidRPr="009847D8">
        <w:t xml:space="preserve">Zabraňte </w:t>
      </w:r>
      <w:r w:rsidR="00177BD3" w:rsidRPr="009847D8">
        <w:t xml:space="preserve">přímému kontaktu s veterinárním léčivým přípravkem. Při </w:t>
      </w:r>
      <w:r w:rsidRPr="009847D8">
        <w:t xml:space="preserve">nakládání </w:t>
      </w:r>
      <w:r w:rsidR="00177BD3" w:rsidRPr="009847D8">
        <w:t xml:space="preserve">s veterinárním léčivým přípravkem </w:t>
      </w:r>
      <w:r w:rsidRPr="009847D8">
        <w:t xml:space="preserve">by se měly používat </w:t>
      </w:r>
      <w:r w:rsidR="00177BD3" w:rsidRPr="009847D8">
        <w:t>osobní ochranné prostředky</w:t>
      </w:r>
      <w:r w:rsidRPr="009847D8">
        <w:t xml:space="preserve"> skládající se z </w:t>
      </w:r>
      <w:r w:rsidR="00177BD3" w:rsidRPr="009847D8">
        <w:t>rukavic. Po použití si umyjte ruce.</w:t>
      </w:r>
    </w:p>
    <w:p w14:paraId="61908A62" w14:textId="4A51737A" w:rsidR="00177BD3" w:rsidRPr="009847D8" w:rsidRDefault="00177BD3" w:rsidP="00FC5C9C">
      <w:pPr>
        <w:spacing w:line="240" w:lineRule="auto"/>
        <w:jc w:val="both"/>
      </w:pPr>
      <w:r w:rsidRPr="009847D8">
        <w:t xml:space="preserve">Lidé se známou přecitlivělostí na </w:t>
      </w:r>
      <w:proofErr w:type="spellStart"/>
      <w:r w:rsidRPr="009847D8">
        <w:t>flubendazol</w:t>
      </w:r>
      <w:proofErr w:type="spellEnd"/>
      <w:r w:rsidRPr="009847D8">
        <w:t xml:space="preserve"> nebo na některou pomocnou látku (</w:t>
      </w:r>
      <w:proofErr w:type="spellStart"/>
      <w:r w:rsidRPr="009847D8">
        <w:t>methylparaben</w:t>
      </w:r>
      <w:proofErr w:type="spellEnd"/>
      <w:r w:rsidRPr="009847D8">
        <w:t xml:space="preserve"> a/nebo </w:t>
      </w:r>
      <w:proofErr w:type="spellStart"/>
      <w:r w:rsidRPr="009847D8">
        <w:t>propylparaben</w:t>
      </w:r>
      <w:proofErr w:type="spellEnd"/>
      <w:r w:rsidRPr="009847D8">
        <w:t xml:space="preserve">) </w:t>
      </w:r>
      <w:r w:rsidR="00693B6C" w:rsidRPr="009847D8">
        <w:t xml:space="preserve">by se měli vyhnout </w:t>
      </w:r>
      <w:r w:rsidRPr="009847D8">
        <w:t>kontaktu s veterinárním léčivým přípravkem.</w:t>
      </w:r>
    </w:p>
    <w:p w14:paraId="1C4DC2AB" w14:textId="31C7F945" w:rsidR="00177BD3" w:rsidRPr="009847D8" w:rsidRDefault="00177BD3" w:rsidP="00FC5C9C">
      <w:pPr>
        <w:spacing w:line="240" w:lineRule="auto"/>
        <w:jc w:val="both"/>
      </w:pPr>
      <w:r w:rsidRPr="009847D8">
        <w:t xml:space="preserve">V případě zasažení očí důkladně vyplachujte vodou. V případě </w:t>
      </w:r>
      <w:r w:rsidR="00693B6C" w:rsidRPr="009847D8">
        <w:t xml:space="preserve">výskytu a </w:t>
      </w:r>
      <w:r w:rsidRPr="009847D8">
        <w:t xml:space="preserve">přetrvávání zarudnutí spojivek vyhledejte lékařskou pomoc a </w:t>
      </w:r>
      <w:r w:rsidR="00693B6C" w:rsidRPr="009847D8">
        <w:t xml:space="preserve">ukažte </w:t>
      </w:r>
      <w:r w:rsidRPr="009847D8">
        <w:t>příbalovou informaci</w:t>
      </w:r>
      <w:r w:rsidR="00693B6C" w:rsidRPr="009847D8">
        <w:t xml:space="preserve"> lékaři</w:t>
      </w:r>
      <w:r w:rsidRPr="009847D8">
        <w:t xml:space="preserve">. </w:t>
      </w:r>
    </w:p>
    <w:p w14:paraId="2D2AF892" w14:textId="77777777" w:rsidR="00980240" w:rsidRPr="009847D8" w:rsidRDefault="00980240" w:rsidP="0098024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</w:p>
    <w:p w14:paraId="66EB2BBA" w14:textId="77777777" w:rsidR="00177BD3" w:rsidRPr="009847D8" w:rsidRDefault="00177BD3" w:rsidP="00177BD3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9847D8">
        <w:rPr>
          <w:szCs w:val="22"/>
          <w:u w:val="single"/>
        </w:rPr>
        <w:t>Zvláštní opatření pro ochranu životního prostředí:</w:t>
      </w:r>
    </w:p>
    <w:p w14:paraId="66F97A80" w14:textId="59AD0EDD" w:rsidR="00177BD3" w:rsidRPr="009847D8" w:rsidRDefault="00177BD3" w:rsidP="00177BD3">
      <w:pPr>
        <w:spacing w:line="240" w:lineRule="auto"/>
      </w:pPr>
      <w:r w:rsidRPr="009847D8">
        <w:t>Vzhledem k obavám o životní prostředí v případě použití</w:t>
      </w:r>
      <w:r w:rsidR="00354750" w:rsidRPr="009847D8">
        <w:t xml:space="preserve"> veterinárního léčivého</w:t>
      </w:r>
      <w:r w:rsidRPr="009847D8">
        <w:t xml:space="preserve"> přípravku u drůbeže nebo prasat ve volném výběhu musí být zvířata v průběhu léčby a 1 den po posledním ošetření držena uvnitř. </w:t>
      </w:r>
    </w:p>
    <w:p w14:paraId="615D359E" w14:textId="1049BE82" w:rsidR="00980240" w:rsidRPr="009847D8" w:rsidRDefault="00980240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</w:p>
    <w:p w14:paraId="3A73E814" w14:textId="29EC1E7D" w:rsidR="007E7566" w:rsidRPr="009847D8" w:rsidRDefault="00180498" w:rsidP="007E7566">
      <w:pPr>
        <w:tabs>
          <w:tab w:val="clear" w:pos="567"/>
        </w:tabs>
        <w:spacing w:line="240" w:lineRule="auto"/>
        <w:rPr>
          <w:rFonts w:eastAsia="SimSun"/>
          <w:szCs w:val="22"/>
          <w:u w:val="single"/>
          <w:lang w:eastAsia="en-GB"/>
        </w:rPr>
      </w:pPr>
      <w:r w:rsidRPr="009847D8">
        <w:rPr>
          <w:szCs w:val="22"/>
          <w:u w:val="single"/>
        </w:rPr>
        <w:t>Březost a laktace</w:t>
      </w:r>
      <w:r w:rsidR="007E7566" w:rsidRPr="009847D8">
        <w:rPr>
          <w:rFonts w:eastAsia="SimSun"/>
          <w:szCs w:val="22"/>
          <w:u w:val="single"/>
          <w:lang w:eastAsia="en-GB"/>
        </w:rPr>
        <w:t>:</w:t>
      </w:r>
    </w:p>
    <w:p w14:paraId="420E0CAC" w14:textId="5FB29FC2" w:rsidR="00180498" w:rsidRPr="009847D8" w:rsidRDefault="00364269" w:rsidP="007E7566">
      <w:pPr>
        <w:tabs>
          <w:tab w:val="clear" w:pos="567"/>
        </w:tabs>
        <w:spacing w:line="240" w:lineRule="auto"/>
        <w:rPr>
          <w:rFonts w:eastAsia="SimSun"/>
          <w:szCs w:val="22"/>
          <w:lang w:eastAsia="en-GB"/>
        </w:rPr>
      </w:pPr>
      <w:r>
        <w:rPr>
          <w:rFonts w:eastAsia="SimSun"/>
          <w:szCs w:val="22"/>
          <w:lang w:eastAsia="en-GB"/>
        </w:rPr>
        <w:t>Byla s</w:t>
      </w:r>
      <w:r w:rsidR="00180498" w:rsidRPr="009847D8">
        <w:rPr>
          <w:rFonts w:eastAsia="SimSun"/>
          <w:szCs w:val="22"/>
          <w:lang w:eastAsia="en-GB"/>
        </w:rPr>
        <w:t>tanovena bezpečnost veterinárního léčivého přípravku pro použití během březosti nebo laktace. Lze použít během březosti a laktace.</w:t>
      </w:r>
    </w:p>
    <w:p w14:paraId="0B9B284D" w14:textId="73691CD8" w:rsidR="007E7566" w:rsidRPr="009847D8" w:rsidRDefault="007E7566" w:rsidP="007E7566">
      <w:pPr>
        <w:tabs>
          <w:tab w:val="clear" w:pos="567"/>
        </w:tabs>
        <w:spacing w:line="240" w:lineRule="auto"/>
      </w:pPr>
      <w:r w:rsidRPr="009847D8">
        <w:t>Laboratorní studie na králících a potkanech nep</w:t>
      </w:r>
      <w:r w:rsidR="00F74EBB">
        <w:t>od</w:t>
      </w:r>
      <w:r w:rsidRPr="009847D8">
        <w:t xml:space="preserve">aly žádné </w:t>
      </w:r>
      <w:r w:rsidR="00364269">
        <w:t>důkazy o</w:t>
      </w:r>
      <w:r w:rsidR="00364269" w:rsidRPr="009847D8">
        <w:t xml:space="preserve"> </w:t>
      </w:r>
      <w:proofErr w:type="spellStart"/>
      <w:r w:rsidRPr="009847D8">
        <w:t>embryotoxicit</w:t>
      </w:r>
      <w:r w:rsidR="00364269">
        <w:t>ě</w:t>
      </w:r>
      <w:proofErr w:type="spellEnd"/>
      <w:r w:rsidRPr="009847D8">
        <w:t xml:space="preserve"> ani teratogenit</w:t>
      </w:r>
      <w:r w:rsidR="00364269">
        <w:t>ě</w:t>
      </w:r>
      <w:r w:rsidRPr="009847D8">
        <w:t xml:space="preserve"> v terapeutických dávkách. Vysoké dávky poskytly nejednoznačné výsledky. V laboratorních studiích na potkanech nebyly zjištěny žádné účinky na mláďata během laktace.</w:t>
      </w:r>
    </w:p>
    <w:p w14:paraId="11D390EB" w14:textId="5BCA9A68" w:rsidR="00180498" w:rsidRPr="009847D8" w:rsidRDefault="00180498" w:rsidP="007E7566">
      <w:pPr>
        <w:tabs>
          <w:tab w:val="clear" w:pos="567"/>
        </w:tabs>
        <w:spacing w:line="240" w:lineRule="auto"/>
        <w:rPr>
          <w:u w:val="single"/>
        </w:rPr>
      </w:pPr>
    </w:p>
    <w:p w14:paraId="06927182" w14:textId="6E2658FE" w:rsidR="00180498" w:rsidRPr="009847D8" w:rsidRDefault="00180498" w:rsidP="007E7566">
      <w:pPr>
        <w:tabs>
          <w:tab w:val="clear" w:pos="567"/>
        </w:tabs>
        <w:spacing w:line="240" w:lineRule="auto"/>
        <w:rPr>
          <w:u w:val="single"/>
        </w:rPr>
      </w:pPr>
      <w:r w:rsidRPr="009847D8">
        <w:rPr>
          <w:u w:val="single"/>
        </w:rPr>
        <w:t>Nosnice:</w:t>
      </w:r>
    </w:p>
    <w:p w14:paraId="5030EC9A" w14:textId="22847E76" w:rsidR="00180498" w:rsidRPr="009847D8" w:rsidRDefault="00364269" w:rsidP="007E7566">
      <w:pPr>
        <w:tabs>
          <w:tab w:val="clear" w:pos="567"/>
        </w:tabs>
        <w:spacing w:line="240" w:lineRule="auto"/>
      </w:pPr>
      <w:r>
        <w:t>Byla s</w:t>
      </w:r>
      <w:r w:rsidR="00180498" w:rsidRPr="009847D8">
        <w:t>tanovena bezpečnost veterinárního léčivého přípravku pro použití během snášky.</w:t>
      </w:r>
    </w:p>
    <w:p w14:paraId="0071C723" w14:textId="6E2F8123" w:rsidR="00153905" w:rsidRPr="009847D8" w:rsidRDefault="00180498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>Lze použít během</w:t>
      </w:r>
      <w:r w:rsidRPr="009847D8">
        <w:t xml:space="preserve"> </w:t>
      </w:r>
      <w:r w:rsidRPr="009847D8">
        <w:rPr>
          <w:rFonts w:asciiTheme="majorBidi" w:hAnsiTheme="majorBidi" w:cstheme="majorBidi"/>
          <w:szCs w:val="22"/>
        </w:rPr>
        <w:t>snášky.</w:t>
      </w:r>
    </w:p>
    <w:p w14:paraId="7616393D" w14:textId="77777777" w:rsidR="00180498" w:rsidRPr="009847D8" w:rsidRDefault="00180498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34224DA" w14:textId="77777777" w:rsidR="007E7566" w:rsidRPr="009847D8" w:rsidRDefault="007E7566" w:rsidP="007E7566">
      <w:pPr>
        <w:tabs>
          <w:tab w:val="clear" w:pos="567"/>
        </w:tabs>
        <w:spacing w:line="240" w:lineRule="auto"/>
        <w:rPr>
          <w:rFonts w:eastAsia="SimSun"/>
          <w:szCs w:val="22"/>
          <w:u w:val="single"/>
          <w:lang w:eastAsia="en-GB"/>
        </w:rPr>
      </w:pPr>
      <w:r w:rsidRPr="009847D8">
        <w:rPr>
          <w:rFonts w:eastAsia="SimSun"/>
          <w:szCs w:val="22"/>
          <w:u w:val="single"/>
          <w:lang w:eastAsia="en-GB"/>
        </w:rPr>
        <w:t>Předávkování:</w:t>
      </w:r>
    </w:p>
    <w:p w14:paraId="2B8CAE9E" w14:textId="2C7AB2D8" w:rsidR="007E7566" w:rsidRPr="009847D8" w:rsidRDefault="007E7566" w:rsidP="007E7566">
      <w:pPr>
        <w:tabs>
          <w:tab w:val="clear" w:pos="567"/>
        </w:tabs>
        <w:spacing w:line="240" w:lineRule="auto"/>
      </w:pPr>
      <w:proofErr w:type="spellStart"/>
      <w:r w:rsidRPr="009847D8">
        <w:t>Flubendazol</w:t>
      </w:r>
      <w:proofErr w:type="spellEnd"/>
      <w:r w:rsidRPr="009847D8">
        <w:t xml:space="preserve"> má nízkou akutní </w:t>
      </w:r>
      <w:r w:rsidR="00DF2952">
        <w:t>per</w:t>
      </w:r>
      <w:r w:rsidRPr="009847D8">
        <w:t>orální toxicitu.</w:t>
      </w:r>
    </w:p>
    <w:p w14:paraId="704E0655" w14:textId="4FF42F3C" w:rsidR="007E7566" w:rsidRPr="009847D8" w:rsidRDefault="007E7566" w:rsidP="007E7566">
      <w:pPr>
        <w:tabs>
          <w:tab w:val="clear" w:pos="567"/>
        </w:tabs>
        <w:spacing w:line="240" w:lineRule="auto"/>
      </w:pPr>
      <w:r w:rsidRPr="009847D8">
        <w:t>U ku</w:t>
      </w:r>
      <w:r w:rsidR="003F0C67">
        <w:t>ra domácího</w:t>
      </w:r>
      <w:r w:rsidRPr="009847D8">
        <w:t xml:space="preserve"> nebyly po podávání až 4násobku doporučené dávky po dobu 14 dnů pozorovány žádné nežádoucí účinky. Ani při podávání 4násobku doporučené dávky se nezmění kvalita vajec. Při podávání dvojnásobku doporučené dávky a více lze pozorovat pouze snížení hmotnosti vajec a mírný pokles produkce vajec. Po přerušení léčby se hmotnost vajec vrátí do normálu.</w:t>
      </w:r>
    </w:p>
    <w:p w14:paraId="5A2D8F17" w14:textId="77777777" w:rsidR="007E7566" w:rsidRPr="009847D8" w:rsidRDefault="007E7566" w:rsidP="007E7566">
      <w:pPr>
        <w:tabs>
          <w:tab w:val="clear" w:pos="567"/>
        </w:tabs>
        <w:spacing w:line="240" w:lineRule="auto"/>
      </w:pPr>
      <w:r w:rsidRPr="009847D8">
        <w:t xml:space="preserve">U prasat nebyly po podávání dávky 5 x 2,5 mg </w:t>
      </w:r>
      <w:proofErr w:type="spellStart"/>
      <w:r w:rsidRPr="009847D8">
        <w:t>flubendazolu</w:t>
      </w:r>
      <w:proofErr w:type="spellEnd"/>
      <w:r w:rsidRPr="009847D8">
        <w:t xml:space="preserve"> na kg po dobu 3 x 2 po sobě následujících dnů (tj. 12,5 mg </w:t>
      </w:r>
      <w:proofErr w:type="spellStart"/>
      <w:r w:rsidRPr="009847D8">
        <w:t>flubendazolu</w:t>
      </w:r>
      <w:proofErr w:type="spellEnd"/>
      <w:r w:rsidRPr="009847D8">
        <w:t xml:space="preserve"> po dobu 6 dnů) pozorovány žádné nežádoucí účinky.</w:t>
      </w:r>
    </w:p>
    <w:p w14:paraId="005A1CAE" w14:textId="65C4FDBE" w:rsidR="00D66FBF" w:rsidRPr="009847D8" w:rsidRDefault="007E7566" w:rsidP="00FF38B9">
      <w:pPr>
        <w:tabs>
          <w:tab w:val="clear" w:pos="567"/>
        </w:tabs>
        <w:spacing w:line="240" w:lineRule="auto"/>
      </w:pPr>
      <w:r w:rsidRPr="009847D8">
        <w:t xml:space="preserve">V případě významného předávkování se může </w:t>
      </w:r>
      <w:r w:rsidR="00C37F6B">
        <w:t>druhý den</w:t>
      </w:r>
      <w:r w:rsidRPr="009847D8">
        <w:t xml:space="preserve"> léčby objevit mírný přechodný průjem, který může trvat 7 až 12 dnů, aniž by to ovlivnilo chování nebo užitkovost zvířat.</w:t>
      </w:r>
    </w:p>
    <w:p w14:paraId="1C0AE0A2" w14:textId="77777777" w:rsidR="00153905" w:rsidRPr="009847D8" w:rsidRDefault="00980240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 xml:space="preserve"> </w:t>
      </w:r>
    </w:p>
    <w:p w14:paraId="68585AC7" w14:textId="73AFE6CC" w:rsidR="00FF38B9" w:rsidRPr="009847D8" w:rsidRDefault="0070165F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  <w:u w:val="single"/>
        </w:rPr>
        <w:t>Hlavní inkompatibility</w:t>
      </w:r>
      <w:r w:rsidR="00FF38B9" w:rsidRPr="009847D8">
        <w:rPr>
          <w:rFonts w:asciiTheme="majorBidi" w:hAnsiTheme="majorBidi" w:cstheme="majorBidi"/>
          <w:szCs w:val="22"/>
        </w:rPr>
        <w:t>:</w:t>
      </w:r>
    </w:p>
    <w:p w14:paraId="209F67CD" w14:textId="7F12895D" w:rsidR="00FF38B9" w:rsidRPr="009847D8" w:rsidRDefault="0070165F" w:rsidP="00FF38B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eastAsia="SimSun"/>
          <w:szCs w:val="22"/>
          <w:lang w:eastAsia="en-GB"/>
        </w:rPr>
        <w:t xml:space="preserve">Studie kompatibility nejsou k dispozici, a proto </w:t>
      </w:r>
      <w:bookmarkStart w:id="3" w:name="_Hlk129092517"/>
      <w:r w:rsidR="006021B0" w:rsidRPr="009847D8">
        <w:t>tento veterinární léčivý přípravek nesmí být mísen s žádnými dalšími veterinárními léčivými přípravky.</w:t>
      </w:r>
      <w:bookmarkEnd w:id="3"/>
    </w:p>
    <w:p w14:paraId="1E5DDF58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24DEB78" w14:textId="7FE83E8F" w:rsidR="00C114FF" w:rsidRPr="009847D8" w:rsidRDefault="00DE55E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7</w:t>
      </w:r>
      <w:r w:rsidR="00C114FF"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="00C114FF" w:rsidRPr="009847D8">
        <w:rPr>
          <w:rFonts w:asciiTheme="majorBidi" w:hAnsiTheme="majorBidi" w:cstheme="majorBidi"/>
          <w:b/>
          <w:szCs w:val="22"/>
        </w:rPr>
        <w:tab/>
      </w:r>
      <w:r w:rsidR="0070165F" w:rsidRPr="009847D8">
        <w:rPr>
          <w:rFonts w:asciiTheme="majorBidi" w:hAnsiTheme="majorBidi" w:cstheme="majorBidi"/>
          <w:b/>
          <w:szCs w:val="22"/>
        </w:rPr>
        <w:t>Nežádoucí účinky</w:t>
      </w:r>
    </w:p>
    <w:p w14:paraId="524F0C6C" w14:textId="77777777" w:rsidR="00E06684" w:rsidRPr="009847D8" w:rsidRDefault="00E06684" w:rsidP="00E0668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D9C5D0E" w14:textId="052CACD3" w:rsidR="003A31D0" w:rsidRPr="009847D8" w:rsidRDefault="0070165F" w:rsidP="00E0668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>Ku</w:t>
      </w:r>
      <w:r w:rsidR="0024773B">
        <w:rPr>
          <w:rFonts w:asciiTheme="majorBidi" w:hAnsiTheme="majorBidi" w:cstheme="majorBidi"/>
          <w:szCs w:val="22"/>
        </w:rPr>
        <w:t>r domácí</w:t>
      </w:r>
      <w:r w:rsidR="003A31D0" w:rsidRPr="009847D8">
        <w:rPr>
          <w:rFonts w:asciiTheme="majorBidi" w:hAnsiTheme="majorBidi" w:cstheme="majorBidi"/>
          <w:szCs w:val="2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244"/>
      </w:tblGrid>
      <w:tr w:rsidR="00DE55EF" w:rsidRPr="009847D8" w14:paraId="085373BB" w14:textId="77777777" w:rsidTr="00DE55EF">
        <w:tc>
          <w:tcPr>
            <w:tcW w:w="4822" w:type="dxa"/>
            <w:shd w:val="clear" w:color="auto" w:fill="auto"/>
          </w:tcPr>
          <w:p w14:paraId="7156D755" w14:textId="77777777" w:rsidR="0070165F" w:rsidRPr="009847D8" w:rsidRDefault="0070165F" w:rsidP="0070165F">
            <w:pPr>
              <w:tabs>
                <w:tab w:val="clear" w:pos="567"/>
              </w:tabs>
              <w:spacing w:line="240" w:lineRule="auto"/>
            </w:pPr>
            <w:r w:rsidRPr="009847D8">
              <w:t>Neurčená četnost</w:t>
            </w:r>
          </w:p>
          <w:p w14:paraId="5CFDAD7D" w14:textId="2B8FC979" w:rsidR="00FC0539" w:rsidRPr="009847D8" w:rsidRDefault="0070165F" w:rsidP="0070165F">
            <w:pPr>
              <w:tabs>
                <w:tab w:val="clear" w:pos="567"/>
              </w:tabs>
              <w:spacing w:line="240" w:lineRule="auto"/>
            </w:pPr>
            <w:r w:rsidRPr="009847D8">
              <w:t>(z dostupných dat nelze určit):</w:t>
            </w:r>
          </w:p>
        </w:tc>
        <w:tc>
          <w:tcPr>
            <w:tcW w:w="4244" w:type="dxa"/>
            <w:shd w:val="clear" w:color="auto" w:fill="auto"/>
          </w:tcPr>
          <w:p w14:paraId="0AF58747" w14:textId="6D5B1A2D" w:rsidR="00DE55EF" w:rsidRPr="009847D8" w:rsidRDefault="00F74EBB" w:rsidP="00FC0539">
            <w:pPr>
              <w:tabs>
                <w:tab w:val="clear" w:pos="567"/>
              </w:tabs>
              <w:spacing w:line="240" w:lineRule="auto"/>
            </w:pPr>
            <w:r>
              <w:rPr>
                <w:szCs w:val="22"/>
              </w:rPr>
              <w:t>Narušení vývoje peří</w:t>
            </w:r>
          </w:p>
        </w:tc>
      </w:tr>
    </w:tbl>
    <w:p w14:paraId="048B849C" w14:textId="77777777" w:rsidR="00DE55EF" w:rsidRPr="009847D8" w:rsidRDefault="00DE55EF" w:rsidP="00E0668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F3F6934" w14:textId="77777777" w:rsidR="00F74EBB" w:rsidRDefault="0070165F" w:rsidP="00F74EBB">
      <w:pPr>
        <w:tabs>
          <w:tab w:val="left" w:pos="-720"/>
        </w:tabs>
        <w:suppressAutoHyphens/>
        <w:rPr>
          <w:szCs w:val="22"/>
        </w:rPr>
      </w:pPr>
      <w:r w:rsidRPr="009847D8">
        <w:t>Hlášení nežádoucích účinků je důležité. Umožňuje nepřetržité sledování bezpečnosti veterinárního léčivého přípravku</w:t>
      </w:r>
      <w:r w:rsidRPr="009847D8">
        <w:rPr>
          <w:rFonts w:eastAsia="SimSun"/>
          <w:szCs w:val="22"/>
          <w:lang w:eastAsia="en-GB"/>
        </w:rPr>
        <w:t xml:space="preserve">. </w:t>
      </w:r>
      <w:r w:rsidRPr="009847D8">
        <w:rPr>
          <w:rFonts w:eastAsia="SimSun"/>
          <w:szCs w:val="22"/>
          <w:lang w:eastAsia="zh-CN"/>
        </w:rPr>
        <w:t xml:space="preserve">Jestliže zaznamenáte jakékoliv nežádoucí účinky, a to i takové, které nejsou uvedeny v této příbalové informaci, nebo si myslíte, že léčivo nefunguje, obraťte se prosím nejprve na svého veterinárního lékaře. </w:t>
      </w:r>
      <w:r w:rsidRPr="009847D8">
        <w:rPr>
          <w:rFonts w:eastAsia="SimSun"/>
          <w:szCs w:val="22"/>
          <w:lang w:eastAsia="en-GB"/>
        </w:rPr>
        <w:t xml:space="preserve"> Nežádoucí účinky můžete hlásit také držiteli rozhodnutí o registraci prostřednictvím kontaktních údajů na tomto štítku nebo prostřednictvím národního systému hlášení nežádoucích účinků</w:t>
      </w:r>
      <w:r w:rsidR="00F74EBB" w:rsidRPr="00F74EBB">
        <w:rPr>
          <w:szCs w:val="22"/>
        </w:rPr>
        <w:t xml:space="preserve"> </w:t>
      </w:r>
    </w:p>
    <w:p w14:paraId="4DA3F59B" w14:textId="10B6C8BB" w:rsidR="00F74EBB" w:rsidRPr="00180374" w:rsidRDefault="00F74EBB" w:rsidP="00F74EBB">
      <w:pPr>
        <w:tabs>
          <w:tab w:val="left" w:pos="-720"/>
        </w:tabs>
        <w:suppressAutoHyphens/>
        <w:rPr>
          <w:szCs w:val="22"/>
        </w:rPr>
      </w:pPr>
      <w:r w:rsidRPr="00180374">
        <w:rPr>
          <w:szCs w:val="22"/>
        </w:rPr>
        <w:t xml:space="preserve">Ústav pro státní kontrolu veterinárních biopreparátů a léčiv </w:t>
      </w:r>
    </w:p>
    <w:p w14:paraId="26120D82" w14:textId="77777777" w:rsidR="00F74EBB" w:rsidRPr="00180374" w:rsidRDefault="00F74EBB" w:rsidP="00F74EBB">
      <w:pPr>
        <w:tabs>
          <w:tab w:val="left" w:pos="-720"/>
        </w:tabs>
        <w:suppressAutoHyphens/>
        <w:rPr>
          <w:szCs w:val="22"/>
        </w:rPr>
      </w:pPr>
      <w:r w:rsidRPr="00180374">
        <w:rPr>
          <w:szCs w:val="22"/>
        </w:rPr>
        <w:lastRenderedPageBreak/>
        <w:t xml:space="preserve">Hudcova </w:t>
      </w:r>
      <w:proofErr w:type="gramStart"/>
      <w:r w:rsidRPr="00180374">
        <w:rPr>
          <w:szCs w:val="22"/>
        </w:rPr>
        <w:t>56a</w:t>
      </w:r>
      <w:proofErr w:type="gramEnd"/>
      <w:r w:rsidRPr="00180374">
        <w:rPr>
          <w:szCs w:val="22"/>
        </w:rPr>
        <w:t xml:space="preserve"> </w:t>
      </w:r>
    </w:p>
    <w:p w14:paraId="1D9CF1AC" w14:textId="77777777" w:rsidR="00F74EBB" w:rsidRPr="00180374" w:rsidRDefault="00F74EBB" w:rsidP="00F74EBB">
      <w:pPr>
        <w:tabs>
          <w:tab w:val="left" w:pos="-720"/>
        </w:tabs>
        <w:suppressAutoHyphens/>
        <w:rPr>
          <w:szCs w:val="22"/>
        </w:rPr>
      </w:pPr>
      <w:r w:rsidRPr="00180374">
        <w:rPr>
          <w:szCs w:val="22"/>
        </w:rPr>
        <w:t>621 00 Brno</w:t>
      </w:r>
    </w:p>
    <w:p w14:paraId="28F004DD" w14:textId="77777777" w:rsidR="00F74EBB" w:rsidRPr="00180374" w:rsidRDefault="00F74EBB" w:rsidP="00F74EBB">
      <w:pPr>
        <w:tabs>
          <w:tab w:val="left" w:pos="-720"/>
        </w:tabs>
        <w:suppressAutoHyphens/>
        <w:rPr>
          <w:szCs w:val="22"/>
        </w:rPr>
      </w:pPr>
      <w:r w:rsidRPr="00180374">
        <w:rPr>
          <w:szCs w:val="22"/>
        </w:rPr>
        <w:t xml:space="preserve">Mail: </w:t>
      </w:r>
      <w:hyperlink r:id="rId7" w:history="1">
        <w:r w:rsidRPr="00180374">
          <w:rPr>
            <w:rStyle w:val="Hypertextovodkaz"/>
            <w:szCs w:val="22"/>
          </w:rPr>
          <w:t>adr@uskvbl.cz</w:t>
        </w:r>
      </w:hyperlink>
    </w:p>
    <w:p w14:paraId="1AF760AA" w14:textId="77777777" w:rsidR="00F74EBB" w:rsidRPr="00180374" w:rsidRDefault="00F74EBB" w:rsidP="00F74EBB">
      <w:pPr>
        <w:tabs>
          <w:tab w:val="left" w:pos="-720"/>
        </w:tabs>
        <w:suppressAutoHyphens/>
        <w:rPr>
          <w:szCs w:val="22"/>
        </w:rPr>
      </w:pPr>
      <w:r w:rsidRPr="00180374">
        <w:rPr>
          <w:szCs w:val="22"/>
        </w:rPr>
        <w:t xml:space="preserve">Webové stránky: </w:t>
      </w:r>
      <w:hyperlink r:id="rId8" w:history="1">
        <w:r w:rsidRPr="00180374">
          <w:rPr>
            <w:rStyle w:val="Hypertextovodkaz"/>
            <w:szCs w:val="22"/>
          </w:rPr>
          <w:t>http://www.uskvbl.cz/cs/farmakovigilance</w:t>
        </w:r>
      </w:hyperlink>
    </w:p>
    <w:p w14:paraId="1C4F84B7" w14:textId="5B081A38" w:rsidR="0070165F" w:rsidRPr="009847D8" w:rsidRDefault="0070165F" w:rsidP="0070165F">
      <w:pPr>
        <w:tabs>
          <w:tab w:val="clear" w:pos="567"/>
        </w:tabs>
        <w:spacing w:line="240" w:lineRule="auto"/>
        <w:rPr>
          <w:rFonts w:eastAsia="SimSun"/>
          <w:szCs w:val="22"/>
          <w:lang w:eastAsia="en-GB"/>
        </w:rPr>
      </w:pPr>
    </w:p>
    <w:p w14:paraId="64755114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3B45FF5" w14:textId="4953E4A8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8.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7219CE" w:rsidRPr="009847D8">
        <w:rPr>
          <w:rFonts w:asciiTheme="majorBidi" w:hAnsiTheme="majorBidi" w:cstheme="majorBidi"/>
          <w:b/>
          <w:szCs w:val="22"/>
        </w:rPr>
        <w:t>D</w:t>
      </w:r>
      <w:r w:rsidR="0070165F" w:rsidRPr="009847D8">
        <w:rPr>
          <w:rFonts w:asciiTheme="majorBidi" w:hAnsiTheme="majorBidi" w:cstheme="majorBidi"/>
          <w:b/>
          <w:szCs w:val="22"/>
        </w:rPr>
        <w:t xml:space="preserve">ávkování pro každý druh, cesty a způsob podání </w:t>
      </w:r>
    </w:p>
    <w:p w14:paraId="39D1FEDD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482B3B5A" w14:textId="60E2C982" w:rsidR="00E06684" w:rsidRPr="009847D8" w:rsidRDefault="0024773B" w:rsidP="00E06684">
      <w:pPr>
        <w:spacing w:line="240" w:lineRule="auto"/>
      </w:pPr>
      <w:r>
        <w:t>Podání</w:t>
      </w:r>
      <w:r w:rsidRPr="009847D8">
        <w:t xml:space="preserve"> </w:t>
      </w:r>
      <w:r w:rsidR="0070165F" w:rsidRPr="009847D8">
        <w:t>v pitné vodě</w:t>
      </w:r>
      <w:r w:rsidR="00E06684" w:rsidRPr="009847D8">
        <w:t>.</w:t>
      </w:r>
    </w:p>
    <w:p w14:paraId="3D90C815" w14:textId="77777777" w:rsidR="00E06684" w:rsidRPr="009847D8" w:rsidRDefault="00E06684" w:rsidP="00E06684">
      <w:pPr>
        <w:spacing w:line="240" w:lineRule="auto"/>
      </w:pPr>
    </w:p>
    <w:p w14:paraId="5D7DC0C7" w14:textId="16514844" w:rsidR="00CF5E8C" w:rsidRPr="009847D8" w:rsidRDefault="00E06684" w:rsidP="00E06684">
      <w:pPr>
        <w:spacing w:line="240" w:lineRule="auto"/>
      </w:pPr>
      <w:r w:rsidRPr="009847D8">
        <w:t>D</w:t>
      </w:r>
      <w:r w:rsidR="0070165F" w:rsidRPr="009847D8">
        <w:t>ávkování</w:t>
      </w:r>
      <w:r w:rsidRPr="009847D8">
        <w:t>:</w:t>
      </w:r>
    </w:p>
    <w:p w14:paraId="474E0A28" w14:textId="77777777" w:rsidR="005D29D8" w:rsidRPr="009847D8" w:rsidRDefault="005D29D8" w:rsidP="00E06684">
      <w:pPr>
        <w:spacing w:line="240" w:lineRule="auto"/>
      </w:pPr>
    </w:p>
    <w:p w14:paraId="5061C63F" w14:textId="28F86D16" w:rsidR="00E06684" w:rsidRPr="009847D8" w:rsidRDefault="00E06684" w:rsidP="00E06684">
      <w:pPr>
        <w:spacing w:line="240" w:lineRule="auto"/>
      </w:pPr>
      <w:r w:rsidRPr="009847D8">
        <w:rPr>
          <w:u w:val="single"/>
        </w:rPr>
        <w:t>P</w:t>
      </w:r>
      <w:r w:rsidR="0070165F" w:rsidRPr="009847D8">
        <w:rPr>
          <w:u w:val="single"/>
        </w:rPr>
        <w:t>rasata</w:t>
      </w:r>
    </w:p>
    <w:p w14:paraId="51FF2CF6" w14:textId="3AEC63D2" w:rsidR="00E06684" w:rsidRPr="009847D8" w:rsidRDefault="00E06684" w:rsidP="00E06684">
      <w:pPr>
        <w:spacing w:line="240" w:lineRule="auto"/>
      </w:pPr>
      <w:r w:rsidRPr="009847D8">
        <w:t>2</w:t>
      </w:r>
      <w:r w:rsidR="0070165F" w:rsidRPr="009847D8">
        <w:t>,</w:t>
      </w:r>
      <w:r w:rsidRPr="009847D8">
        <w:t xml:space="preserve">5 mg </w:t>
      </w:r>
      <w:proofErr w:type="spellStart"/>
      <w:r w:rsidRPr="009847D8">
        <w:t>flubendazol</w:t>
      </w:r>
      <w:r w:rsidR="0070165F" w:rsidRPr="009847D8">
        <w:t>u</w:t>
      </w:r>
      <w:proofErr w:type="spellEnd"/>
      <w:r w:rsidRPr="009847D8">
        <w:t xml:space="preserve"> (= 0</w:t>
      </w:r>
      <w:r w:rsidR="0070165F" w:rsidRPr="009847D8">
        <w:t>,</w:t>
      </w:r>
      <w:r w:rsidRPr="009847D8">
        <w:t xml:space="preserve">0125 ml </w:t>
      </w:r>
      <w:r w:rsidR="0070165F" w:rsidRPr="009847D8">
        <w:t>nebo</w:t>
      </w:r>
      <w:r w:rsidR="00776A50" w:rsidRPr="009847D8">
        <w:t xml:space="preserve"> 0</w:t>
      </w:r>
      <w:r w:rsidR="0070165F" w:rsidRPr="009847D8">
        <w:t>,</w:t>
      </w:r>
      <w:r w:rsidR="00776A50" w:rsidRPr="009847D8">
        <w:t xml:space="preserve">0134 g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 xml:space="preserve">) </w:t>
      </w:r>
      <w:r w:rsidR="0070165F" w:rsidRPr="009847D8">
        <w:t xml:space="preserve">na kg </w:t>
      </w:r>
      <w:r w:rsidR="0024773B">
        <w:t>živé</w:t>
      </w:r>
      <w:r w:rsidR="0024773B" w:rsidRPr="009847D8">
        <w:t xml:space="preserve"> </w:t>
      </w:r>
      <w:r w:rsidR="0070165F" w:rsidRPr="009847D8">
        <w:t>hmotnosti denně po dobu 2 po sobě následujících dnů</w:t>
      </w:r>
      <w:r w:rsidRPr="009847D8">
        <w:t>.</w:t>
      </w:r>
    </w:p>
    <w:p w14:paraId="456CBD8C" w14:textId="77777777" w:rsidR="00E06684" w:rsidRPr="009847D8" w:rsidRDefault="00E06684" w:rsidP="00E06684">
      <w:pPr>
        <w:spacing w:line="240" w:lineRule="auto"/>
      </w:pPr>
    </w:p>
    <w:p w14:paraId="77B07813" w14:textId="19BE4921" w:rsidR="00E06684" w:rsidRPr="009847D8" w:rsidRDefault="0070165F" w:rsidP="00E06684">
      <w:pPr>
        <w:spacing w:line="240" w:lineRule="auto"/>
        <w:rPr>
          <w:u w:val="single"/>
        </w:rPr>
      </w:pPr>
      <w:r w:rsidRPr="009847D8">
        <w:rPr>
          <w:u w:val="single"/>
        </w:rPr>
        <w:t>Ku</w:t>
      </w:r>
      <w:r w:rsidR="0024773B">
        <w:rPr>
          <w:u w:val="single"/>
        </w:rPr>
        <w:t>r domácí</w:t>
      </w:r>
    </w:p>
    <w:p w14:paraId="47FB7766" w14:textId="340848A9" w:rsidR="00E06684" w:rsidRPr="009847D8" w:rsidRDefault="00E06684" w:rsidP="00E06684">
      <w:pPr>
        <w:spacing w:line="240" w:lineRule="auto"/>
      </w:pPr>
      <w:r w:rsidRPr="009847D8">
        <w:t>1</w:t>
      </w:r>
      <w:r w:rsidR="0070165F" w:rsidRPr="009847D8">
        <w:t>,</w:t>
      </w:r>
      <w:r w:rsidRPr="009847D8">
        <w:t xml:space="preserve">43 mg </w:t>
      </w:r>
      <w:proofErr w:type="spellStart"/>
      <w:r w:rsidRPr="009847D8">
        <w:t>flubendazol</w:t>
      </w:r>
      <w:r w:rsidR="0070165F" w:rsidRPr="009847D8">
        <w:t>u</w:t>
      </w:r>
      <w:proofErr w:type="spellEnd"/>
      <w:r w:rsidRPr="009847D8">
        <w:t xml:space="preserve"> (= 0</w:t>
      </w:r>
      <w:r w:rsidR="0070165F" w:rsidRPr="009847D8">
        <w:t>,</w:t>
      </w:r>
      <w:r w:rsidRPr="009847D8">
        <w:t xml:space="preserve">007 ml </w:t>
      </w:r>
      <w:r w:rsidR="0070165F" w:rsidRPr="009847D8">
        <w:t>nebo</w:t>
      </w:r>
      <w:r w:rsidR="00776A50" w:rsidRPr="009847D8">
        <w:t xml:space="preserve"> 0</w:t>
      </w:r>
      <w:r w:rsidR="0070165F" w:rsidRPr="009847D8">
        <w:t>,</w:t>
      </w:r>
      <w:r w:rsidR="00776A50" w:rsidRPr="009847D8">
        <w:t>007</w:t>
      </w:r>
      <w:r w:rsidR="00082830" w:rsidRPr="009847D8">
        <w:t>5</w:t>
      </w:r>
      <w:r w:rsidR="00776A50" w:rsidRPr="009847D8">
        <w:t xml:space="preserve"> g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>)</w:t>
      </w:r>
      <w:r w:rsidR="0070165F" w:rsidRPr="009847D8">
        <w:t xml:space="preserve"> na kg </w:t>
      </w:r>
      <w:r w:rsidR="0024773B">
        <w:t>živé</w:t>
      </w:r>
      <w:r w:rsidR="0024773B" w:rsidRPr="009847D8">
        <w:t xml:space="preserve"> </w:t>
      </w:r>
      <w:r w:rsidR="0070165F" w:rsidRPr="009847D8">
        <w:t>hmotnosti denně po dobu 7 po sobě následujících dnů</w:t>
      </w:r>
      <w:r w:rsidRPr="009847D8">
        <w:t>.</w:t>
      </w:r>
    </w:p>
    <w:p w14:paraId="15205FB2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1603E8C3" w14:textId="4D30B35E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9.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3361BA" w:rsidRPr="009847D8">
        <w:rPr>
          <w:rFonts w:asciiTheme="majorBidi" w:hAnsiTheme="majorBidi" w:cstheme="majorBidi"/>
          <w:b/>
          <w:szCs w:val="22"/>
        </w:rPr>
        <w:t>Informace o správném podávání</w:t>
      </w:r>
    </w:p>
    <w:p w14:paraId="2F05440D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1FE20E2" w14:textId="14F7FC79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 xml:space="preserve">Pro zajištění správného dávkování je třeba co nejpřesněji stanovit živou hmotnost. Pokud se mají zvířata léčit spíše </w:t>
      </w:r>
      <w:r w:rsidR="00F31929">
        <w:t>hromadně</w:t>
      </w:r>
      <w:r w:rsidR="00F31929" w:rsidRPr="009847D8">
        <w:t xml:space="preserve"> </w:t>
      </w:r>
      <w:r w:rsidRPr="009847D8">
        <w:t xml:space="preserve">než individuálně, musí se seskupit </w:t>
      </w:r>
      <w:r w:rsidR="00F31929">
        <w:t xml:space="preserve">na základě živé </w:t>
      </w:r>
      <w:r w:rsidRPr="009847D8">
        <w:t>hmotnost</w:t>
      </w:r>
      <w:r w:rsidR="00F31929">
        <w:t>i</w:t>
      </w:r>
      <w:r w:rsidRPr="009847D8">
        <w:t xml:space="preserve"> a </w:t>
      </w:r>
      <w:r w:rsidR="00F31929">
        <w:t>dávkování provedeno tak</w:t>
      </w:r>
      <w:r w:rsidRPr="009847D8">
        <w:t xml:space="preserve">, aby se </w:t>
      </w:r>
      <w:r w:rsidR="00F31929">
        <w:t>zabránilo</w:t>
      </w:r>
      <w:r w:rsidR="00F31929" w:rsidRPr="009847D8">
        <w:t xml:space="preserve"> </w:t>
      </w:r>
      <w:r w:rsidRPr="009847D8">
        <w:t xml:space="preserve">předávkování nebo </w:t>
      </w:r>
      <w:proofErr w:type="spellStart"/>
      <w:r w:rsidR="00F31929">
        <w:t>poddávkování</w:t>
      </w:r>
      <w:proofErr w:type="spellEnd"/>
      <w:r w:rsidRPr="009847D8">
        <w:t xml:space="preserve">.  </w:t>
      </w:r>
    </w:p>
    <w:p w14:paraId="2BBC4A83" w14:textId="77777777" w:rsidR="004A2A42" w:rsidRPr="009847D8" w:rsidRDefault="004A2A42" w:rsidP="004A2A42">
      <w:pPr>
        <w:rPr>
          <w:szCs w:val="22"/>
        </w:rPr>
      </w:pPr>
    </w:p>
    <w:p w14:paraId="6BA2DC95" w14:textId="77777777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>Na základě doporučené dávky a počtu a hmotnosti zvířat, která mají být léčena, je třeba vypočítat přesnou denní koncentraci veterinárního léčivého přípravku podle následujícího vzorce:</w:t>
      </w:r>
    </w:p>
    <w:p w14:paraId="5634272F" w14:textId="77777777" w:rsidR="004A2A42" w:rsidRPr="009847D8" w:rsidRDefault="004A2A42" w:rsidP="004A2A42">
      <w:pPr>
        <w:tabs>
          <w:tab w:val="clear" w:pos="567"/>
        </w:tabs>
        <w:spacing w:line="240" w:lineRule="auto"/>
        <w:rPr>
          <w:sz w:val="18"/>
          <w:szCs w:val="18"/>
        </w:rPr>
      </w:pPr>
    </w:p>
    <w:p w14:paraId="1D818C99" w14:textId="089D679D" w:rsidR="003361BA" w:rsidRPr="009847D8" w:rsidRDefault="004A2A42" w:rsidP="003361BA">
      <w:pPr>
        <w:rPr>
          <w:rFonts w:eastAsia="SimSun"/>
          <w:sz w:val="18"/>
          <w:szCs w:val="18"/>
          <w:lang w:eastAsia="en-GB"/>
        </w:rPr>
      </w:pPr>
      <w:r w:rsidRPr="009847D8">
        <w:rPr>
          <w:sz w:val="18"/>
          <w:szCs w:val="18"/>
        </w:rPr>
        <w:tab/>
      </w:r>
      <w:r w:rsidR="003361BA" w:rsidRPr="009847D8">
        <w:rPr>
          <w:rFonts w:eastAsia="SimSun"/>
          <w:sz w:val="18"/>
          <w:szCs w:val="18"/>
          <w:lang w:eastAsia="en-GB"/>
        </w:rPr>
        <w:t xml:space="preserve">ml veterinárního léčivého přípravku/ </w:t>
      </w:r>
      <w:r w:rsidR="003361BA" w:rsidRPr="009847D8">
        <w:rPr>
          <w:rFonts w:eastAsia="SimSun"/>
          <w:sz w:val="18"/>
          <w:szCs w:val="18"/>
          <w:lang w:eastAsia="en-GB"/>
        </w:rPr>
        <w:tab/>
      </w:r>
      <w:r w:rsidR="003361BA" w:rsidRPr="009847D8">
        <w:rPr>
          <w:rFonts w:eastAsia="SimSun"/>
          <w:sz w:val="18"/>
          <w:szCs w:val="18"/>
          <w:lang w:eastAsia="en-GB"/>
        </w:rPr>
        <w:tab/>
      </w:r>
      <w:r w:rsidR="003361BA" w:rsidRPr="009847D8">
        <w:rPr>
          <w:rFonts w:eastAsia="SimSun"/>
          <w:sz w:val="18"/>
          <w:szCs w:val="18"/>
          <w:lang w:eastAsia="en-GB"/>
        </w:rPr>
        <w:tab/>
        <w:t xml:space="preserve">průměrná </w:t>
      </w:r>
      <w:r w:rsidR="00811B2B">
        <w:rPr>
          <w:rFonts w:eastAsia="SimSun"/>
          <w:sz w:val="18"/>
          <w:szCs w:val="18"/>
          <w:lang w:eastAsia="en-GB"/>
        </w:rPr>
        <w:t>živá</w:t>
      </w:r>
      <w:r w:rsidR="00811B2B" w:rsidRPr="009847D8">
        <w:rPr>
          <w:rFonts w:eastAsia="SimSun"/>
          <w:sz w:val="18"/>
          <w:szCs w:val="18"/>
          <w:lang w:eastAsia="en-GB"/>
        </w:rPr>
        <w:t xml:space="preserve"> </w:t>
      </w:r>
      <w:r w:rsidR="003361BA" w:rsidRPr="009847D8">
        <w:rPr>
          <w:rFonts w:eastAsia="SimSun"/>
          <w:sz w:val="18"/>
          <w:szCs w:val="18"/>
          <w:lang w:eastAsia="en-GB"/>
        </w:rPr>
        <w:t>hmotnost (kg)</w:t>
      </w:r>
    </w:p>
    <w:p w14:paraId="0DFB8C59" w14:textId="29F2E762" w:rsidR="003361BA" w:rsidRPr="009847D8" w:rsidRDefault="003361BA" w:rsidP="003361BA">
      <w:pPr>
        <w:tabs>
          <w:tab w:val="clear" w:pos="567"/>
        </w:tabs>
        <w:spacing w:line="240" w:lineRule="auto"/>
        <w:rPr>
          <w:rFonts w:eastAsia="SimSun"/>
          <w:sz w:val="18"/>
          <w:szCs w:val="18"/>
          <w:lang w:eastAsia="en-GB"/>
        </w:rPr>
      </w:pPr>
      <w:r w:rsidRPr="009847D8">
        <w:rPr>
          <w:rFonts w:eastAsia="SimSun"/>
          <w:sz w:val="18"/>
          <w:szCs w:val="18"/>
          <w:lang w:eastAsia="en-GB"/>
        </w:rPr>
        <w:tab/>
        <w:t xml:space="preserve">kg </w:t>
      </w:r>
      <w:r w:rsidR="00F86FE2">
        <w:rPr>
          <w:rFonts w:eastAsia="SimSun"/>
          <w:sz w:val="18"/>
          <w:szCs w:val="18"/>
          <w:lang w:eastAsia="en-GB"/>
        </w:rPr>
        <w:t>živé</w:t>
      </w:r>
      <w:r w:rsidR="00F86FE2" w:rsidRPr="009847D8">
        <w:rPr>
          <w:rFonts w:eastAsia="SimSun"/>
          <w:sz w:val="18"/>
          <w:szCs w:val="18"/>
          <w:lang w:eastAsia="en-GB"/>
        </w:rPr>
        <w:t xml:space="preserve"> </w:t>
      </w:r>
      <w:r w:rsidRPr="009847D8">
        <w:rPr>
          <w:rFonts w:eastAsia="SimSun"/>
          <w:sz w:val="18"/>
          <w:szCs w:val="18"/>
          <w:lang w:eastAsia="en-GB"/>
        </w:rPr>
        <w:t>hmotnosti/den</w:t>
      </w:r>
      <w:r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ab/>
        <w:t>x</w:t>
      </w:r>
      <w:r w:rsidRPr="009847D8">
        <w:rPr>
          <w:rFonts w:eastAsia="SimSun"/>
          <w:sz w:val="18"/>
          <w:szCs w:val="18"/>
          <w:lang w:eastAsia="en-GB"/>
        </w:rPr>
        <w:tab/>
      </w:r>
      <w:r w:rsidR="00F86FE2">
        <w:rPr>
          <w:rFonts w:eastAsia="SimSun"/>
          <w:sz w:val="18"/>
          <w:szCs w:val="18"/>
          <w:lang w:eastAsia="en-GB"/>
        </w:rPr>
        <w:t xml:space="preserve">léčených </w:t>
      </w:r>
      <w:r w:rsidRPr="009847D8">
        <w:rPr>
          <w:rFonts w:eastAsia="SimSun"/>
          <w:sz w:val="18"/>
          <w:szCs w:val="18"/>
          <w:lang w:eastAsia="en-GB"/>
        </w:rPr>
        <w:t>zvířat</w:t>
      </w:r>
    </w:p>
    <w:p w14:paraId="0643DFBE" w14:textId="1941E9DC" w:rsidR="003361BA" w:rsidRPr="009847D8" w:rsidRDefault="003361BA" w:rsidP="008D38D4">
      <w:pPr>
        <w:tabs>
          <w:tab w:val="clear" w:pos="567"/>
        </w:tabs>
        <w:spacing w:line="240" w:lineRule="auto"/>
        <w:ind w:left="7368" w:hanging="288"/>
        <w:rPr>
          <w:rFonts w:eastAsia="SimSun"/>
          <w:sz w:val="18"/>
          <w:szCs w:val="18"/>
          <w:lang w:eastAsia="en-GB"/>
        </w:rPr>
      </w:pPr>
      <w:r w:rsidRPr="009847D8">
        <w:rPr>
          <w:rFonts w:eastAsia="SimSu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21039" wp14:editId="7FB510E0">
                <wp:simplePos x="0" y="0"/>
                <wp:positionH relativeFrom="column">
                  <wp:posOffset>308610</wp:posOffset>
                </wp:positionH>
                <wp:positionV relativeFrom="paragraph">
                  <wp:posOffset>92710</wp:posOffset>
                </wp:positionV>
                <wp:extent cx="407733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3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.3pt;margin-top:7.3pt;width:32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rPJQIAAEoEAAAOAAAAZHJzL2Uyb0RvYy54bWysVMGO2jAQvVfqP1i+QxIILESE1SqBXrYt&#10;EtsPMLaTWE08lm0IqOq/1zYBs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"/>
            </w:pict>
          </mc:Fallback>
        </mc:AlternateContent>
      </w:r>
      <w:r w:rsidRPr="009847D8">
        <w:rPr>
          <w:rFonts w:eastAsia="SimSun"/>
          <w:sz w:val="18"/>
          <w:szCs w:val="18"/>
          <w:lang w:eastAsia="en-GB"/>
        </w:rPr>
        <w:t>=</w:t>
      </w:r>
      <w:r w:rsidRPr="009847D8">
        <w:rPr>
          <w:rFonts w:eastAsia="SimSun"/>
          <w:sz w:val="18"/>
          <w:szCs w:val="18"/>
          <w:lang w:eastAsia="en-GB"/>
        </w:rPr>
        <w:tab/>
        <w:t>ml veterinárního léčivého</w:t>
      </w:r>
      <w:r w:rsidR="008D38D4" w:rsidRPr="009847D8">
        <w:rPr>
          <w:rFonts w:eastAsia="SimSun"/>
          <w:sz w:val="18"/>
          <w:szCs w:val="18"/>
          <w:lang w:eastAsia="en-GB"/>
        </w:rPr>
        <w:t xml:space="preserve"> přípravu</w:t>
      </w:r>
    </w:p>
    <w:p w14:paraId="74EB3258" w14:textId="1AC55D98" w:rsidR="003361BA" w:rsidRPr="009847D8" w:rsidRDefault="003361BA" w:rsidP="003361BA">
      <w:pPr>
        <w:tabs>
          <w:tab w:val="clear" w:pos="567"/>
        </w:tabs>
        <w:spacing w:line="240" w:lineRule="auto"/>
        <w:ind w:left="5040" w:hanging="2880"/>
        <w:rPr>
          <w:rFonts w:eastAsia="SimSun"/>
          <w:sz w:val="18"/>
          <w:szCs w:val="18"/>
          <w:lang w:eastAsia="en-GB"/>
        </w:rPr>
      </w:pPr>
      <w:r w:rsidRPr="009847D8">
        <w:rPr>
          <w:rFonts w:eastAsia="SimSun"/>
          <w:sz w:val="18"/>
          <w:szCs w:val="18"/>
          <w:lang w:eastAsia="en-GB"/>
        </w:rPr>
        <w:t xml:space="preserve">Průměrný denní příjem vody (l/zvíře) </w:t>
      </w:r>
      <w:r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ab/>
      </w:r>
      <w:r w:rsidR="008D38D4" w:rsidRPr="009847D8">
        <w:rPr>
          <w:rFonts w:eastAsia="SimSun"/>
          <w:sz w:val="18"/>
          <w:szCs w:val="18"/>
          <w:lang w:eastAsia="en-GB"/>
        </w:rPr>
        <w:tab/>
      </w:r>
      <w:r w:rsidR="008D38D4" w:rsidRPr="009847D8">
        <w:rPr>
          <w:rFonts w:eastAsia="SimSun"/>
          <w:sz w:val="18"/>
          <w:szCs w:val="18"/>
          <w:lang w:eastAsia="en-GB"/>
        </w:rPr>
        <w:tab/>
      </w:r>
      <w:r w:rsidRPr="009847D8">
        <w:rPr>
          <w:rFonts w:eastAsia="SimSun"/>
          <w:sz w:val="18"/>
          <w:szCs w:val="18"/>
          <w:lang w:eastAsia="en-GB"/>
        </w:rPr>
        <w:t>na litr pitné vody</w:t>
      </w:r>
    </w:p>
    <w:p w14:paraId="1181D917" w14:textId="7DF74E41" w:rsidR="004A2A42" w:rsidRPr="009847D8" w:rsidRDefault="004A2A42" w:rsidP="003361BA">
      <w:pPr>
        <w:rPr>
          <w:sz w:val="18"/>
          <w:szCs w:val="18"/>
        </w:rPr>
      </w:pPr>
    </w:p>
    <w:p w14:paraId="65C5441C" w14:textId="77777777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 xml:space="preserve">Průměrný denní příjem vody se musí odhadnout ze spotřeby vody v předchozím dnu a pro výpočet objemu </w:t>
      </w:r>
      <w:proofErr w:type="spellStart"/>
      <w:r w:rsidRPr="009847D8">
        <w:t>medikované</w:t>
      </w:r>
      <w:proofErr w:type="spellEnd"/>
      <w:r w:rsidRPr="009847D8">
        <w:t xml:space="preserve"> vody, která se má připravit, se použije 90 % tohoto objemu. </w:t>
      </w:r>
    </w:p>
    <w:p w14:paraId="572F6061" w14:textId="77777777" w:rsidR="00776A50" w:rsidRPr="009847D8" w:rsidRDefault="00776A50" w:rsidP="00776A50">
      <w:pPr>
        <w:rPr>
          <w:szCs w:val="22"/>
        </w:rPr>
      </w:pPr>
    </w:p>
    <w:p w14:paraId="4F9151C3" w14:textId="4D3D90BA" w:rsidR="00776A50" w:rsidRPr="009847D8" w:rsidRDefault="003361BA" w:rsidP="00776A50">
      <w:pPr>
        <w:rPr>
          <w:i/>
          <w:szCs w:val="22"/>
          <w:u w:val="single"/>
        </w:rPr>
      </w:pPr>
      <w:r w:rsidRPr="009847D8">
        <w:rPr>
          <w:i/>
          <w:szCs w:val="22"/>
          <w:u w:val="single"/>
        </w:rPr>
        <w:t>Způsob podávání</w:t>
      </w:r>
    </w:p>
    <w:p w14:paraId="14FA8E98" w14:textId="77777777" w:rsidR="00776A50" w:rsidRPr="009847D8" w:rsidRDefault="00776A50" w:rsidP="00776A50">
      <w:pPr>
        <w:rPr>
          <w:szCs w:val="22"/>
        </w:rPr>
      </w:pPr>
    </w:p>
    <w:p w14:paraId="0E1B86C6" w14:textId="7BFE5E72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 xml:space="preserve">Pokud se používá váha, lze požadovaný objem zjistit na základě následujícího výpočtu: množství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 xml:space="preserve"> v gramech na den = počet ml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>, potřebného na den x 1,075.</w:t>
      </w:r>
    </w:p>
    <w:p w14:paraId="510E03AA" w14:textId="77777777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>Je třeba důkladně zkontrolovat přesnost dávkovacího zařízení.</w:t>
      </w:r>
    </w:p>
    <w:p w14:paraId="678E0259" w14:textId="77777777" w:rsidR="00776A50" w:rsidRPr="009847D8" w:rsidRDefault="00776A50" w:rsidP="004A2A42">
      <w:pPr>
        <w:rPr>
          <w:szCs w:val="22"/>
        </w:rPr>
      </w:pPr>
    </w:p>
    <w:p w14:paraId="394C9A46" w14:textId="3ED089F5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>Před použitím je třeba nádobu s </w:t>
      </w:r>
      <w:r w:rsidR="00180498" w:rsidRPr="009847D8">
        <w:rPr>
          <w:rFonts w:eastAsia="SimSun"/>
          <w:szCs w:val="18"/>
          <w:lang w:eastAsia="en-GB"/>
        </w:rPr>
        <w:t>veterinárního léčivého</w:t>
      </w:r>
      <w:r w:rsidR="00180498" w:rsidRPr="009847D8">
        <w:t xml:space="preserve"> </w:t>
      </w:r>
      <w:r w:rsidRPr="009847D8">
        <w:t>přípravkem řádně protřepávat po dobu 20 sekund.</w:t>
      </w:r>
    </w:p>
    <w:p w14:paraId="6A8E3EF9" w14:textId="25C74F9C" w:rsidR="004A2A42" w:rsidRPr="009847D8" w:rsidRDefault="004A2A42" w:rsidP="004A2A42">
      <w:pPr>
        <w:rPr>
          <w:szCs w:val="22"/>
        </w:rPr>
      </w:pPr>
    </w:p>
    <w:p w14:paraId="6E12C460" w14:textId="66A3551A" w:rsidR="00776A50" w:rsidRPr="009847D8" w:rsidRDefault="003361BA" w:rsidP="004A2A42">
      <w:pPr>
        <w:rPr>
          <w:szCs w:val="22"/>
          <w:u w:val="single"/>
        </w:rPr>
      </w:pPr>
      <w:r w:rsidRPr="009847D8">
        <w:rPr>
          <w:szCs w:val="22"/>
          <w:u w:val="single"/>
        </w:rPr>
        <w:t>Pro použití v </w:t>
      </w:r>
      <w:r w:rsidR="002026B2">
        <w:rPr>
          <w:szCs w:val="22"/>
          <w:u w:val="single"/>
        </w:rPr>
        <w:t>medikační nádrži</w:t>
      </w:r>
      <w:r w:rsidR="004A2A42" w:rsidRPr="009847D8">
        <w:rPr>
          <w:szCs w:val="22"/>
          <w:u w:val="single"/>
        </w:rPr>
        <w:t xml:space="preserve"> </w:t>
      </w:r>
    </w:p>
    <w:p w14:paraId="6104829F" w14:textId="7A9523D7" w:rsidR="004A2A42" w:rsidRPr="009847D8" w:rsidRDefault="003361BA" w:rsidP="003361BA">
      <w:pPr>
        <w:tabs>
          <w:tab w:val="clear" w:pos="567"/>
        </w:tabs>
        <w:spacing w:line="240" w:lineRule="auto"/>
      </w:pPr>
      <w:bookmarkStart w:id="4" w:name="_Hlk125630089"/>
      <w:r w:rsidRPr="009847D8">
        <w:t xml:space="preserve">Vypočtený objem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 xml:space="preserve"> přidejte k </w:t>
      </w:r>
      <w:r w:rsidR="002026B2">
        <w:t>množství</w:t>
      </w:r>
      <w:r w:rsidR="002026B2" w:rsidRPr="009847D8">
        <w:t xml:space="preserve"> </w:t>
      </w:r>
      <w:r w:rsidRPr="009847D8">
        <w:t xml:space="preserve">pitné vody, která </w:t>
      </w:r>
      <w:r w:rsidR="002026B2">
        <w:t xml:space="preserve">bude </w:t>
      </w:r>
      <w:r w:rsidRPr="009847D8">
        <w:t>spotřebov</w:t>
      </w:r>
      <w:r w:rsidR="002026B2">
        <w:t>ána</w:t>
      </w:r>
      <w:r w:rsidRPr="009847D8">
        <w:t xml:space="preserve"> a suspenzi míchejte ručním </w:t>
      </w:r>
      <w:r w:rsidR="002026B2">
        <w:t>míchadlem</w:t>
      </w:r>
      <w:r w:rsidR="002026B2" w:rsidRPr="009847D8">
        <w:t xml:space="preserve"> </w:t>
      </w:r>
      <w:r w:rsidRPr="009847D8">
        <w:t>(</w:t>
      </w:r>
      <w:r w:rsidR="002026B2">
        <w:t>metlou</w:t>
      </w:r>
      <w:r w:rsidRPr="009847D8">
        <w:t>) po dobu alespoň 20 sekund, až bude směs mírně zakalená, což znamená, že je směs homogenní</w:t>
      </w:r>
      <w:bookmarkEnd w:id="4"/>
      <w:r w:rsidR="00776A50" w:rsidRPr="009847D8">
        <w:rPr>
          <w:szCs w:val="22"/>
        </w:rPr>
        <w:t>.</w:t>
      </w:r>
    </w:p>
    <w:p w14:paraId="0513EF66" w14:textId="77777777" w:rsidR="00776A50" w:rsidRPr="009847D8" w:rsidRDefault="00776A50" w:rsidP="004A2A42">
      <w:pPr>
        <w:rPr>
          <w:szCs w:val="22"/>
        </w:rPr>
      </w:pPr>
    </w:p>
    <w:p w14:paraId="58D05175" w14:textId="77777777" w:rsidR="003361BA" w:rsidRPr="009847D8" w:rsidRDefault="003361BA" w:rsidP="003361BA">
      <w:pPr>
        <w:tabs>
          <w:tab w:val="clear" w:pos="567"/>
        </w:tabs>
        <w:spacing w:line="240" w:lineRule="auto"/>
        <w:rPr>
          <w:u w:val="single"/>
        </w:rPr>
      </w:pPr>
      <w:r w:rsidRPr="009847D8">
        <w:rPr>
          <w:u w:val="single"/>
        </w:rPr>
        <w:t>Pro použití v dávkovací pumpě</w:t>
      </w:r>
    </w:p>
    <w:p w14:paraId="4AD1C9DF" w14:textId="4A8CEF7C" w:rsidR="003361BA" w:rsidRPr="009847D8" w:rsidRDefault="003361BA" w:rsidP="003361BA">
      <w:pPr>
        <w:tabs>
          <w:tab w:val="clear" w:pos="567"/>
        </w:tabs>
        <w:spacing w:line="240" w:lineRule="auto"/>
      </w:pPr>
      <w:r w:rsidRPr="009847D8">
        <w:t xml:space="preserve">Vypočtený objem </w:t>
      </w:r>
      <w:r w:rsidR="00180498" w:rsidRPr="009847D8">
        <w:rPr>
          <w:rFonts w:eastAsia="SimSun"/>
          <w:szCs w:val="18"/>
          <w:lang w:eastAsia="en-GB"/>
        </w:rPr>
        <w:t>veterinárního léčivého přípravku</w:t>
      </w:r>
      <w:r w:rsidRPr="009847D8">
        <w:t xml:space="preserve"> přidejte k pitné vod</w:t>
      </w:r>
      <w:r w:rsidR="00982A3F">
        <w:t>ě</w:t>
      </w:r>
      <w:r w:rsidRPr="009847D8">
        <w:t xml:space="preserve"> v zásobní nádobě dávkovací </w:t>
      </w:r>
      <w:r w:rsidR="00982A3F">
        <w:t>pumpy</w:t>
      </w:r>
      <w:r w:rsidR="00982A3F" w:rsidRPr="009847D8">
        <w:t xml:space="preserve"> </w:t>
      </w:r>
      <w:r w:rsidRPr="009847D8">
        <w:t xml:space="preserve">a suspenzi míchejte ručním </w:t>
      </w:r>
      <w:r w:rsidR="00982A3F">
        <w:t>míchadlem</w:t>
      </w:r>
      <w:r w:rsidR="00982A3F" w:rsidRPr="009847D8">
        <w:t xml:space="preserve"> </w:t>
      </w:r>
      <w:r w:rsidRPr="009847D8">
        <w:t>(</w:t>
      </w:r>
      <w:r w:rsidR="00982A3F">
        <w:t>metlou</w:t>
      </w:r>
      <w:r w:rsidRPr="009847D8">
        <w:t xml:space="preserve">) po dobu alespoň 20 sekund, až bude směs mírně zakalená, což znamená, že je směs homogenní. 12 hodin po přípravě suspenzi znovu promíchejte ručním </w:t>
      </w:r>
      <w:r w:rsidR="00982A3F">
        <w:t>míchadlem</w:t>
      </w:r>
      <w:r w:rsidR="00982A3F" w:rsidRPr="009847D8">
        <w:t xml:space="preserve"> </w:t>
      </w:r>
      <w:r w:rsidRPr="009847D8">
        <w:t>(</w:t>
      </w:r>
      <w:r w:rsidR="00982A3F">
        <w:t>metlou</w:t>
      </w:r>
      <w:r w:rsidRPr="009847D8">
        <w:t xml:space="preserve">) po dobu alespoň 20 sekund. </w:t>
      </w:r>
    </w:p>
    <w:p w14:paraId="6F6FA6B1" w14:textId="77777777" w:rsidR="00D44E16" w:rsidRPr="009847D8" w:rsidRDefault="00D44E16" w:rsidP="004A2A42">
      <w:pPr>
        <w:rPr>
          <w:szCs w:val="22"/>
        </w:rPr>
      </w:pPr>
    </w:p>
    <w:p w14:paraId="308C019C" w14:textId="1BCC35C0" w:rsidR="008837D2" w:rsidRPr="009847D8" w:rsidRDefault="008837D2" w:rsidP="008837D2">
      <w:pPr>
        <w:tabs>
          <w:tab w:val="clear" w:pos="567"/>
        </w:tabs>
        <w:spacing w:line="240" w:lineRule="auto"/>
      </w:pPr>
      <w:r w:rsidRPr="009847D8">
        <w:t xml:space="preserve">Po naředění </w:t>
      </w:r>
      <w:r w:rsidR="00E0765E">
        <w:t>veterinárního léčivého přípravku</w:t>
      </w:r>
      <w:r w:rsidR="00E0765E" w:rsidRPr="009847D8">
        <w:t xml:space="preserve"> </w:t>
      </w:r>
      <w:r w:rsidRPr="009847D8">
        <w:t>již lze získat homogenní suspenzi jemným mícháním po dobu alespoň 20 sekund, až se suspenze mírně zakalí.</w:t>
      </w:r>
    </w:p>
    <w:p w14:paraId="06268FA6" w14:textId="0436C817" w:rsidR="008837D2" w:rsidRPr="009847D8" w:rsidRDefault="008837D2" w:rsidP="008837D2">
      <w:pPr>
        <w:tabs>
          <w:tab w:val="clear" w:pos="567"/>
        </w:tabs>
        <w:spacing w:line="240" w:lineRule="auto"/>
      </w:pPr>
      <w:r w:rsidRPr="009847D8">
        <w:t>Maximální koncentrace pro ředění je 50 ml přípravku na litr.</w:t>
      </w:r>
    </w:p>
    <w:p w14:paraId="628F05C0" w14:textId="50721C2F" w:rsidR="008837D2" w:rsidRPr="009847D8" w:rsidRDefault="008837D2" w:rsidP="008837D2">
      <w:pPr>
        <w:tabs>
          <w:tab w:val="clear" w:pos="567"/>
        </w:tabs>
        <w:spacing w:line="240" w:lineRule="auto"/>
      </w:pPr>
      <w:r w:rsidRPr="009847D8">
        <w:t xml:space="preserve">Dbejte na to, aby byl systém rozvodu vody před ošetřením a po </w:t>
      </w:r>
      <w:r w:rsidR="00E0765E">
        <w:t>něm</w:t>
      </w:r>
      <w:r w:rsidR="00E0765E" w:rsidRPr="009847D8">
        <w:t xml:space="preserve"> </w:t>
      </w:r>
      <w:r w:rsidRPr="009847D8">
        <w:t xml:space="preserve">vyčištěn. </w:t>
      </w:r>
    </w:p>
    <w:p w14:paraId="4196BA33" w14:textId="346B5151" w:rsidR="008837D2" w:rsidRPr="009847D8" w:rsidRDefault="008837D2" w:rsidP="008837D2">
      <w:pPr>
        <w:tabs>
          <w:tab w:val="clear" w:pos="567"/>
        </w:tabs>
        <w:spacing w:line="240" w:lineRule="auto"/>
      </w:pPr>
      <w:r w:rsidRPr="009847D8">
        <w:t>Pokud je to zapotřebí, zastavte před ošetřením na 2 hodiny přívod pitné vody, aby byl stimulován</w:t>
      </w:r>
      <w:r w:rsidR="00E0765E">
        <w:t xml:space="preserve"> pocit žízně</w:t>
      </w:r>
      <w:r w:rsidRPr="009847D8">
        <w:t>.</w:t>
      </w:r>
    </w:p>
    <w:p w14:paraId="0363C3B0" w14:textId="7750BFA1" w:rsidR="00C80401" w:rsidRPr="009847D8" w:rsidRDefault="00E0765E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E0765E">
        <w:t xml:space="preserve">Denní dávka se má přidat do takového množství pitné vody tak, aby bylo celé množství </w:t>
      </w:r>
      <w:proofErr w:type="spellStart"/>
      <w:r w:rsidRPr="00E0765E">
        <w:t>medikované</w:t>
      </w:r>
      <w:proofErr w:type="spellEnd"/>
      <w:r w:rsidRPr="00E0765E">
        <w:t xml:space="preserve"> vody spotřebováno během 24 hodin. Ujistěte se, že je </w:t>
      </w:r>
      <w:proofErr w:type="spellStart"/>
      <w:r w:rsidRPr="00E0765E">
        <w:t>medikovaná</w:t>
      </w:r>
      <w:proofErr w:type="spellEnd"/>
      <w:r w:rsidRPr="00E0765E">
        <w:t xml:space="preserve"> voda zcela spotřebována, aby se předešlo </w:t>
      </w:r>
      <w:proofErr w:type="spellStart"/>
      <w:r w:rsidRPr="00E0765E">
        <w:t>poddávkování</w:t>
      </w:r>
      <w:proofErr w:type="spellEnd"/>
      <w:r w:rsidRPr="00E0765E">
        <w:t>, které by mohlo vést k neúčinnému podání a mohlo by podpořit rozvoj rezistence</w:t>
      </w:r>
    </w:p>
    <w:p w14:paraId="2556E29F" w14:textId="77777777" w:rsidR="00BE5A26" w:rsidRPr="009847D8" w:rsidRDefault="00BE5A26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140C3A2" w14:textId="7C7AADB1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10.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83349C" w:rsidRPr="009847D8">
        <w:rPr>
          <w:rFonts w:asciiTheme="majorBidi" w:hAnsiTheme="majorBidi" w:cstheme="majorBidi"/>
          <w:b/>
          <w:szCs w:val="22"/>
        </w:rPr>
        <w:t>Ochranné lhůty</w:t>
      </w:r>
    </w:p>
    <w:p w14:paraId="7C9DD778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4E600A95" w14:textId="2EC13D93" w:rsidR="00E06684" w:rsidRPr="009847D8" w:rsidRDefault="00E06684" w:rsidP="00BE5A26">
      <w:pPr>
        <w:autoSpaceDE w:val="0"/>
        <w:autoSpaceDN w:val="0"/>
        <w:adjustRightInd w:val="0"/>
      </w:pPr>
      <w:r w:rsidRPr="009847D8">
        <w:t>P</w:t>
      </w:r>
      <w:r w:rsidR="0083349C" w:rsidRPr="009847D8">
        <w:t>rasata</w:t>
      </w:r>
      <w:r w:rsidRPr="009847D8">
        <w:t xml:space="preserve">: </w:t>
      </w:r>
      <w:r w:rsidRPr="009847D8">
        <w:tab/>
      </w:r>
      <w:r w:rsidR="0013414E">
        <w:t xml:space="preserve"> </w:t>
      </w:r>
      <w:r w:rsidRPr="009847D8">
        <w:t>m</w:t>
      </w:r>
      <w:r w:rsidR="00354750" w:rsidRPr="009847D8">
        <w:t>aso</w:t>
      </w:r>
      <w:r w:rsidRPr="009847D8">
        <w:t>:</w:t>
      </w:r>
      <w:r w:rsidR="00354750" w:rsidRPr="009847D8">
        <w:tab/>
      </w:r>
      <w:r w:rsidR="00354750" w:rsidRPr="009847D8">
        <w:tab/>
      </w:r>
      <w:r w:rsidRPr="009847D8">
        <w:tab/>
      </w:r>
      <w:r w:rsidR="00BE5A26" w:rsidRPr="009847D8">
        <w:t xml:space="preserve">4 </w:t>
      </w:r>
      <w:r w:rsidRPr="009847D8">
        <w:t>d</w:t>
      </w:r>
      <w:r w:rsidR="008F304A" w:rsidRPr="009847D8">
        <w:t>ny</w:t>
      </w:r>
      <w:r w:rsidRPr="009847D8">
        <w:t>.</w:t>
      </w:r>
    </w:p>
    <w:p w14:paraId="5582D6DC" w14:textId="43FE4F61" w:rsidR="00E06684" w:rsidRPr="009847D8" w:rsidRDefault="008F304A" w:rsidP="00E06684">
      <w:pPr>
        <w:autoSpaceDE w:val="0"/>
        <w:autoSpaceDN w:val="0"/>
        <w:adjustRightInd w:val="0"/>
      </w:pPr>
      <w:r w:rsidRPr="009847D8">
        <w:t>Ku</w:t>
      </w:r>
      <w:r w:rsidR="0013414E">
        <w:t>r domácí</w:t>
      </w:r>
      <w:r w:rsidR="00E06684" w:rsidRPr="009847D8">
        <w:t>:</w:t>
      </w:r>
      <w:r w:rsidR="00E06684" w:rsidRPr="009847D8">
        <w:tab/>
      </w:r>
      <w:r w:rsidR="0013414E">
        <w:t xml:space="preserve"> </w:t>
      </w:r>
      <w:r w:rsidR="00E06684" w:rsidRPr="009847D8">
        <w:t>m</w:t>
      </w:r>
      <w:r w:rsidRPr="009847D8">
        <w:t>aso</w:t>
      </w:r>
      <w:r w:rsidR="00E06684" w:rsidRPr="009847D8">
        <w:t>:</w:t>
      </w:r>
      <w:r w:rsidR="00E06684" w:rsidRPr="009847D8">
        <w:tab/>
      </w:r>
      <w:r w:rsidR="00354750" w:rsidRPr="009847D8">
        <w:tab/>
      </w:r>
      <w:r w:rsidR="00354750" w:rsidRPr="009847D8">
        <w:tab/>
      </w:r>
      <w:r w:rsidR="00BE5A26" w:rsidRPr="009847D8">
        <w:t>2</w:t>
      </w:r>
      <w:r w:rsidR="00E06684" w:rsidRPr="009847D8">
        <w:t xml:space="preserve"> d</w:t>
      </w:r>
      <w:r w:rsidRPr="009847D8">
        <w:t>ny</w:t>
      </w:r>
      <w:r w:rsidR="00E06684" w:rsidRPr="009847D8">
        <w:t>.</w:t>
      </w:r>
    </w:p>
    <w:p w14:paraId="1779A2DF" w14:textId="18DC0D21" w:rsidR="00E06684" w:rsidRPr="009847D8" w:rsidRDefault="00E06684" w:rsidP="00E06684">
      <w:pPr>
        <w:autoSpaceDE w:val="0"/>
        <w:autoSpaceDN w:val="0"/>
        <w:adjustRightInd w:val="0"/>
      </w:pPr>
      <w:r w:rsidRPr="009847D8">
        <w:tab/>
      </w:r>
      <w:r w:rsidRPr="009847D8">
        <w:tab/>
      </w:r>
      <w:r w:rsidR="0013414E">
        <w:t xml:space="preserve"> </w:t>
      </w:r>
      <w:r w:rsidR="008F304A" w:rsidRPr="009847D8">
        <w:t>vejce</w:t>
      </w:r>
      <w:r w:rsidRPr="009847D8">
        <w:t>:</w:t>
      </w:r>
      <w:r w:rsidRPr="009847D8">
        <w:tab/>
      </w:r>
      <w:r w:rsidRPr="009847D8">
        <w:tab/>
      </w:r>
      <w:r w:rsidR="00E015FC" w:rsidRPr="009847D8">
        <w:tab/>
      </w:r>
      <w:r w:rsidR="00DD6004">
        <w:t>Bez ochranných lhůt.</w:t>
      </w:r>
    </w:p>
    <w:p w14:paraId="3069FC89" w14:textId="77777777" w:rsidR="00E07CE2" w:rsidRPr="009847D8" w:rsidRDefault="00E07CE2" w:rsidP="00E07C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</w:p>
    <w:p w14:paraId="6D09DE19" w14:textId="1B40E349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11.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83349C" w:rsidRPr="009847D8">
        <w:rPr>
          <w:rFonts w:asciiTheme="majorBidi" w:hAnsiTheme="majorBidi" w:cstheme="majorBidi"/>
          <w:b/>
          <w:szCs w:val="22"/>
        </w:rPr>
        <w:t xml:space="preserve">Zvláštní </w:t>
      </w:r>
      <w:r w:rsidR="00CC7C0D" w:rsidRPr="009847D8">
        <w:rPr>
          <w:rFonts w:asciiTheme="majorBidi" w:hAnsiTheme="majorBidi" w:cstheme="majorBidi"/>
          <w:b/>
          <w:szCs w:val="22"/>
        </w:rPr>
        <w:t>opatření</w:t>
      </w:r>
      <w:r w:rsidR="0083349C" w:rsidRPr="009847D8">
        <w:rPr>
          <w:rFonts w:asciiTheme="majorBidi" w:hAnsiTheme="majorBidi" w:cstheme="majorBidi"/>
          <w:b/>
          <w:szCs w:val="22"/>
        </w:rPr>
        <w:t xml:space="preserve"> pro uchovávání</w:t>
      </w:r>
    </w:p>
    <w:p w14:paraId="2E9A461E" w14:textId="77777777" w:rsidR="00C114FF" w:rsidRPr="009847D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F80A910" w14:textId="4CF0710C" w:rsidR="00C114FF" w:rsidRPr="009847D8" w:rsidRDefault="0083349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 xml:space="preserve">Uchovávejte </w:t>
      </w:r>
      <w:r w:rsidR="00804165" w:rsidRPr="009847D8">
        <w:rPr>
          <w:rFonts w:asciiTheme="majorBidi" w:hAnsiTheme="majorBidi" w:cstheme="majorBidi"/>
          <w:szCs w:val="22"/>
        </w:rPr>
        <w:t xml:space="preserve">mimo </w:t>
      </w:r>
      <w:r w:rsidRPr="009847D8">
        <w:rPr>
          <w:rFonts w:asciiTheme="majorBidi" w:hAnsiTheme="majorBidi" w:cstheme="majorBidi"/>
          <w:szCs w:val="22"/>
        </w:rPr>
        <w:t>dohled a dosah dětí</w:t>
      </w:r>
      <w:r w:rsidR="00C114FF" w:rsidRPr="009847D8">
        <w:rPr>
          <w:rFonts w:asciiTheme="majorBidi" w:hAnsiTheme="majorBidi" w:cstheme="majorBidi"/>
          <w:szCs w:val="22"/>
        </w:rPr>
        <w:t>.</w:t>
      </w:r>
    </w:p>
    <w:p w14:paraId="35E2C58C" w14:textId="77777777" w:rsidR="00C114FF" w:rsidRPr="009847D8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C153B7" w14:textId="0CB3139B" w:rsidR="00BE5A26" w:rsidRPr="009847D8" w:rsidRDefault="0083349C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>Uchovávejte při teplotě do</w:t>
      </w:r>
      <w:r w:rsidR="00BE5A26" w:rsidRPr="009847D8">
        <w:rPr>
          <w:rFonts w:asciiTheme="majorBidi" w:hAnsiTheme="majorBidi" w:cstheme="majorBidi"/>
          <w:szCs w:val="22"/>
        </w:rPr>
        <w:t xml:space="preserve"> 25</w:t>
      </w:r>
      <w:r w:rsidR="007C0E59" w:rsidRPr="009847D8">
        <w:rPr>
          <w:rFonts w:asciiTheme="majorBidi" w:hAnsiTheme="majorBidi" w:cstheme="majorBidi"/>
          <w:szCs w:val="22"/>
        </w:rPr>
        <w:t xml:space="preserve"> </w:t>
      </w:r>
      <w:r w:rsidR="00BE5A26" w:rsidRPr="009847D8">
        <w:rPr>
          <w:rFonts w:asciiTheme="majorBidi" w:hAnsiTheme="majorBidi" w:cstheme="majorBidi"/>
          <w:szCs w:val="22"/>
        </w:rPr>
        <w:t xml:space="preserve">°C. </w:t>
      </w:r>
    </w:p>
    <w:p w14:paraId="2EB574BD" w14:textId="77777777" w:rsidR="004A2A42" w:rsidRPr="009847D8" w:rsidRDefault="004A2A42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8B3CA45" w14:textId="7B48331F" w:rsidR="0083349C" w:rsidRPr="009847D8" w:rsidRDefault="0083349C" w:rsidP="0083349C">
      <w:pPr>
        <w:tabs>
          <w:tab w:val="clear" w:pos="567"/>
        </w:tabs>
        <w:spacing w:line="240" w:lineRule="auto"/>
        <w:ind w:right="-2"/>
        <w:rPr>
          <w:rFonts w:eastAsia="SimSun"/>
          <w:szCs w:val="22"/>
          <w:lang w:eastAsia="en-GB"/>
        </w:rPr>
      </w:pPr>
      <w:r w:rsidRPr="009847D8">
        <w:rPr>
          <w:rFonts w:eastAsia="SimSun"/>
          <w:szCs w:val="22"/>
          <w:lang w:eastAsia="en-GB"/>
        </w:rPr>
        <w:t xml:space="preserve">Nepoužívejte tento veterinární léčivý přípravek po uplynutí doby použitelnosti uvedené na </w:t>
      </w:r>
      <w:r w:rsidR="007C0E59" w:rsidRPr="009847D8">
        <w:rPr>
          <w:rFonts w:eastAsia="SimSun"/>
          <w:szCs w:val="22"/>
          <w:lang w:eastAsia="en-GB"/>
        </w:rPr>
        <w:t xml:space="preserve">etiketě po </w:t>
      </w:r>
      <w:r w:rsidRPr="009847D8">
        <w:rPr>
          <w:rFonts w:eastAsia="SimSun"/>
          <w:szCs w:val="22"/>
          <w:lang w:eastAsia="en-GB"/>
        </w:rPr>
        <w:t xml:space="preserve">Exp. Doba použitelnosti </w:t>
      </w:r>
      <w:bookmarkStart w:id="5" w:name="_Hlk129092184"/>
      <w:r w:rsidR="007C0E59" w:rsidRPr="009847D8">
        <w:rPr>
          <w:rFonts w:eastAsia="SimSun"/>
          <w:szCs w:val="22"/>
          <w:lang w:eastAsia="en-GB"/>
        </w:rPr>
        <w:t>končí posledním dnem v uvedeném měsíci</w:t>
      </w:r>
      <w:bookmarkEnd w:id="5"/>
      <w:r w:rsidRPr="009847D8">
        <w:rPr>
          <w:rFonts w:eastAsia="SimSun"/>
          <w:szCs w:val="22"/>
          <w:lang w:eastAsia="en-GB"/>
        </w:rPr>
        <w:t xml:space="preserve">. </w:t>
      </w:r>
    </w:p>
    <w:p w14:paraId="4365DF6F" w14:textId="77777777" w:rsidR="0043320A" w:rsidRPr="009847D8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6397247" w14:textId="4FA48D53" w:rsidR="00C114FF" w:rsidRPr="009847D8" w:rsidRDefault="0083349C" w:rsidP="0083349C">
      <w:pPr>
        <w:tabs>
          <w:tab w:val="clear" w:pos="567"/>
        </w:tabs>
        <w:spacing w:line="240" w:lineRule="auto"/>
        <w:ind w:right="-318"/>
      </w:pPr>
      <w:r w:rsidRPr="009847D8">
        <w:t xml:space="preserve">Doba použitelnosti po prvním otevření vnitřního obalu 3 měsíce. </w:t>
      </w:r>
    </w:p>
    <w:p w14:paraId="788DD926" w14:textId="00AD3A85" w:rsidR="0083349C" w:rsidRPr="009847D8" w:rsidRDefault="0083349C" w:rsidP="0083349C">
      <w:pPr>
        <w:tabs>
          <w:tab w:val="clear" w:pos="567"/>
        </w:tabs>
        <w:spacing w:line="240" w:lineRule="auto"/>
        <w:ind w:right="-318"/>
      </w:pPr>
      <w:r w:rsidRPr="009847D8">
        <w:t>Dob</w:t>
      </w:r>
      <w:r w:rsidR="003358CA" w:rsidRPr="009847D8">
        <w:t>a</w:t>
      </w:r>
      <w:r w:rsidRPr="009847D8">
        <w:t xml:space="preserve"> použitelnosti po naředění podle návodu: 24 hodin. </w:t>
      </w:r>
    </w:p>
    <w:p w14:paraId="52E18B1A" w14:textId="77777777" w:rsidR="00AD5836" w:rsidRPr="009847D8" w:rsidRDefault="00AD5836" w:rsidP="00AD5836">
      <w:pPr>
        <w:tabs>
          <w:tab w:val="clear" w:pos="567"/>
        </w:tabs>
        <w:spacing w:line="240" w:lineRule="auto"/>
        <w:ind w:right="-318"/>
      </w:pPr>
      <w:bookmarkStart w:id="6" w:name="_Hlk129089535"/>
      <w:r w:rsidRPr="009847D8">
        <w:t>Po 12 hodinách je nutné suspenzi znovu promíchat.</w:t>
      </w:r>
    </w:p>
    <w:bookmarkEnd w:id="6"/>
    <w:p w14:paraId="7A54B9F3" w14:textId="77777777" w:rsidR="0043320A" w:rsidRPr="009847D8" w:rsidRDefault="0043320A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F6EA0FB" w14:textId="7EFD5E36" w:rsidR="00C114FF" w:rsidRPr="009847D8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</w:t>
      </w:r>
      <w:r w:rsidR="00E015FC" w:rsidRPr="009847D8">
        <w:rPr>
          <w:rFonts w:asciiTheme="majorBidi" w:hAnsiTheme="majorBidi" w:cstheme="majorBidi"/>
          <w:b/>
          <w:szCs w:val="22"/>
          <w:highlight w:val="lightGray"/>
        </w:rPr>
        <w:t>2</w:t>
      </w:r>
      <w:r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83349C" w:rsidRPr="009847D8">
        <w:rPr>
          <w:rFonts w:asciiTheme="majorBidi" w:hAnsiTheme="majorBidi" w:cstheme="majorBidi"/>
          <w:b/>
          <w:szCs w:val="22"/>
        </w:rPr>
        <w:t>Zvláštní opatření pro likvidaci</w:t>
      </w:r>
      <w:r w:rsidR="007219CE" w:rsidRPr="009847D8">
        <w:rPr>
          <w:rFonts w:asciiTheme="majorBidi" w:hAnsiTheme="majorBidi" w:cstheme="majorBidi"/>
          <w:b/>
          <w:szCs w:val="22"/>
        </w:rPr>
        <w:t xml:space="preserve"> </w:t>
      </w:r>
    </w:p>
    <w:p w14:paraId="722280D7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3211ED" w14:textId="17DF5E8E" w:rsidR="0083349C" w:rsidRPr="009847D8" w:rsidRDefault="0083349C" w:rsidP="0083349C">
      <w:pPr>
        <w:tabs>
          <w:tab w:val="clear" w:pos="567"/>
        </w:tabs>
        <w:spacing w:line="240" w:lineRule="auto"/>
        <w:ind w:right="-318"/>
      </w:pPr>
      <w:r w:rsidRPr="009847D8">
        <w:t>Léčivé přípravky se nesmí likvidovat prostřednictvím odpadní vody nebo domovního odpadu.</w:t>
      </w:r>
    </w:p>
    <w:p w14:paraId="36E68B03" w14:textId="77777777" w:rsidR="0083349C" w:rsidRPr="009847D8" w:rsidRDefault="0083349C" w:rsidP="0083349C">
      <w:pPr>
        <w:tabs>
          <w:tab w:val="clear" w:pos="567"/>
        </w:tabs>
        <w:spacing w:line="240" w:lineRule="auto"/>
        <w:rPr>
          <w:szCs w:val="22"/>
        </w:rPr>
      </w:pPr>
      <w:r w:rsidRPr="009847D8">
        <w:t>Všechen nepoužitý veterinární léčivý přípravek nebo odpad, který pochází z tohoto přípravku, likvidujte odevzdáním v souladu s místními požadavky a platnými národními systémy sběru.</w:t>
      </w:r>
    </w:p>
    <w:p w14:paraId="456FCABB" w14:textId="77777777" w:rsidR="0083349C" w:rsidRPr="009847D8" w:rsidRDefault="0083349C" w:rsidP="0083349C">
      <w:pPr>
        <w:tabs>
          <w:tab w:val="clear" w:pos="567"/>
        </w:tabs>
        <w:spacing w:line="240" w:lineRule="auto"/>
        <w:rPr>
          <w:rFonts w:eastAsia="SimSun"/>
          <w:szCs w:val="22"/>
          <w:lang w:eastAsia="en-GB"/>
        </w:rPr>
      </w:pPr>
      <w:r w:rsidRPr="009847D8">
        <w:rPr>
          <w:rFonts w:eastAsia="SimSun"/>
          <w:szCs w:val="22"/>
          <w:lang w:eastAsia="en-GB"/>
        </w:rPr>
        <w:t>Tato opatření napomáhají chránit životní prostředí.</w:t>
      </w:r>
    </w:p>
    <w:p w14:paraId="6CC13D33" w14:textId="77777777" w:rsidR="0083349C" w:rsidRPr="009847D8" w:rsidRDefault="0083349C" w:rsidP="0083349C">
      <w:pPr>
        <w:tabs>
          <w:tab w:val="clear" w:pos="567"/>
        </w:tabs>
        <w:spacing w:line="240" w:lineRule="auto"/>
        <w:rPr>
          <w:rFonts w:eastAsia="SimSun"/>
          <w:szCs w:val="22"/>
          <w:lang w:eastAsia="en-GB"/>
        </w:rPr>
      </w:pPr>
      <w:r w:rsidRPr="009847D8">
        <w:rPr>
          <w:rFonts w:eastAsia="SimSun"/>
          <w:szCs w:val="22"/>
          <w:lang w:eastAsia="en-GB"/>
        </w:rPr>
        <w:t>O možnostech likvidace nepotřebných léčivých přípravků se poraďte se svým veterinárním lékařem.</w:t>
      </w:r>
    </w:p>
    <w:p w14:paraId="4C55C27D" w14:textId="77777777" w:rsidR="0083349C" w:rsidRPr="009847D8" w:rsidRDefault="0083349C" w:rsidP="0083349C">
      <w:pPr>
        <w:tabs>
          <w:tab w:val="clear" w:pos="567"/>
        </w:tabs>
        <w:spacing w:line="240" w:lineRule="auto"/>
        <w:rPr>
          <w:rFonts w:eastAsia="SimSun"/>
          <w:szCs w:val="22"/>
          <w:lang w:eastAsia="en-GB"/>
        </w:rPr>
      </w:pPr>
    </w:p>
    <w:p w14:paraId="76535810" w14:textId="77777777" w:rsidR="0083349C" w:rsidRPr="009847D8" w:rsidRDefault="00524206" w:rsidP="0083349C">
      <w:pPr>
        <w:rPr>
          <w:b/>
          <w:bCs/>
          <w:szCs w:val="22"/>
          <w:lang w:eastAsia="sv-SE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</w:t>
      </w:r>
      <w:r w:rsidR="007219CE" w:rsidRPr="009847D8">
        <w:rPr>
          <w:rFonts w:asciiTheme="majorBidi" w:hAnsiTheme="majorBidi" w:cstheme="majorBidi"/>
          <w:b/>
          <w:szCs w:val="22"/>
          <w:highlight w:val="lightGray"/>
        </w:rPr>
        <w:t>3</w:t>
      </w:r>
      <w:r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83349C" w:rsidRPr="009847D8">
        <w:rPr>
          <w:b/>
          <w:bCs/>
          <w:szCs w:val="22"/>
          <w:lang w:eastAsia="sv-SE"/>
        </w:rPr>
        <w:t>Klasifikace veterinárních léčivých přípravků</w:t>
      </w:r>
    </w:p>
    <w:p w14:paraId="674A28D9" w14:textId="77777777" w:rsidR="00524206" w:rsidRPr="009847D8" w:rsidRDefault="00524206" w:rsidP="00524206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30DFF79" w14:textId="107D1AC2" w:rsidR="00524206" w:rsidRPr="009847D8" w:rsidRDefault="00524206" w:rsidP="00524206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>Veterin</w:t>
      </w:r>
      <w:r w:rsidR="0083349C" w:rsidRPr="009847D8">
        <w:rPr>
          <w:rFonts w:asciiTheme="majorBidi" w:hAnsiTheme="majorBidi" w:cstheme="majorBidi"/>
          <w:szCs w:val="22"/>
        </w:rPr>
        <w:t>ární léčivý přípravek je na předpis</w:t>
      </w:r>
      <w:r w:rsidRPr="009847D8">
        <w:rPr>
          <w:rFonts w:asciiTheme="majorBidi" w:hAnsiTheme="majorBidi" w:cstheme="majorBidi"/>
          <w:szCs w:val="22"/>
        </w:rPr>
        <w:t>.</w:t>
      </w:r>
    </w:p>
    <w:p w14:paraId="6B0E9B59" w14:textId="77777777" w:rsidR="007219CE" w:rsidRPr="009847D8" w:rsidRDefault="007219CE" w:rsidP="007219CE">
      <w:pPr>
        <w:tabs>
          <w:tab w:val="clear" w:pos="567"/>
        </w:tabs>
        <w:spacing w:line="240" w:lineRule="auto"/>
        <w:rPr>
          <w:szCs w:val="22"/>
        </w:rPr>
      </w:pPr>
    </w:p>
    <w:p w14:paraId="2A6A8FBB" w14:textId="74203211" w:rsidR="007219CE" w:rsidRPr="009847D8" w:rsidRDefault="007219CE" w:rsidP="007219CE">
      <w:pPr>
        <w:tabs>
          <w:tab w:val="clear" w:pos="567"/>
        </w:tabs>
        <w:spacing w:line="240" w:lineRule="auto"/>
        <w:rPr>
          <w:b/>
          <w:szCs w:val="22"/>
        </w:rPr>
      </w:pPr>
      <w:r w:rsidRPr="009847D8">
        <w:rPr>
          <w:b/>
          <w:szCs w:val="22"/>
          <w:highlight w:val="lightGray"/>
        </w:rPr>
        <w:t>14.</w:t>
      </w:r>
      <w:r w:rsidRPr="009847D8">
        <w:rPr>
          <w:b/>
          <w:szCs w:val="22"/>
        </w:rPr>
        <w:tab/>
      </w:r>
      <w:r w:rsidR="002A2C75" w:rsidRPr="009847D8">
        <w:rPr>
          <w:b/>
          <w:szCs w:val="22"/>
        </w:rPr>
        <w:t>Registrační čísla a velikosti balení</w:t>
      </w:r>
    </w:p>
    <w:p w14:paraId="5518D013" w14:textId="77777777" w:rsidR="007219CE" w:rsidRPr="009847D8" w:rsidRDefault="007219CE" w:rsidP="007219CE">
      <w:pPr>
        <w:tabs>
          <w:tab w:val="clear" w:pos="567"/>
        </w:tabs>
        <w:spacing w:line="240" w:lineRule="auto"/>
        <w:rPr>
          <w:szCs w:val="22"/>
        </w:rPr>
      </w:pPr>
    </w:p>
    <w:p w14:paraId="1FAFE9C3" w14:textId="73FDDC1A" w:rsidR="00AD2618" w:rsidRDefault="00AD2618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  <w:szCs w:val="22"/>
          <w:lang w:eastAsia="es-ES" w:bidi="he-IL"/>
        </w:rPr>
      </w:pPr>
      <w:r>
        <w:rPr>
          <w:rFonts w:asciiTheme="majorBidi" w:hAnsiTheme="majorBidi" w:cstheme="majorBidi"/>
          <w:bCs/>
          <w:szCs w:val="22"/>
          <w:lang w:eastAsia="es-ES" w:bidi="he-IL"/>
        </w:rPr>
        <w:t>96/013/</w:t>
      </w:r>
      <w:proofErr w:type="gramStart"/>
      <w:r>
        <w:rPr>
          <w:rFonts w:asciiTheme="majorBidi" w:hAnsiTheme="majorBidi" w:cstheme="majorBidi"/>
          <w:bCs/>
          <w:szCs w:val="22"/>
          <w:lang w:eastAsia="es-ES" w:bidi="he-IL"/>
        </w:rPr>
        <w:t>23-C</w:t>
      </w:r>
      <w:proofErr w:type="gramEnd"/>
    </w:p>
    <w:p w14:paraId="49CC3E9B" w14:textId="77777777" w:rsidR="00AD2618" w:rsidRDefault="00AD2618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  <w:szCs w:val="22"/>
          <w:lang w:eastAsia="es-ES" w:bidi="he-IL"/>
        </w:rPr>
      </w:pPr>
    </w:p>
    <w:p w14:paraId="33F34C42" w14:textId="3AA79357" w:rsidR="007219CE" w:rsidRPr="009847D8" w:rsidRDefault="00A65CF6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bCs/>
          <w:szCs w:val="22"/>
          <w:lang w:eastAsia="es-ES" w:bidi="he-IL"/>
        </w:rPr>
      </w:pPr>
      <w:r w:rsidRPr="009847D8">
        <w:rPr>
          <w:rFonts w:asciiTheme="majorBidi" w:hAnsiTheme="majorBidi" w:cstheme="majorBidi"/>
          <w:bCs/>
          <w:szCs w:val="22"/>
          <w:lang w:eastAsia="es-ES" w:bidi="he-IL"/>
        </w:rPr>
        <w:t>Velikosti</w:t>
      </w:r>
      <w:r w:rsidR="00341828" w:rsidRPr="009847D8">
        <w:rPr>
          <w:rFonts w:asciiTheme="majorBidi" w:hAnsiTheme="majorBidi" w:cstheme="majorBidi"/>
          <w:bCs/>
          <w:szCs w:val="22"/>
          <w:lang w:eastAsia="es-ES" w:bidi="he-IL"/>
        </w:rPr>
        <w:t xml:space="preserve"> balení</w:t>
      </w:r>
      <w:r w:rsidR="007219CE" w:rsidRPr="009847D8">
        <w:rPr>
          <w:rFonts w:asciiTheme="majorBidi" w:hAnsiTheme="majorBidi" w:cstheme="majorBidi"/>
          <w:bCs/>
          <w:szCs w:val="22"/>
          <w:lang w:eastAsia="es-ES" w:bidi="he-IL"/>
        </w:rPr>
        <w:t>:</w:t>
      </w:r>
    </w:p>
    <w:p w14:paraId="17C15446" w14:textId="6FD85467" w:rsidR="007219CE" w:rsidRPr="009847D8" w:rsidRDefault="00AD5836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  <w:bookmarkStart w:id="7" w:name="_Hlk129092242"/>
      <w:r w:rsidRPr="009847D8">
        <w:rPr>
          <w:rFonts w:asciiTheme="majorBidi" w:hAnsiTheme="majorBidi" w:cstheme="majorBidi"/>
          <w:szCs w:val="22"/>
          <w:lang w:eastAsia="es-ES" w:bidi="he-IL"/>
        </w:rPr>
        <w:t>H</w:t>
      </w:r>
      <w:r w:rsidR="00341828" w:rsidRPr="009847D8">
        <w:rPr>
          <w:rFonts w:asciiTheme="majorBidi" w:hAnsiTheme="majorBidi" w:cstheme="majorBidi"/>
          <w:szCs w:val="22"/>
          <w:lang w:eastAsia="es-ES" w:bidi="he-IL"/>
        </w:rPr>
        <w:t>ranatá láhev z</w:t>
      </w:r>
      <w:r w:rsidRPr="009847D8">
        <w:rPr>
          <w:rFonts w:asciiTheme="majorBidi" w:hAnsiTheme="majorBidi" w:cstheme="majorBidi"/>
          <w:szCs w:val="22"/>
          <w:lang w:eastAsia="es-ES" w:bidi="he-IL"/>
        </w:rPr>
        <w:t> </w:t>
      </w:r>
      <w:r w:rsidR="007219CE" w:rsidRPr="009847D8">
        <w:rPr>
          <w:rFonts w:asciiTheme="majorBidi" w:hAnsiTheme="majorBidi" w:cstheme="majorBidi"/>
          <w:szCs w:val="22"/>
          <w:lang w:eastAsia="es-ES" w:bidi="he-IL"/>
        </w:rPr>
        <w:t>HDPE</w:t>
      </w:r>
      <w:r w:rsidRPr="009847D8">
        <w:rPr>
          <w:rFonts w:asciiTheme="majorBidi" w:hAnsiTheme="majorBidi" w:cstheme="majorBidi"/>
          <w:szCs w:val="22"/>
          <w:lang w:eastAsia="es-ES" w:bidi="he-IL"/>
        </w:rPr>
        <w:t xml:space="preserve"> o objemu 250 ml, 500 ml a</w:t>
      </w:r>
      <w:r w:rsidR="0091597C" w:rsidRPr="009847D8">
        <w:rPr>
          <w:rFonts w:asciiTheme="majorBidi" w:hAnsiTheme="majorBidi" w:cstheme="majorBidi"/>
          <w:szCs w:val="22"/>
          <w:lang w:eastAsia="es-ES" w:bidi="he-IL"/>
        </w:rPr>
        <w:t xml:space="preserve"> </w:t>
      </w:r>
      <w:r w:rsidRPr="009847D8">
        <w:rPr>
          <w:rFonts w:asciiTheme="majorBidi" w:hAnsiTheme="majorBidi" w:cstheme="majorBidi"/>
          <w:szCs w:val="22"/>
          <w:lang w:eastAsia="es-ES" w:bidi="he-IL"/>
        </w:rPr>
        <w:t>1000 ml</w:t>
      </w:r>
    </w:p>
    <w:p w14:paraId="1C9F922B" w14:textId="4E2ABFF7" w:rsidR="00AD5836" w:rsidRPr="009847D8" w:rsidRDefault="00AD5836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  <w:r w:rsidRPr="009847D8">
        <w:rPr>
          <w:rFonts w:asciiTheme="majorBidi" w:hAnsiTheme="majorBidi" w:cstheme="majorBidi"/>
          <w:szCs w:val="22"/>
          <w:lang w:eastAsia="es-ES" w:bidi="he-IL"/>
        </w:rPr>
        <w:t>K</w:t>
      </w:r>
      <w:r w:rsidR="00341828" w:rsidRPr="009847D8">
        <w:rPr>
          <w:rFonts w:asciiTheme="majorBidi" w:hAnsiTheme="majorBidi" w:cstheme="majorBidi"/>
          <w:szCs w:val="22"/>
          <w:lang w:eastAsia="es-ES" w:bidi="he-IL"/>
        </w:rPr>
        <w:t>ulatá láhev z</w:t>
      </w:r>
      <w:r w:rsidRPr="009847D8">
        <w:rPr>
          <w:rFonts w:asciiTheme="majorBidi" w:hAnsiTheme="majorBidi" w:cstheme="majorBidi"/>
          <w:szCs w:val="22"/>
          <w:lang w:eastAsia="es-ES" w:bidi="he-IL"/>
        </w:rPr>
        <w:t> </w:t>
      </w:r>
      <w:r w:rsidR="007219CE" w:rsidRPr="009847D8">
        <w:rPr>
          <w:rFonts w:asciiTheme="majorBidi" w:hAnsiTheme="majorBidi" w:cstheme="majorBidi"/>
          <w:szCs w:val="22"/>
          <w:lang w:eastAsia="es-ES" w:bidi="he-IL"/>
        </w:rPr>
        <w:t>HDPE</w:t>
      </w:r>
      <w:r w:rsidRPr="009847D8">
        <w:rPr>
          <w:rFonts w:asciiTheme="majorBidi" w:hAnsiTheme="majorBidi" w:cstheme="majorBidi"/>
          <w:szCs w:val="22"/>
          <w:lang w:eastAsia="es-ES" w:bidi="he-IL"/>
        </w:rPr>
        <w:t xml:space="preserve"> o objemu 1 l</w:t>
      </w:r>
    </w:p>
    <w:p w14:paraId="7387C30F" w14:textId="6FAB9A99" w:rsidR="007219CE" w:rsidRPr="009847D8" w:rsidRDefault="00AD5836" w:rsidP="007219CE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Cs w:val="22"/>
          <w:lang w:eastAsia="es-ES" w:bidi="he-IL"/>
        </w:rPr>
      </w:pPr>
      <w:r w:rsidRPr="009847D8">
        <w:rPr>
          <w:rFonts w:asciiTheme="majorBidi" w:hAnsiTheme="majorBidi" w:cstheme="majorBidi"/>
          <w:szCs w:val="22"/>
          <w:lang w:eastAsia="es-ES" w:bidi="he-IL"/>
        </w:rPr>
        <w:t>K</w:t>
      </w:r>
      <w:r w:rsidR="00341828" w:rsidRPr="009847D8">
        <w:rPr>
          <w:rFonts w:asciiTheme="majorBidi" w:hAnsiTheme="majorBidi" w:cstheme="majorBidi"/>
          <w:szCs w:val="22"/>
          <w:lang w:eastAsia="es-ES" w:bidi="he-IL"/>
        </w:rPr>
        <w:t>anystr z</w:t>
      </w:r>
      <w:r w:rsidRPr="009847D8">
        <w:rPr>
          <w:rFonts w:asciiTheme="majorBidi" w:hAnsiTheme="majorBidi" w:cstheme="majorBidi"/>
          <w:szCs w:val="22"/>
          <w:lang w:eastAsia="es-ES" w:bidi="he-IL"/>
        </w:rPr>
        <w:t> </w:t>
      </w:r>
      <w:r w:rsidR="007219CE" w:rsidRPr="009847D8">
        <w:rPr>
          <w:rFonts w:asciiTheme="majorBidi" w:hAnsiTheme="majorBidi" w:cstheme="majorBidi"/>
          <w:szCs w:val="22"/>
          <w:lang w:eastAsia="es-ES" w:bidi="he-IL"/>
        </w:rPr>
        <w:t>HDPE</w:t>
      </w:r>
      <w:r w:rsidRPr="009847D8">
        <w:rPr>
          <w:rFonts w:asciiTheme="majorBidi" w:hAnsiTheme="majorBidi" w:cstheme="majorBidi"/>
          <w:szCs w:val="22"/>
          <w:lang w:eastAsia="es-ES" w:bidi="he-IL"/>
        </w:rPr>
        <w:t xml:space="preserve"> objemu 5 l</w:t>
      </w:r>
    </w:p>
    <w:bookmarkEnd w:id="7"/>
    <w:p w14:paraId="3A5315C1" w14:textId="1BDFA805" w:rsidR="007219CE" w:rsidRPr="009847D8" w:rsidRDefault="007219CE" w:rsidP="007219CE">
      <w:pPr>
        <w:tabs>
          <w:tab w:val="clear" w:pos="567"/>
        </w:tabs>
        <w:spacing w:line="240" w:lineRule="auto"/>
        <w:rPr>
          <w:szCs w:val="22"/>
        </w:rPr>
      </w:pPr>
      <w:r w:rsidRPr="009847D8">
        <w:rPr>
          <w:szCs w:val="22"/>
        </w:rPr>
        <w:t>N</w:t>
      </w:r>
      <w:r w:rsidR="00341828" w:rsidRPr="009847D8">
        <w:rPr>
          <w:szCs w:val="22"/>
        </w:rPr>
        <w:t>a trhu nemusí být všechny velikosti balení</w:t>
      </w:r>
      <w:r w:rsidRPr="009847D8">
        <w:rPr>
          <w:szCs w:val="22"/>
        </w:rPr>
        <w:t>.</w:t>
      </w:r>
    </w:p>
    <w:p w14:paraId="207657F8" w14:textId="77777777" w:rsidR="00524206" w:rsidRPr="009847D8" w:rsidRDefault="00524206" w:rsidP="00524206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7198A2D" w14:textId="0142313C" w:rsidR="00C114FF" w:rsidRPr="009847D8" w:rsidRDefault="00C114FF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</w:t>
      </w:r>
      <w:r w:rsidR="00524206" w:rsidRPr="009847D8">
        <w:rPr>
          <w:rFonts w:asciiTheme="majorBidi" w:hAnsiTheme="majorBidi" w:cstheme="majorBidi"/>
          <w:b/>
          <w:szCs w:val="22"/>
          <w:highlight w:val="lightGray"/>
        </w:rPr>
        <w:t>5</w:t>
      </w:r>
      <w:r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7219CE" w:rsidRPr="009847D8">
        <w:rPr>
          <w:rFonts w:asciiTheme="majorBidi" w:hAnsiTheme="majorBidi" w:cstheme="majorBidi"/>
          <w:b/>
          <w:szCs w:val="22"/>
        </w:rPr>
        <w:t>Dat</w:t>
      </w:r>
      <w:r w:rsidR="002A2C75" w:rsidRPr="009847D8">
        <w:rPr>
          <w:rFonts w:asciiTheme="majorBidi" w:hAnsiTheme="majorBidi" w:cstheme="majorBidi"/>
          <w:b/>
          <w:szCs w:val="22"/>
        </w:rPr>
        <w:t>um poslední revize příbalové informace</w:t>
      </w:r>
    </w:p>
    <w:p w14:paraId="29D6CC52" w14:textId="17E875E1" w:rsidR="00C114FF" w:rsidRPr="009847D8" w:rsidRDefault="00C114FF" w:rsidP="00CF051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BFEE7F1" w14:textId="69B97B4F" w:rsidR="005D29D8" w:rsidRPr="009847D8" w:rsidRDefault="00AD2618" w:rsidP="00CF0519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Březen 2023</w:t>
      </w:r>
    </w:p>
    <w:p w14:paraId="4F4525F9" w14:textId="0DA459E4" w:rsidR="00B802FB" w:rsidRDefault="002A2C75" w:rsidP="0007150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szCs w:val="22"/>
          <w:lang w:eastAsia="sv-SE"/>
        </w:rPr>
        <w:lastRenderedPageBreak/>
        <w:t xml:space="preserve">Podrobné informace o tomto veterinárním léčivém přípravku jsou k dispozici v databázi přípravků Unie </w:t>
      </w:r>
      <w:r w:rsidR="00B802FB" w:rsidRPr="009847D8">
        <w:rPr>
          <w:rFonts w:asciiTheme="majorBidi" w:hAnsiTheme="majorBidi" w:cstheme="majorBidi"/>
          <w:szCs w:val="22"/>
        </w:rPr>
        <w:t>(</w:t>
      </w:r>
      <w:hyperlink r:id="rId9" w:history="1">
        <w:r w:rsidR="00AD5836" w:rsidRPr="009847D8">
          <w:rPr>
            <w:rStyle w:val="Hypertextovodkaz"/>
            <w:rFonts w:asciiTheme="majorBidi" w:hAnsiTheme="majorBidi" w:cstheme="majorBidi"/>
            <w:szCs w:val="22"/>
          </w:rPr>
          <w:t>https://medicines.health.europa.eu/veterinary</w:t>
        </w:r>
      </w:hyperlink>
      <w:r w:rsidR="00B802FB" w:rsidRPr="009847D8">
        <w:rPr>
          <w:rFonts w:asciiTheme="majorBidi" w:hAnsiTheme="majorBidi" w:cstheme="majorBidi"/>
          <w:szCs w:val="22"/>
        </w:rPr>
        <w:t>).</w:t>
      </w:r>
    </w:p>
    <w:p w14:paraId="75192849" w14:textId="612B7C04" w:rsidR="007F353E" w:rsidRDefault="007F353E" w:rsidP="00071500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5C419D43" w14:textId="0B137463" w:rsidR="007F353E" w:rsidRDefault="007F353E" w:rsidP="00071500">
      <w:pPr>
        <w:tabs>
          <w:tab w:val="clear" w:pos="567"/>
        </w:tabs>
        <w:spacing w:line="240" w:lineRule="auto"/>
        <w:rPr>
          <w:szCs w:val="22"/>
          <w:lang w:eastAsia="sv-SE"/>
        </w:rPr>
      </w:pPr>
      <w:r w:rsidRPr="007F353E">
        <w:rPr>
          <w:szCs w:val="22"/>
          <w:lang w:eastAsia="sv-SE"/>
        </w:rPr>
        <w:t>Podrobné informace o tomto veterinárním léčivém přípravku naleznete také v národní databázi (</w:t>
      </w:r>
      <w:hyperlink r:id="rId10" w:history="1">
        <w:r w:rsidRPr="005D2CC3">
          <w:rPr>
            <w:rStyle w:val="Hypertextovodkaz"/>
            <w:szCs w:val="22"/>
            <w:lang w:eastAsia="sv-SE"/>
          </w:rPr>
          <w:t>https://www.uskvbl.cz</w:t>
        </w:r>
      </w:hyperlink>
      <w:r w:rsidRPr="007F353E">
        <w:rPr>
          <w:szCs w:val="22"/>
          <w:lang w:eastAsia="sv-SE"/>
        </w:rPr>
        <w:t>).</w:t>
      </w:r>
    </w:p>
    <w:p w14:paraId="103A5FEC" w14:textId="77777777" w:rsidR="007F353E" w:rsidRPr="009847D8" w:rsidRDefault="007F353E" w:rsidP="00071500">
      <w:pPr>
        <w:tabs>
          <w:tab w:val="clear" w:pos="567"/>
        </w:tabs>
        <w:spacing w:line="240" w:lineRule="auto"/>
        <w:rPr>
          <w:szCs w:val="22"/>
          <w:lang w:eastAsia="sv-SE"/>
        </w:rPr>
      </w:pPr>
    </w:p>
    <w:p w14:paraId="2ACE9980" w14:textId="77777777" w:rsidR="00B802FB" w:rsidRPr="009847D8" w:rsidRDefault="00B802FB" w:rsidP="0007150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2E38762" w14:textId="39100A2F" w:rsidR="007219CE" w:rsidRPr="009847D8" w:rsidRDefault="007219CE" w:rsidP="007219CE">
      <w:pPr>
        <w:tabs>
          <w:tab w:val="clear" w:pos="567"/>
        </w:tabs>
        <w:spacing w:line="240" w:lineRule="auto"/>
        <w:ind w:left="567" w:hanging="567"/>
        <w:rPr>
          <w:rFonts w:asciiTheme="majorBidi" w:hAnsiTheme="majorBidi" w:cstheme="majorBidi"/>
          <w:b/>
          <w:szCs w:val="22"/>
        </w:rPr>
      </w:pPr>
      <w:r w:rsidRPr="009847D8">
        <w:rPr>
          <w:rFonts w:asciiTheme="majorBidi" w:hAnsiTheme="majorBidi" w:cstheme="majorBidi"/>
          <w:b/>
          <w:szCs w:val="22"/>
          <w:highlight w:val="lightGray"/>
        </w:rPr>
        <w:t>16.</w:t>
      </w:r>
      <w:r w:rsidRPr="009847D8">
        <w:rPr>
          <w:rFonts w:asciiTheme="majorBidi" w:hAnsiTheme="majorBidi" w:cstheme="majorBidi"/>
          <w:b/>
          <w:szCs w:val="22"/>
        </w:rPr>
        <w:tab/>
      </w:r>
      <w:r w:rsidR="002A2C75" w:rsidRPr="009847D8">
        <w:rPr>
          <w:rFonts w:asciiTheme="majorBidi" w:hAnsiTheme="majorBidi" w:cstheme="majorBidi"/>
          <w:b/>
          <w:szCs w:val="22"/>
        </w:rPr>
        <w:t>Kontaktní údaje</w:t>
      </w:r>
    </w:p>
    <w:p w14:paraId="7DCDAA2B" w14:textId="77777777" w:rsidR="007219CE" w:rsidRPr="009847D8" w:rsidRDefault="007219CE" w:rsidP="007219CE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6061F38" w14:textId="792AE4C5" w:rsidR="007219CE" w:rsidRPr="009847D8" w:rsidRDefault="002A2C75" w:rsidP="007219CE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  <w:u w:val="single"/>
        </w:rPr>
      </w:pPr>
      <w:r w:rsidRPr="009847D8">
        <w:rPr>
          <w:rFonts w:asciiTheme="majorBidi" w:hAnsiTheme="majorBidi" w:cstheme="majorBidi"/>
          <w:iCs/>
          <w:szCs w:val="22"/>
          <w:u w:val="single"/>
        </w:rPr>
        <w:t>Držitel rozhodnutí o registraci a kontaktní údaje pro hlášení pro hlášení podezření na nežádoucí účinky</w:t>
      </w:r>
      <w:r w:rsidR="007219CE" w:rsidRPr="009847D8">
        <w:rPr>
          <w:rFonts w:asciiTheme="majorBidi" w:hAnsiTheme="majorBidi" w:cstheme="majorBidi"/>
          <w:iCs/>
          <w:szCs w:val="22"/>
          <w:u w:val="single"/>
        </w:rPr>
        <w:t>:</w:t>
      </w:r>
    </w:p>
    <w:p w14:paraId="43E87AE4" w14:textId="77777777" w:rsidR="007219CE" w:rsidRPr="009847D8" w:rsidRDefault="007219CE" w:rsidP="007219CE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Dopharma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Research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B.V.</w:t>
      </w:r>
    </w:p>
    <w:p w14:paraId="48BF449C" w14:textId="77777777" w:rsidR="007219CE" w:rsidRPr="009847D8" w:rsidRDefault="007219CE" w:rsidP="007219CE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Zalmweg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24 </w:t>
      </w:r>
    </w:p>
    <w:p w14:paraId="6CB7EEF5" w14:textId="447AB392" w:rsidR="007219CE" w:rsidRPr="009847D8" w:rsidRDefault="007219CE" w:rsidP="007219CE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 xml:space="preserve">4941 VX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Raamsdonksveer</w:t>
      </w:r>
      <w:proofErr w:type="spellEnd"/>
    </w:p>
    <w:p w14:paraId="0E0A4C06" w14:textId="3E814A8B" w:rsidR="00AD5836" w:rsidRPr="009847D8" w:rsidRDefault="00AD5836" w:rsidP="007219CE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>Nizozemsko</w:t>
      </w:r>
    </w:p>
    <w:p w14:paraId="6757287C" w14:textId="77777777" w:rsidR="00D02F9D" w:rsidRPr="009847D8" w:rsidRDefault="00D02F9D" w:rsidP="00D02F9D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 xml:space="preserve">Tel +31-162-582000 </w:t>
      </w:r>
    </w:p>
    <w:p w14:paraId="15B90414" w14:textId="77777777" w:rsidR="00D02F9D" w:rsidRPr="009847D8" w:rsidRDefault="00F933C8" w:rsidP="00D02F9D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hyperlink r:id="rId11" w:history="1">
        <w:r w:rsidR="00D02F9D" w:rsidRPr="009847D8">
          <w:rPr>
            <w:rStyle w:val="Hypertextovodkaz"/>
            <w:rFonts w:asciiTheme="majorBidi" w:hAnsiTheme="majorBidi" w:cstheme="majorBidi"/>
            <w:szCs w:val="22"/>
            <w:lang w:eastAsia="es-ES"/>
          </w:rPr>
          <w:t>pharmacovigilance@dopharma.com</w:t>
        </w:r>
      </w:hyperlink>
    </w:p>
    <w:p w14:paraId="75DE1D5F" w14:textId="77777777" w:rsidR="007219CE" w:rsidRPr="009847D8" w:rsidRDefault="007219CE" w:rsidP="007219CE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</w:p>
    <w:p w14:paraId="6519C8DC" w14:textId="57DB8ACC" w:rsidR="007219CE" w:rsidRPr="009847D8" w:rsidRDefault="002A2C75" w:rsidP="007219CE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  <w:u w:val="single"/>
        </w:rPr>
      </w:pPr>
      <w:r w:rsidRPr="009847D8">
        <w:rPr>
          <w:rFonts w:asciiTheme="majorBidi" w:hAnsiTheme="majorBidi" w:cstheme="majorBidi"/>
          <w:iCs/>
          <w:szCs w:val="22"/>
          <w:u w:val="single"/>
        </w:rPr>
        <w:t>Výrobce odpovědný za uvolnění šarže</w:t>
      </w:r>
      <w:r w:rsidR="007219CE" w:rsidRPr="009847D8">
        <w:rPr>
          <w:rFonts w:asciiTheme="majorBidi" w:hAnsiTheme="majorBidi" w:cstheme="majorBidi"/>
          <w:iCs/>
          <w:szCs w:val="22"/>
          <w:u w:val="single"/>
        </w:rPr>
        <w:t>:</w:t>
      </w:r>
    </w:p>
    <w:p w14:paraId="293B89CC" w14:textId="77777777" w:rsidR="00BE5A26" w:rsidRPr="009847D8" w:rsidRDefault="00BE5A26" w:rsidP="00BE5A26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>Dopharma France</w:t>
      </w:r>
    </w:p>
    <w:p w14:paraId="6C2223D5" w14:textId="77777777" w:rsidR="00BE5A26" w:rsidRPr="009847D8" w:rsidRDefault="00BE5A26" w:rsidP="00BE5A26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 xml:space="preserve">23,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rue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du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Prieuré</w:t>
      </w:r>
      <w:proofErr w:type="spellEnd"/>
    </w:p>
    <w:p w14:paraId="74C5A294" w14:textId="77777777" w:rsidR="00BE5A26" w:rsidRPr="009847D8" w:rsidRDefault="00BE5A26" w:rsidP="00BE5A26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 xml:space="preserve">Saint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Herblon</w:t>
      </w:r>
      <w:proofErr w:type="spellEnd"/>
    </w:p>
    <w:p w14:paraId="5CFAFFE0" w14:textId="3247B1D8" w:rsidR="00BE5A26" w:rsidRPr="009847D8" w:rsidRDefault="00BE5A26" w:rsidP="00BE5A26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 xml:space="preserve">44150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Vair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sur</w:t>
      </w:r>
      <w:proofErr w:type="spellEnd"/>
      <w:r w:rsidRPr="009847D8">
        <w:rPr>
          <w:rFonts w:asciiTheme="majorBidi" w:hAnsiTheme="majorBidi" w:cstheme="majorBidi"/>
          <w:szCs w:val="22"/>
          <w:lang w:eastAsia="es-ES"/>
        </w:rPr>
        <w:t xml:space="preserve"> </w:t>
      </w:r>
      <w:proofErr w:type="spellStart"/>
      <w:r w:rsidRPr="009847D8">
        <w:rPr>
          <w:rFonts w:asciiTheme="majorBidi" w:hAnsiTheme="majorBidi" w:cstheme="majorBidi"/>
          <w:szCs w:val="22"/>
          <w:lang w:eastAsia="es-ES"/>
        </w:rPr>
        <w:t>Loire</w:t>
      </w:r>
      <w:proofErr w:type="spellEnd"/>
    </w:p>
    <w:p w14:paraId="33A820E8" w14:textId="462A7811" w:rsidR="00AD5836" w:rsidRPr="009847D8" w:rsidRDefault="00AD5836" w:rsidP="00BE5A26">
      <w:pPr>
        <w:tabs>
          <w:tab w:val="clear" w:pos="567"/>
          <w:tab w:val="left" w:pos="708"/>
        </w:tabs>
        <w:spacing w:line="240" w:lineRule="auto"/>
        <w:rPr>
          <w:rFonts w:asciiTheme="majorBidi" w:hAnsiTheme="majorBidi" w:cstheme="majorBidi"/>
          <w:szCs w:val="22"/>
          <w:lang w:eastAsia="es-ES"/>
        </w:rPr>
      </w:pPr>
      <w:r w:rsidRPr="009847D8">
        <w:rPr>
          <w:rFonts w:asciiTheme="majorBidi" w:hAnsiTheme="majorBidi" w:cstheme="majorBidi"/>
          <w:szCs w:val="22"/>
          <w:lang w:eastAsia="es-ES"/>
        </w:rPr>
        <w:t>Francie</w:t>
      </w:r>
    </w:p>
    <w:p w14:paraId="243714CF" w14:textId="77777777" w:rsidR="00071500" w:rsidRPr="009847D8" w:rsidRDefault="00071500" w:rsidP="00071500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0261A45" w14:textId="524EB48F" w:rsidR="00C114FF" w:rsidRPr="009847D8" w:rsidRDefault="00276407" w:rsidP="00895A2F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b/>
          <w:szCs w:val="22"/>
        </w:rPr>
        <w:t>&lt;</w:t>
      </w:r>
      <w:r w:rsidR="00C114FF" w:rsidRPr="009847D8">
        <w:rPr>
          <w:rFonts w:asciiTheme="majorBidi" w:hAnsiTheme="majorBidi" w:cstheme="majorBidi"/>
          <w:b/>
          <w:szCs w:val="22"/>
          <w:highlight w:val="lightGray"/>
        </w:rPr>
        <w:t>1</w:t>
      </w:r>
      <w:r w:rsidR="0056662E" w:rsidRPr="009847D8">
        <w:rPr>
          <w:rFonts w:asciiTheme="majorBidi" w:hAnsiTheme="majorBidi" w:cstheme="majorBidi"/>
          <w:b/>
          <w:szCs w:val="22"/>
          <w:highlight w:val="lightGray"/>
        </w:rPr>
        <w:t>7</w:t>
      </w:r>
      <w:r w:rsidR="00C114FF" w:rsidRPr="009847D8">
        <w:rPr>
          <w:rFonts w:asciiTheme="majorBidi" w:hAnsiTheme="majorBidi" w:cstheme="majorBidi"/>
          <w:b/>
          <w:szCs w:val="22"/>
          <w:highlight w:val="lightGray"/>
        </w:rPr>
        <w:t>.</w:t>
      </w:r>
      <w:r w:rsidR="00C114FF" w:rsidRPr="009847D8">
        <w:rPr>
          <w:rFonts w:asciiTheme="majorBidi" w:hAnsiTheme="majorBidi" w:cstheme="majorBidi"/>
          <w:b/>
          <w:szCs w:val="22"/>
        </w:rPr>
        <w:tab/>
      </w:r>
      <w:r w:rsidR="00E0391B" w:rsidRPr="009847D8">
        <w:rPr>
          <w:rFonts w:asciiTheme="majorBidi" w:hAnsiTheme="majorBidi" w:cstheme="majorBidi"/>
          <w:b/>
          <w:szCs w:val="22"/>
        </w:rPr>
        <w:t>Další informace</w:t>
      </w:r>
    </w:p>
    <w:p w14:paraId="00CAB771" w14:textId="77777777" w:rsidR="00C114FF" w:rsidRPr="009847D8" w:rsidRDefault="00C114FF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BEC0C97" w14:textId="77777777" w:rsidR="00311ABD" w:rsidRPr="009847D8" w:rsidRDefault="00B802FB" w:rsidP="00A9226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56637" wp14:editId="7BDF4357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21431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6B9B2" id="Rectangle 1" o:spid="_x0000_s1026" style="position:absolute;margin-left:5.6pt;margin-top:4.8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29ABF2F2" w14:textId="77777777" w:rsidR="00311ABD" w:rsidRPr="009847D8" w:rsidRDefault="00311ABD" w:rsidP="00311ABD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493F71E" w14:textId="77777777" w:rsidR="00B802FB" w:rsidRPr="009847D8" w:rsidRDefault="00B802FB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7B7C257E" w14:textId="77777777" w:rsidR="00524206" w:rsidRPr="009847D8" w:rsidRDefault="00B802FB" w:rsidP="00B802FB">
      <w:pPr>
        <w:tabs>
          <w:tab w:val="clear" w:pos="567"/>
          <w:tab w:val="left" w:pos="3735"/>
        </w:tabs>
        <w:rPr>
          <w:rFonts w:asciiTheme="majorBidi" w:hAnsiTheme="majorBidi" w:cstheme="majorBidi"/>
          <w:szCs w:val="22"/>
        </w:rPr>
      </w:pPr>
      <w:r w:rsidRPr="009847D8">
        <w:rPr>
          <w:rFonts w:asciiTheme="majorBidi" w:hAnsiTheme="majorBidi" w:cstheme="majorBidi"/>
          <w:szCs w:val="22"/>
        </w:rPr>
        <w:tab/>
        <w:t>&gt;</w:t>
      </w:r>
    </w:p>
    <w:sectPr w:rsidR="00524206" w:rsidRPr="009847D8" w:rsidSect="007F2F03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AA9E" w14:textId="77777777" w:rsidR="00F933C8" w:rsidRDefault="00F933C8">
      <w:r>
        <w:separator/>
      </w:r>
    </w:p>
  </w:endnote>
  <w:endnote w:type="continuationSeparator" w:id="0">
    <w:p w14:paraId="5856AA89" w14:textId="77777777" w:rsidR="00F933C8" w:rsidRDefault="00F933C8">
      <w:r>
        <w:continuationSeparator/>
      </w:r>
    </w:p>
  </w:endnote>
  <w:endnote w:type="continuationNotice" w:id="1">
    <w:p w14:paraId="1AD2CB58" w14:textId="77777777" w:rsidR="00F933C8" w:rsidRDefault="00F933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EA54" w14:textId="0FDB87C3" w:rsidR="00DF4B4D" w:rsidRPr="00B94A1B" w:rsidRDefault="00BD09A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="00DF4B4D"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180498">
      <w:rPr>
        <w:rFonts w:ascii="Times New Roman" w:hAnsi="Times New Roman"/>
        <w:noProof/>
      </w:rPr>
      <w:t>10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04AA" w14:textId="77777777" w:rsidR="00DF4B4D" w:rsidRDefault="00BD09A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F4B4D">
      <w:instrText xml:space="preserve"> PAGE  \* MERGEFORMAT </w:instrText>
    </w:r>
    <w:r>
      <w:fldChar w:fldCharType="separate"/>
    </w:r>
    <w:r w:rsidR="00DF4B4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97AE" w14:textId="77777777" w:rsidR="00F933C8" w:rsidRDefault="00F933C8">
      <w:r>
        <w:separator/>
      </w:r>
    </w:p>
  </w:footnote>
  <w:footnote w:type="continuationSeparator" w:id="0">
    <w:p w14:paraId="337176CC" w14:textId="77777777" w:rsidR="00F933C8" w:rsidRDefault="00F933C8">
      <w:r>
        <w:continuationSeparator/>
      </w:r>
    </w:p>
  </w:footnote>
  <w:footnote w:type="continuationNotice" w:id="1">
    <w:p w14:paraId="1E577D97" w14:textId="77777777" w:rsidR="00F933C8" w:rsidRDefault="00F933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D096" w14:textId="27515EEF" w:rsidR="0059348F" w:rsidRDefault="005934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FD8"/>
    <w:rsid w:val="00024777"/>
    <w:rsid w:val="00024E21"/>
    <w:rsid w:val="0003142A"/>
    <w:rsid w:val="000368C5"/>
    <w:rsid w:val="00036C50"/>
    <w:rsid w:val="00043786"/>
    <w:rsid w:val="00052D2B"/>
    <w:rsid w:val="00054F55"/>
    <w:rsid w:val="00062945"/>
    <w:rsid w:val="00071500"/>
    <w:rsid w:val="00075525"/>
    <w:rsid w:val="00080453"/>
    <w:rsid w:val="0008169A"/>
    <w:rsid w:val="00082830"/>
    <w:rsid w:val="000860CE"/>
    <w:rsid w:val="00092A37"/>
    <w:rsid w:val="000938A6"/>
    <w:rsid w:val="00096E3F"/>
    <w:rsid w:val="00097C1E"/>
    <w:rsid w:val="000A1DF5"/>
    <w:rsid w:val="000A7224"/>
    <w:rsid w:val="000B2DCB"/>
    <w:rsid w:val="000B760B"/>
    <w:rsid w:val="000B7873"/>
    <w:rsid w:val="000C02A1"/>
    <w:rsid w:val="000C1D4F"/>
    <w:rsid w:val="000C33F3"/>
    <w:rsid w:val="000C37BA"/>
    <w:rsid w:val="000C582A"/>
    <w:rsid w:val="000C687A"/>
    <w:rsid w:val="000D0BE3"/>
    <w:rsid w:val="000D67D0"/>
    <w:rsid w:val="000E195C"/>
    <w:rsid w:val="000E32D1"/>
    <w:rsid w:val="000E3602"/>
    <w:rsid w:val="000E619E"/>
    <w:rsid w:val="000F38DA"/>
    <w:rsid w:val="000F5822"/>
    <w:rsid w:val="000F7768"/>
    <w:rsid w:val="000F796B"/>
    <w:rsid w:val="0010031E"/>
    <w:rsid w:val="001012EB"/>
    <w:rsid w:val="001078D1"/>
    <w:rsid w:val="00115782"/>
    <w:rsid w:val="00116952"/>
    <w:rsid w:val="00124F36"/>
    <w:rsid w:val="00125666"/>
    <w:rsid w:val="00125C80"/>
    <w:rsid w:val="0013414E"/>
    <w:rsid w:val="0013799F"/>
    <w:rsid w:val="00140DF6"/>
    <w:rsid w:val="00145AA7"/>
    <w:rsid w:val="00145C3F"/>
    <w:rsid w:val="00145D34"/>
    <w:rsid w:val="00146284"/>
    <w:rsid w:val="0014690F"/>
    <w:rsid w:val="0015098E"/>
    <w:rsid w:val="00153905"/>
    <w:rsid w:val="001674D3"/>
    <w:rsid w:val="00170402"/>
    <w:rsid w:val="00175264"/>
    <w:rsid w:val="00177BD3"/>
    <w:rsid w:val="001803D2"/>
    <w:rsid w:val="00180498"/>
    <w:rsid w:val="0018228B"/>
    <w:rsid w:val="00185B50"/>
    <w:rsid w:val="0018625C"/>
    <w:rsid w:val="0018799B"/>
    <w:rsid w:val="00187DE7"/>
    <w:rsid w:val="00187E62"/>
    <w:rsid w:val="00192045"/>
    <w:rsid w:val="00193B14"/>
    <w:rsid w:val="00193E72"/>
    <w:rsid w:val="00195267"/>
    <w:rsid w:val="0019600B"/>
    <w:rsid w:val="00196070"/>
    <w:rsid w:val="0019686E"/>
    <w:rsid w:val="001A0E2C"/>
    <w:rsid w:val="001A1B79"/>
    <w:rsid w:val="001A2098"/>
    <w:rsid w:val="001A28C9"/>
    <w:rsid w:val="001A34BC"/>
    <w:rsid w:val="001B1C77"/>
    <w:rsid w:val="001B6F4A"/>
    <w:rsid w:val="001B7CF9"/>
    <w:rsid w:val="001B7FB1"/>
    <w:rsid w:val="001C1AD9"/>
    <w:rsid w:val="001C5288"/>
    <w:rsid w:val="001C5B03"/>
    <w:rsid w:val="001D6D96"/>
    <w:rsid w:val="001E5621"/>
    <w:rsid w:val="001F3EF9"/>
    <w:rsid w:val="001F44DC"/>
    <w:rsid w:val="001F627D"/>
    <w:rsid w:val="001F6622"/>
    <w:rsid w:val="002026B2"/>
    <w:rsid w:val="002100FC"/>
    <w:rsid w:val="00213890"/>
    <w:rsid w:val="00214E52"/>
    <w:rsid w:val="00216218"/>
    <w:rsid w:val="002207C0"/>
    <w:rsid w:val="00224B93"/>
    <w:rsid w:val="0023676E"/>
    <w:rsid w:val="002414B6"/>
    <w:rsid w:val="002422EB"/>
    <w:rsid w:val="00242397"/>
    <w:rsid w:val="00245AF9"/>
    <w:rsid w:val="0024773B"/>
    <w:rsid w:val="00250DD1"/>
    <w:rsid w:val="00251027"/>
    <w:rsid w:val="00251183"/>
    <w:rsid w:val="00251689"/>
    <w:rsid w:val="0025267C"/>
    <w:rsid w:val="0025365B"/>
    <w:rsid w:val="00253B6B"/>
    <w:rsid w:val="00265656"/>
    <w:rsid w:val="00265E77"/>
    <w:rsid w:val="00266155"/>
    <w:rsid w:val="0027270B"/>
    <w:rsid w:val="00276407"/>
    <w:rsid w:val="002838C8"/>
    <w:rsid w:val="00290805"/>
    <w:rsid w:val="00290C2A"/>
    <w:rsid w:val="002931DD"/>
    <w:rsid w:val="002A01F7"/>
    <w:rsid w:val="002A0E7C"/>
    <w:rsid w:val="002A21ED"/>
    <w:rsid w:val="002A2C75"/>
    <w:rsid w:val="002A3F88"/>
    <w:rsid w:val="002B0F11"/>
    <w:rsid w:val="002C0EE2"/>
    <w:rsid w:val="002C16E0"/>
    <w:rsid w:val="002C55FF"/>
    <w:rsid w:val="002C592B"/>
    <w:rsid w:val="002D713A"/>
    <w:rsid w:val="002E3A90"/>
    <w:rsid w:val="002E4223"/>
    <w:rsid w:val="002E46CC"/>
    <w:rsid w:val="002E4F48"/>
    <w:rsid w:val="002E62CB"/>
    <w:rsid w:val="002E6DF1"/>
    <w:rsid w:val="002E6ED9"/>
    <w:rsid w:val="002F02F3"/>
    <w:rsid w:val="002F0957"/>
    <w:rsid w:val="002F1317"/>
    <w:rsid w:val="002F41AD"/>
    <w:rsid w:val="002F43F6"/>
    <w:rsid w:val="002F71D5"/>
    <w:rsid w:val="003020BB"/>
    <w:rsid w:val="00304393"/>
    <w:rsid w:val="00305AB2"/>
    <w:rsid w:val="0031032B"/>
    <w:rsid w:val="00311ABD"/>
    <w:rsid w:val="00316E87"/>
    <w:rsid w:val="0032453E"/>
    <w:rsid w:val="00325053"/>
    <w:rsid w:val="003256AC"/>
    <w:rsid w:val="0033129D"/>
    <w:rsid w:val="003320ED"/>
    <w:rsid w:val="0033480E"/>
    <w:rsid w:val="003358CA"/>
    <w:rsid w:val="003361BA"/>
    <w:rsid w:val="00336959"/>
    <w:rsid w:val="00337123"/>
    <w:rsid w:val="00341828"/>
    <w:rsid w:val="00341866"/>
    <w:rsid w:val="003535E0"/>
    <w:rsid w:val="00354750"/>
    <w:rsid w:val="00364269"/>
    <w:rsid w:val="00366F56"/>
    <w:rsid w:val="003737C8"/>
    <w:rsid w:val="0037589D"/>
    <w:rsid w:val="00376BB1"/>
    <w:rsid w:val="00377E23"/>
    <w:rsid w:val="0038277C"/>
    <w:rsid w:val="003909E0"/>
    <w:rsid w:val="00391582"/>
    <w:rsid w:val="0039348C"/>
    <w:rsid w:val="00393E09"/>
    <w:rsid w:val="00395B15"/>
    <w:rsid w:val="00396026"/>
    <w:rsid w:val="003A31D0"/>
    <w:rsid w:val="003A3E2F"/>
    <w:rsid w:val="003A6CCB"/>
    <w:rsid w:val="003B10C4"/>
    <w:rsid w:val="003B48EB"/>
    <w:rsid w:val="003C33FF"/>
    <w:rsid w:val="003C3BAB"/>
    <w:rsid w:val="003C4C2B"/>
    <w:rsid w:val="003C64A5"/>
    <w:rsid w:val="003D03CC"/>
    <w:rsid w:val="003D2BB1"/>
    <w:rsid w:val="003D4902"/>
    <w:rsid w:val="003D4BB7"/>
    <w:rsid w:val="003E0116"/>
    <w:rsid w:val="003E0E07"/>
    <w:rsid w:val="003E26C3"/>
    <w:rsid w:val="003F0C67"/>
    <w:rsid w:val="003F0D6C"/>
    <w:rsid w:val="003F0F26"/>
    <w:rsid w:val="003F12D9"/>
    <w:rsid w:val="003F1B4C"/>
    <w:rsid w:val="003F1D78"/>
    <w:rsid w:val="004008F6"/>
    <w:rsid w:val="00412BBE"/>
    <w:rsid w:val="00414B20"/>
    <w:rsid w:val="004159D1"/>
    <w:rsid w:val="00417DE3"/>
    <w:rsid w:val="00420850"/>
    <w:rsid w:val="00423968"/>
    <w:rsid w:val="00425EE3"/>
    <w:rsid w:val="00427054"/>
    <w:rsid w:val="004304B1"/>
    <w:rsid w:val="0043320A"/>
    <w:rsid w:val="004332E3"/>
    <w:rsid w:val="004518A6"/>
    <w:rsid w:val="00453E1D"/>
    <w:rsid w:val="00454589"/>
    <w:rsid w:val="00456ED0"/>
    <w:rsid w:val="00457550"/>
    <w:rsid w:val="004576F0"/>
    <w:rsid w:val="00470085"/>
    <w:rsid w:val="00472295"/>
    <w:rsid w:val="00472F22"/>
    <w:rsid w:val="004743A8"/>
    <w:rsid w:val="00474C50"/>
    <w:rsid w:val="00474E47"/>
    <w:rsid w:val="004771F9"/>
    <w:rsid w:val="00486006"/>
    <w:rsid w:val="00486BAD"/>
    <w:rsid w:val="00486BBE"/>
    <w:rsid w:val="00487123"/>
    <w:rsid w:val="004A0A4B"/>
    <w:rsid w:val="004A1BB0"/>
    <w:rsid w:val="004A1BD5"/>
    <w:rsid w:val="004A2A42"/>
    <w:rsid w:val="004A61E1"/>
    <w:rsid w:val="004B2344"/>
    <w:rsid w:val="004B2938"/>
    <w:rsid w:val="004B5DDC"/>
    <w:rsid w:val="004B798E"/>
    <w:rsid w:val="004C2ABD"/>
    <w:rsid w:val="004C569E"/>
    <w:rsid w:val="004C6295"/>
    <w:rsid w:val="004D3E58"/>
    <w:rsid w:val="004D6746"/>
    <w:rsid w:val="004D767B"/>
    <w:rsid w:val="004E0F32"/>
    <w:rsid w:val="004E23A1"/>
    <w:rsid w:val="004E3FD7"/>
    <w:rsid w:val="004E7092"/>
    <w:rsid w:val="004E7ECE"/>
    <w:rsid w:val="004F6F64"/>
    <w:rsid w:val="00500422"/>
    <w:rsid w:val="005004EC"/>
    <w:rsid w:val="00507C28"/>
    <w:rsid w:val="00514672"/>
    <w:rsid w:val="00517756"/>
    <w:rsid w:val="005202C6"/>
    <w:rsid w:val="00523C53"/>
    <w:rsid w:val="00524206"/>
    <w:rsid w:val="00527484"/>
    <w:rsid w:val="00527B8F"/>
    <w:rsid w:val="00531139"/>
    <w:rsid w:val="00533DA1"/>
    <w:rsid w:val="00542012"/>
    <w:rsid w:val="00543B1B"/>
    <w:rsid w:val="00543DF5"/>
    <w:rsid w:val="00544CE7"/>
    <w:rsid w:val="0055260D"/>
    <w:rsid w:val="0055304E"/>
    <w:rsid w:val="005542FF"/>
    <w:rsid w:val="00555422"/>
    <w:rsid w:val="00555810"/>
    <w:rsid w:val="00562DCA"/>
    <w:rsid w:val="005649C1"/>
    <w:rsid w:val="0056568F"/>
    <w:rsid w:val="0056662E"/>
    <w:rsid w:val="00580DF0"/>
    <w:rsid w:val="00582578"/>
    <w:rsid w:val="00585313"/>
    <w:rsid w:val="00587E99"/>
    <w:rsid w:val="0059348F"/>
    <w:rsid w:val="00597940"/>
    <w:rsid w:val="00597AAB"/>
    <w:rsid w:val="005B04A8"/>
    <w:rsid w:val="005B15A0"/>
    <w:rsid w:val="005B28AD"/>
    <w:rsid w:val="005B328D"/>
    <w:rsid w:val="005B3503"/>
    <w:rsid w:val="005B3EE7"/>
    <w:rsid w:val="005B4DCD"/>
    <w:rsid w:val="005B4FAD"/>
    <w:rsid w:val="005D29D8"/>
    <w:rsid w:val="005D2D29"/>
    <w:rsid w:val="005D380C"/>
    <w:rsid w:val="005D6E04"/>
    <w:rsid w:val="005D7A12"/>
    <w:rsid w:val="005E0ABC"/>
    <w:rsid w:val="005E1C64"/>
    <w:rsid w:val="005E53EE"/>
    <w:rsid w:val="005F0542"/>
    <w:rsid w:val="005F0F72"/>
    <w:rsid w:val="005F1C1F"/>
    <w:rsid w:val="005F346D"/>
    <w:rsid w:val="005F38FB"/>
    <w:rsid w:val="006021B0"/>
    <w:rsid w:val="00602D3B"/>
    <w:rsid w:val="00606EA1"/>
    <w:rsid w:val="00612778"/>
    <w:rsid w:val="006128F0"/>
    <w:rsid w:val="00613AED"/>
    <w:rsid w:val="0061726B"/>
    <w:rsid w:val="00620A9B"/>
    <w:rsid w:val="0062387A"/>
    <w:rsid w:val="0063377D"/>
    <w:rsid w:val="006344BE"/>
    <w:rsid w:val="00634A66"/>
    <w:rsid w:val="0063604E"/>
    <w:rsid w:val="00636076"/>
    <w:rsid w:val="00640336"/>
    <w:rsid w:val="00640FC9"/>
    <w:rsid w:val="006432F2"/>
    <w:rsid w:val="0065320F"/>
    <w:rsid w:val="00653D64"/>
    <w:rsid w:val="00654E13"/>
    <w:rsid w:val="00667489"/>
    <w:rsid w:val="00670D44"/>
    <w:rsid w:val="00676AFC"/>
    <w:rsid w:val="006807CD"/>
    <w:rsid w:val="00682D43"/>
    <w:rsid w:val="00685BAF"/>
    <w:rsid w:val="00693B6C"/>
    <w:rsid w:val="00695481"/>
    <w:rsid w:val="00697432"/>
    <w:rsid w:val="006A0CF3"/>
    <w:rsid w:val="006A0D03"/>
    <w:rsid w:val="006A41E9"/>
    <w:rsid w:val="006B12CB"/>
    <w:rsid w:val="006B53F9"/>
    <w:rsid w:val="006B5916"/>
    <w:rsid w:val="006C0447"/>
    <w:rsid w:val="006C4775"/>
    <w:rsid w:val="006C4F4A"/>
    <w:rsid w:val="006C5E80"/>
    <w:rsid w:val="006C66B5"/>
    <w:rsid w:val="006C7233"/>
    <w:rsid w:val="006C7CEE"/>
    <w:rsid w:val="006D075E"/>
    <w:rsid w:val="006D7C6E"/>
    <w:rsid w:val="006E2F95"/>
    <w:rsid w:val="0070165F"/>
    <w:rsid w:val="00705EAF"/>
    <w:rsid w:val="007101CC"/>
    <w:rsid w:val="007141C4"/>
    <w:rsid w:val="0072040E"/>
    <w:rsid w:val="00720CE2"/>
    <w:rsid w:val="007219CE"/>
    <w:rsid w:val="00723495"/>
    <w:rsid w:val="00724053"/>
    <w:rsid w:val="00724E3B"/>
    <w:rsid w:val="00725EEA"/>
    <w:rsid w:val="00726557"/>
    <w:rsid w:val="00730CE9"/>
    <w:rsid w:val="007330D0"/>
    <w:rsid w:val="0073373D"/>
    <w:rsid w:val="007439DB"/>
    <w:rsid w:val="00754CBB"/>
    <w:rsid w:val="00755ADF"/>
    <w:rsid w:val="007568D8"/>
    <w:rsid w:val="00765316"/>
    <w:rsid w:val="00766690"/>
    <w:rsid w:val="007708C8"/>
    <w:rsid w:val="00776A50"/>
    <w:rsid w:val="0077719D"/>
    <w:rsid w:val="00780DF0"/>
    <w:rsid w:val="00782F0F"/>
    <w:rsid w:val="0078621B"/>
    <w:rsid w:val="00787482"/>
    <w:rsid w:val="00787F5C"/>
    <w:rsid w:val="00793AFE"/>
    <w:rsid w:val="00794575"/>
    <w:rsid w:val="007A286D"/>
    <w:rsid w:val="007A38DF"/>
    <w:rsid w:val="007B20CF"/>
    <w:rsid w:val="007B2499"/>
    <w:rsid w:val="007B2B31"/>
    <w:rsid w:val="007B72E1"/>
    <w:rsid w:val="007B783A"/>
    <w:rsid w:val="007C0E59"/>
    <w:rsid w:val="007C1B95"/>
    <w:rsid w:val="007D73FB"/>
    <w:rsid w:val="007E2F2D"/>
    <w:rsid w:val="007E7566"/>
    <w:rsid w:val="007F1433"/>
    <w:rsid w:val="007F1491"/>
    <w:rsid w:val="007F2F03"/>
    <w:rsid w:val="007F353E"/>
    <w:rsid w:val="00800FE0"/>
    <w:rsid w:val="00804165"/>
    <w:rsid w:val="00805511"/>
    <w:rsid w:val="008066AD"/>
    <w:rsid w:val="00811B2B"/>
    <w:rsid w:val="00814AF1"/>
    <w:rsid w:val="0081517F"/>
    <w:rsid w:val="00815370"/>
    <w:rsid w:val="0082153D"/>
    <w:rsid w:val="008243B8"/>
    <w:rsid w:val="008255AA"/>
    <w:rsid w:val="00826700"/>
    <w:rsid w:val="00830FF3"/>
    <w:rsid w:val="0083349C"/>
    <w:rsid w:val="008334BF"/>
    <w:rsid w:val="00836B8C"/>
    <w:rsid w:val="00840062"/>
    <w:rsid w:val="008410C5"/>
    <w:rsid w:val="008413D4"/>
    <w:rsid w:val="00842B27"/>
    <w:rsid w:val="00844703"/>
    <w:rsid w:val="00845AF0"/>
    <w:rsid w:val="00846C08"/>
    <w:rsid w:val="00847580"/>
    <w:rsid w:val="008530E7"/>
    <w:rsid w:val="00856BDB"/>
    <w:rsid w:val="00857675"/>
    <w:rsid w:val="00863D20"/>
    <w:rsid w:val="00875EC3"/>
    <w:rsid w:val="008763E7"/>
    <w:rsid w:val="008808C5"/>
    <w:rsid w:val="008812E5"/>
    <w:rsid w:val="00881A7C"/>
    <w:rsid w:val="008837D2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B24A8"/>
    <w:rsid w:val="008B25E4"/>
    <w:rsid w:val="008B3D78"/>
    <w:rsid w:val="008B631A"/>
    <w:rsid w:val="008C261B"/>
    <w:rsid w:val="008C4FCA"/>
    <w:rsid w:val="008C7882"/>
    <w:rsid w:val="008D2261"/>
    <w:rsid w:val="008D38D4"/>
    <w:rsid w:val="008D49CC"/>
    <w:rsid w:val="008D4C28"/>
    <w:rsid w:val="008D577B"/>
    <w:rsid w:val="008D7A98"/>
    <w:rsid w:val="008E17C4"/>
    <w:rsid w:val="008E45C4"/>
    <w:rsid w:val="008E64B1"/>
    <w:rsid w:val="008E64FA"/>
    <w:rsid w:val="008E74ED"/>
    <w:rsid w:val="008F304A"/>
    <w:rsid w:val="008F4147"/>
    <w:rsid w:val="008F49BF"/>
    <w:rsid w:val="008F4DEF"/>
    <w:rsid w:val="008F711E"/>
    <w:rsid w:val="00900E24"/>
    <w:rsid w:val="00903D0D"/>
    <w:rsid w:val="009048E1"/>
    <w:rsid w:val="0090598C"/>
    <w:rsid w:val="009071BB"/>
    <w:rsid w:val="00913885"/>
    <w:rsid w:val="0091597C"/>
    <w:rsid w:val="00931D41"/>
    <w:rsid w:val="00933D18"/>
    <w:rsid w:val="009343DF"/>
    <w:rsid w:val="00942221"/>
    <w:rsid w:val="00946551"/>
    <w:rsid w:val="00947634"/>
    <w:rsid w:val="00950FBB"/>
    <w:rsid w:val="0095122F"/>
    <w:rsid w:val="00953349"/>
    <w:rsid w:val="00954E0C"/>
    <w:rsid w:val="00961156"/>
    <w:rsid w:val="00964F03"/>
    <w:rsid w:val="00966F1F"/>
    <w:rsid w:val="0097161A"/>
    <w:rsid w:val="00975676"/>
    <w:rsid w:val="00976467"/>
    <w:rsid w:val="00976D32"/>
    <w:rsid w:val="00980240"/>
    <w:rsid w:val="00982A3F"/>
    <w:rsid w:val="009844F7"/>
    <w:rsid w:val="009847D8"/>
    <w:rsid w:val="009938F7"/>
    <w:rsid w:val="009A05AA"/>
    <w:rsid w:val="009A2331"/>
    <w:rsid w:val="009A2D5A"/>
    <w:rsid w:val="009B2C7E"/>
    <w:rsid w:val="009B6DBD"/>
    <w:rsid w:val="009C108A"/>
    <w:rsid w:val="009C2E47"/>
    <w:rsid w:val="009C6BFB"/>
    <w:rsid w:val="009D0C05"/>
    <w:rsid w:val="009E103C"/>
    <w:rsid w:val="009E160A"/>
    <w:rsid w:val="009E2C00"/>
    <w:rsid w:val="009E49AD"/>
    <w:rsid w:val="009E70F4"/>
    <w:rsid w:val="009F1AD2"/>
    <w:rsid w:val="009F254D"/>
    <w:rsid w:val="00A00752"/>
    <w:rsid w:val="00A0479E"/>
    <w:rsid w:val="00A07979"/>
    <w:rsid w:val="00A11755"/>
    <w:rsid w:val="00A207FB"/>
    <w:rsid w:val="00A22F73"/>
    <w:rsid w:val="00A23815"/>
    <w:rsid w:val="00A24016"/>
    <w:rsid w:val="00A265BF"/>
    <w:rsid w:val="00A26F44"/>
    <w:rsid w:val="00A34FAB"/>
    <w:rsid w:val="00A4313D"/>
    <w:rsid w:val="00A50120"/>
    <w:rsid w:val="00A534E5"/>
    <w:rsid w:val="00A60351"/>
    <w:rsid w:val="00A61C6D"/>
    <w:rsid w:val="00A63015"/>
    <w:rsid w:val="00A64E96"/>
    <w:rsid w:val="00A65CF6"/>
    <w:rsid w:val="00A66254"/>
    <w:rsid w:val="00A678B4"/>
    <w:rsid w:val="00A704A3"/>
    <w:rsid w:val="00A71E96"/>
    <w:rsid w:val="00A75E23"/>
    <w:rsid w:val="00A82AA0"/>
    <w:rsid w:val="00A82F8A"/>
    <w:rsid w:val="00A84BF0"/>
    <w:rsid w:val="00A9226B"/>
    <w:rsid w:val="00A94197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2133"/>
    <w:rsid w:val="00AC47A3"/>
    <w:rsid w:val="00AD0710"/>
    <w:rsid w:val="00AD2618"/>
    <w:rsid w:val="00AD4DB9"/>
    <w:rsid w:val="00AD5836"/>
    <w:rsid w:val="00AD63C0"/>
    <w:rsid w:val="00AE35B2"/>
    <w:rsid w:val="00AE6AA0"/>
    <w:rsid w:val="00B03440"/>
    <w:rsid w:val="00B119A2"/>
    <w:rsid w:val="00B13905"/>
    <w:rsid w:val="00B177F2"/>
    <w:rsid w:val="00B201F1"/>
    <w:rsid w:val="00B304E7"/>
    <w:rsid w:val="00B318B6"/>
    <w:rsid w:val="00B377E0"/>
    <w:rsid w:val="00B41F47"/>
    <w:rsid w:val="00B44CA2"/>
    <w:rsid w:val="00B60AC9"/>
    <w:rsid w:val="00B67323"/>
    <w:rsid w:val="00B715F2"/>
    <w:rsid w:val="00B74071"/>
    <w:rsid w:val="00B7428E"/>
    <w:rsid w:val="00B74B67"/>
    <w:rsid w:val="00B762A3"/>
    <w:rsid w:val="00B779AA"/>
    <w:rsid w:val="00B802FB"/>
    <w:rsid w:val="00B81C95"/>
    <w:rsid w:val="00B82330"/>
    <w:rsid w:val="00B82ED4"/>
    <w:rsid w:val="00B8424F"/>
    <w:rsid w:val="00B852E5"/>
    <w:rsid w:val="00B86896"/>
    <w:rsid w:val="00B875A6"/>
    <w:rsid w:val="00B90603"/>
    <w:rsid w:val="00B93E4C"/>
    <w:rsid w:val="00B94A1B"/>
    <w:rsid w:val="00BA5C89"/>
    <w:rsid w:val="00BB4CE2"/>
    <w:rsid w:val="00BB5EF0"/>
    <w:rsid w:val="00BB6724"/>
    <w:rsid w:val="00BC0EFB"/>
    <w:rsid w:val="00BC2B5A"/>
    <w:rsid w:val="00BC2E39"/>
    <w:rsid w:val="00BD09A9"/>
    <w:rsid w:val="00BD2364"/>
    <w:rsid w:val="00BD28E3"/>
    <w:rsid w:val="00BD5FA0"/>
    <w:rsid w:val="00BE3261"/>
    <w:rsid w:val="00BE5A26"/>
    <w:rsid w:val="00BF2AEE"/>
    <w:rsid w:val="00BF58FC"/>
    <w:rsid w:val="00C01F77"/>
    <w:rsid w:val="00C01FFC"/>
    <w:rsid w:val="00C06AE4"/>
    <w:rsid w:val="00C114FF"/>
    <w:rsid w:val="00C171A1"/>
    <w:rsid w:val="00C171A4"/>
    <w:rsid w:val="00C17F12"/>
    <w:rsid w:val="00C21C1A"/>
    <w:rsid w:val="00C237E9"/>
    <w:rsid w:val="00C32989"/>
    <w:rsid w:val="00C36883"/>
    <w:rsid w:val="00C37F6B"/>
    <w:rsid w:val="00C40928"/>
    <w:rsid w:val="00C42697"/>
    <w:rsid w:val="00C43F01"/>
    <w:rsid w:val="00C47552"/>
    <w:rsid w:val="00C47D35"/>
    <w:rsid w:val="00C50C56"/>
    <w:rsid w:val="00C57A81"/>
    <w:rsid w:val="00C60193"/>
    <w:rsid w:val="00C634D4"/>
    <w:rsid w:val="00C63AA5"/>
    <w:rsid w:val="00C64C30"/>
    <w:rsid w:val="00C65071"/>
    <w:rsid w:val="00C6624C"/>
    <w:rsid w:val="00C6727C"/>
    <w:rsid w:val="00C6744C"/>
    <w:rsid w:val="00C71B5D"/>
    <w:rsid w:val="00C73134"/>
    <w:rsid w:val="00C73F6D"/>
    <w:rsid w:val="00C74F6E"/>
    <w:rsid w:val="00C77FA4"/>
    <w:rsid w:val="00C77FFA"/>
    <w:rsid w:val="00C80401"/>
    <w:rsid w:val="00C81C97"/>
    <w:rsid w:val="00C82948"/>
    <w:rsid w:val="00C840C2"/>
    <w:rsid w:val="00C84101"/>
    <w:rsid w:val="00C8535F"/>
    <w:rsid w:val="00C90EDA"/>
    <w:rsid w:val="00C959E7"/>
    <w:rsid w:val="00C96C7E"/>
    <w:rsid w:val="00C97832"/>
    <w:rsid w:val="00CA34C8"/>
    <w:rsid w:val="00CA356C"/>
    <w:rsid w:val="00CA572F"/>
    <w:rsid w:val="00CC1E65"/>
    <w:rsid w:val="00CC567A"/>
    <w:rsid w:val="00CC7C0D"/>
    <w:rsid w:val="00CD4059"/>
    <w:rsid w:val="00CD4E5A"/>
    <w:rsid w:val="00CE03CE"/>
    <w:rsid w:val="00CE5679"/>
    <w:rsid w:val="00CE5F96"/>
    <w:rsid w:val="00CF0519"/>
    <w:rsid w:val="00CF0DFF"/>
    <w:rsid w:val="00CF5E8C"/>
    <w:rsid w:val="00D028A9"/>
    <w:rsid w:val="00D02F9D"/>
    <w:rsid w:val="00D0359D"/>
    <w:rsid w:val="00D04DED"/>
    <w:rsid w:val="00D062D4"/>
    <w:rsid w:val="00D1089A"/>
    <w:rsid w:val="00D116BD"/>
    <w:rsid w:val="00D2001A"/>
    <w:rsid w:val="00D20684"/>
    <w:rsid w:val="00D26B62"/>
    <w:rsid w:val="00D3691A"/>
    <w:rsid w:val="00D36CF7"/>
    <w:rsid w:val="00D377E2"/>
    <w:rsid w:val="00D3798B"/>
    <w:rsid w:val="00D421C1"/>
    <w:rsid w:val="00D42DCB"/>
    <w:rsid w:val="00D44E16"/>
    <w:rsid w:val="00D45482"/>
    <w:rsid w:val="00D46DF2"/>
    <w:rsid w:val="00D47674"/>
    <w:rsid w:val="00D5338C"/>
    <w:rsid w:val="00D578B1"/>
    <w:rsid w:val="00D606B2"/>
    <w:rsid w:val="00D625A7"/>
    <w:rsid w:val="00D64074"/>
    <w:rsid w:val="00D65777"/>
    <w:rsid w:val="00D66FBF"/>
    <w:rsid w:val="00D728A0"/>
    <w:rsid w:val="00D76DEC"/>
    <w:rsid w:val="00D83661"/>
    <w:rsid w:val="00D97AA6"/>
    <w:rsid w:val="00D97E7D"/>
    <w:rsid w:val="00DB3439"/>
    <w:rsid w:val="00DB3618"/>
    <w:rsid w:val="00DC2946"/>
    <w:rsid w:val="00DC550F"/>
    <w:rsid w:val="00DC64FD"/>
    <w:rsid w:val="00DD6004"/>
    <w:rsid w:val="00DE127F"/>
    <w:rsid w:val="00DE424A"/>
    <w:rsid w:val="00DE4419"/>
    <w:rsid w:val="00DE55EF"/>
    <w:rsid w:val="00DF0ACA"/>
    <w:rsid w:val="00DF2245"/>
    <w:rsid w:val="00DF2952"/>
    <w:rsid w:val="00DF4B4D"/>
    <w:rsid w:val="00DF77CF"/>
    <w:rsid w:val="00E00CB5"/>
    <w:rsid w:val="00E015FC"/>
    <w:rsid w:val="00E026E8"/>
    <w:rsid w:val="00E0391B"/>
    <w:rsid w:val="00E052C5"/>
    <w:rsid w:val="00E06684"/>
    <w:rsid w:val="00E0765E"/>
    <w:rsid w:val="00E07CE2"/>
    <w:rsid w:val="00E11DB6"/>
    <w:rsid w:val="00E14C47"/>
    <w:rsid w:val="00E20521"/>
    <w:rsid w:val="00E22698"/>
    <w:rsid w:val="00E25B7C"/>
    <w:rsid w:val="00E27E57"/>
    <w:rsid w:val="00E3076B"/>
    <w:rsid w:val="00E325CB"/>
    <w:rsid w:val="00E3725B"/>
    <w:rsid w:val="00E434D1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35AF"/>
    <w:rsid w:val="00EB0E20"/>
    <w:rsid w:val="00EB1A80"/>
    <w:rsid w:val="00EB457B"/>
    <w:rsid w:val="00EB5DC2"/>
    <w:rsid w:val="00EB73F6"/>
    <w:rsid w:val="00EC4F3A"/>
    <w:rsid w:val="00EC5E74"/>
    <w:rsid w:val="00ED1AFB"/>
    <w:rsid w:val="00ED594D"/>
    <w:rsid w:val="00EE36E1"/>
    <w:rsid w:val="00EE7B3F"/>
    <w:rsid w:val="00EF1925"/>
    <w:rsid w:val="00EF28A4"/>
    <w:rsid w:val="00EF70EF"/>
    <w:rsid w:val="00F0054D"/>
    <w:rsid w:val="00F02467"/>
    <w:rsid w:val="00F02980"/>
    <w:rsid w:val="00F04D0E"/>
    <w:rsid w:val="00F12214"/>
    <w:rsid w:val="00F12565"/>
    <w:rsid w:val="00F14ACA"/>
    <w:rsid w:val="00F23927"/>
    <w:rsid w:val="00F26A05"/>
    <w:rsid w:val="00F307CE"/>
    <w:rsid w:val="00F31929"/>
    <w:rsid w:val="00F35297"/>
    <w:rsid w:val="00F37108"/>
    <w:rsid w:val="00F428C3"/>
    <w:rsid w:val="00F47BAA"/>
    <w:rsid w:val="00F52EAB"/>
    <w:rsid w:val="00F563DD"/>
    <w:rsid w:val="00F61A31"/>
    <w:rsid w:val="00F67A2D"/>
    <w:rsid w:val="00F70A1B"/>
    <w:rsid w:val="00F72FDF"/>
    <w:rsid w:val="00F74EBB"/>
    <w:rsid w:val="00F75960"/>
    <w:rsid w:val="00F82526"/>
    <w:rsid w:val="00F84672"/>
    <w:rsid w:val="00F84802"/>
    <w:rsid w:val="00F862C3"/>
    <w:rsid w:val="00F86FE2"/>
    <w:rsid w:val="00F933C8"/>
    <w:rsid w:val="00F95A8C"/>
    <w:rsid w:val="00FA06FD"/>
    <w:rsid w:val="00FA515B"/>
    <w:rsid w:val="00FA6B90"/>
    <w:rsid w:val="00FA74CB"/>
    <w:rsid w:val="00FB207A"/>
    <w:rsid w:val="00FB2886"/>
    <w:rsid w:val="00FB466E"/>
    <w:rsid w:val="00FB5F48"/>
    <w:rsid w:val="00FC0539"/>
    <w:rsid w:val="00FC1065"/>
    <w:rsid w:val="00FC3715"/>
    <w:rsid w:val="00FC5C9C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F091E"/>
    <w:rsid w:val="00FF18D2"/>
    <w:rsid w:val="00FF1DA7"/>
    <w:rsid w:val="00FF22F5"/>
    <w:rsid w:val="00FF38B9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8B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cs-CZ" w:eastAsia="en-US" w:bidi="ar-SA"/>
    </w:rPr>
  </w:style>
  <w:style w:type="paragraph" w:styleId="Nadpis1">
    <w:name w:val="heading 1"/>
    <w:basedOn w:val="Normln"/>
    <w:next w:val="Normln"/>
    <w:qFormat/>
    <w:rsid w:val="00BD09A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BD09A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BD09A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BD09A9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BD09A9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BD09A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BD09A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BD09A9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BD09A9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D09A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BD09A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BD09A9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BD09A9"/>
    <w:rPr>
      <w:vertAlign w:val="superscript"/>
    </w:rPr>
  </w:style>
  <w:style w:type="character" w:styleId="Znakapoznpodarou">
    <w:name w:val="footnote reference"/>
    <w:semiHidden/>
    <w:rsid w:val="00BD09A9"/>
    <w:rPr>
      <w:vertAlign w:val="superscript"/>
    </w:rPr>
  </w:style>
  <w:style w:type="paragraph" w:styleId="Textpoznpodarou">
    <w:name w:val="footnote text"/>
    <w:basedOn w:val="Normln"/>
    <w:semiHidden/>
    <w:rsid w:val="00BD09A9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BD09A9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BD09A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BD09A9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BD09A9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BD09A9"/>
    <w:pPr>
      <w:spacing w:line="240" w:lineRule="auto"/>
    </w:pPr>
  </w:style>
  <w:style w:type="character" w:styleId="Odkaznakoment">
    <w:name w:val="annotation reference"/>
    <w:qFormat/>
    <w:rsid w:val="00BD09A9"/>
    <w:rPr>
      <w:sz w:val="16"/>
    </w:rPr>
  </w:style>
  <w:style w:type="paragraph" w:styleId="Zkladntextodsazen2">
    <w:name w:val="Body Text Indent 2"/>
    <w:basedOn w:val="Normln"/>
    <w:rsid w:val="00BD09A9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sid w:val="00BD09A9"/>
    <w:rPr>
      <w:sz w:val="20"/>
    </w:rPr>
  </w:style>
  <w:style w:type="paragraph" w:styleId="Zkladntextodsazen3">
    <w:name w:val="Body Text Indent 3"/>
    <w:basedOn w:val="Normln"/>
    <w:rsid w:val="00BD09A9"/>
    <w:pPr>
      <w:spacing w:line="240" w:lineRule="auto"/>
      <w:ind w:left="567" w:hanging="567"/>
    </w:pPr>
  </w:style>
  <w:style w:type="character" w:styleId="Hypertextovodkaz">
    <w:name w:val="Hyperlink"/>
    <w:rsid w:val="00BD09A9"/>
    <w:rPr>
      <w:color w:val="0000FF"/>
      <w:u w:val="single"/>
    </w:rPr>
  </w:style>
  <w:style w:type="paragraph" w:customStyle="1" w:styleId="AHeader1">
    <w:name w:val="AHeader 1"/>
    <w:basedOn w:val="Normln"/>
    <w:rsid w:val="00BD09A9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BD09A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BD09A9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BD09A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BD09A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BD09A9"/>
    <w:rPr>
      <w:color w:val="800080"/>
      <w:u w:val="single"/>
    </w:rPr>
  </w:style>
  <w:style w:type="paragraph" w:styleId="Zkladntextodsazen">
    <w:name w:val="Body Text Indent"/>
    <w:basedOn w:val="Normln"/>
    <w:rsid w:val="00BD09A9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BD09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D09A9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val="en-GB" w:eastAsia="en-US" w:bidi="ar-SA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 w:bidi="ar-SA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4A0A4B"/>
    <w:pPr>
      <w:ind w:left="720"/>
      <w:contextualSpacing/>
    </w:pPr>
  </w:style>
  <w:style w:type="paragraph" w:customStyle="1" w:styleId="Style2">
    <w:name w:val="Style2"/>
    <w:basedOn w:val="Normln"/>
    <w:qFormat/>
    <w:rsid w:val="00C9783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AD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rmacovigilance@dopharm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skvb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9398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5636130</vt:i4>
      </vt:variant>
      <vt:variant>
        <vt:i4>21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18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15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12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9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5636130</vt:i4>
      </vt:variant>
      <vt:variant>
        <vt:i4>6</vt:i4>
      </vt:variant>
      <vt:variant>
        <vt:i4>0</vt:i4>
      </vt:variant>
      <vt:variant>
        <vt:i4>5</vt:i4>
      </vt:variant>
      <vt:variant>
        <vt:lpwstr>http://www.ema.europa.eu/docs/en_GB/document_library/Regulatory_and_procedural_guideline/2014/08/WC500170559.pdf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2023-03-27T13:02:00Z</dcterms:created>
  <dcterms:modified xsi:type="dcterms:W3CDTF">2023-03-29T07:11:00Z</dcterms:modified>
</cp:coreProperties>
</file>