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9206" w14:textId="77777777" w:rsidR="00D20651" w:rsidRPr="007B76CE" w:rsidRDefault="00D20651" w:rsidP="00DE77B2">
      <w:pPr>
        <w:rPr>
          <w:szCs w:val="22"/>
        </w:rPr>
      </w:pPr>
      <w:bookmarkStart w:id="0" w:name="_GoBack"/>
    </w:p>
    <w:p w14:paraId="7D9DEE21" w14:textId="3D36608B" w:rsidR="0091590A" w:rsidRPr="007B76CE" w:rsidRDefault="0091590A" w:rsidP="00DE77B2">
      <w:pPr>
        <w:tabs>
          <w:tab w:val="left" w:pos="567"/>
        </w:tabs>
        <w:ind w:left="0" w:firstLine="0"/>
        <w:jc w:val="center"/>
        <w:rPr>
          <w:b/>
          <w:szCs w:val="22"/>
          <w:lang w:eastAsia="cs-CZ"/>
        </w:rPr>
      </w:pPr>
      <w:r w:rsidRPr="007B76CE">
        <w:rPr>
          <w:b/>
          <w:szCs w:val="22"/>
          <w:lang w:eastAsia="cs-CZ"/>
        </w:rPr>
        <w:t>PŘÍBALOVÁ INFORMACE</w:t>
      </w:r>
    </w:p>
    <w:p w14:paraId="08B322ED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B4F9FCF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18B2AD81" w14:textId="6D738FA6" w:rsidR="0091590A" w:rsidRPr="007B76CE" w:rsidRDefault="0058399B" w:rsidP="00DE77B2">
      <w:pPr>
        <w:pStyle w:val="Style1"/>
      </w:pPr>
      <w:r w:rsidRPr="007B76CE">
        <w:rPr>
          <w:highlight w:val="lightGray"/>
        </w:rPr>
        <w:t>1.</w:t>
      </w:r>
      <w:r w:rsidRPr="007B76CE">
        <w:tab/>
        <w:t>Název veterinárního léčivého přípravku</w:t>
      </w:r>
    </w:p>
    <w:p w14:paraId="19B6F785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szCs w:val="22"/>
          <w:lang w:eastAsia="cs-CZ"/>
        </w:rPr>
      </w:pPr>
    </w:p>
    <w:p w14:paraId="1B427200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Vetmedin S 1,25 mg žvýkací tablety pro psy</w:t>
      </w:r>
    </w:p>
    <w:p w14:paraId="5F1C24D1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Vetmedin S 2,5 mg žvýkací tablety pro psy</w:t>
      </w:r>
    </w:p>
    <w:p w14:paraId="55BD5651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Vetmedin S 5 mg žvýkací tablety pro psy</w:t>
      </w:r>
    </w:p>
    <w:p w14:paraId="5BA54CF2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Vetmedin S 10 mg žvýkací tablety pro psy</w:t>
      </w:r>
    </w:p>
    <w:p w14:paraId="4A1A73DB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73DB783D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1560D6B2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2.</w:t>
      </w:r>
      <w:r w:rsidRPr="007B76CE">
        <w:tab/>
        <w:t>Složení</w:t>
      </w:r>
    </w:p>
    <w:p w14:paraId="4224F06F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1E289769" w14:textId="2EE63BF1" w:rsidR="0091590A" w:rsidRPr="007B76CE" w:rsidRDefault="0076633F" w:rsidP="00DE77B2">
      <w:pPr>
        <w:tabs>
          <w:tab w:val="left" w:pos="567"/>
        </w:tabs>
        <w:ind w:left="0" w:firstLine="0"/>
        <w:rPr>
          <w:bCs/>
          <w:szCs w:val="22"/>
          <w:lang w:eastAsia="cs-CZ"/>
        </w:rPr>
      </w:pPr>
      <w:r>
        <w:rPr>
          <w:szCs w:val="22"/>
          <w:lang w:eastAsia="cs-CZ"/>
        </w:rPr>
        <w:t>Každá</w:t>
      </w:r>
      <w:r w:rsidR="0091590A" w:rsidRPr="007B76CE">
        <w:rPr>
          <w:szCs w:val="22"/>
          <w:lang w:eastAsia="cs-CZ"/>
        </w:rPr>
        <w:t> žvýkací tableta obsahuje:</w:t>
      </w:r>
    </w:p>
    <w:p w14:paraId="16455CC1" w14:textId="77777777" w:rsidR="0091590A" w:rsidRPr="007B76CE" w:rsidRDefault="0091590A" w:rsidP="00DE77B2">
      <w:pPr>
        <w:tabs>
          <w:tab w:val="left" w:pos="567"/>
        </w:tabs>
        <w:ind w:left="0" w:firstLine="0"/>
        <w:rPr>
          <w:bCs/>
          <w:szCs w:val="22"/>
          <w:lang w:eastAsia="cs-CZ"/>
        </w:rPr>
      </w:pPr>
    </w:p>
    <w:p w14:paraId="7E042822" w14:textId="51964B31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Pimobendanum</w:t>
      </w:r>
      <w:r w:rsidR="00A72DEA">
        <w:rPr>
          <w:szCs w:val="22"/>
          <w:lang w:eastAsia="cs-CZ"/>
        </w:rPr>
        <w:t>:</w:t>
      </w:r>
      <w:r w:rsidRPr="007B76CE">
        <w:rPr>
          <w:szCs w:val="22"/>
          <w:lang w:eastAsia="cs-CZ"/>
        </w:rPr>
        <w:t xml:space="preserve"> 1,25 mg</w:t>
      </w:r>
    </w:p>
    <w:p w14:paraId="0084A042" w14:textId="0DCF6AF3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Pimobendanum</w:t>
      </w:r>
      <w:r w:rsidR="00A72DEA">
        <w:rPr>
          <w:szCs w:val="22"/>
          <w:lang w:eastAsia="cs-CZ"/>
        </w:rPr>
        <w:t>:</w:t>
      </w:r>
      <w:r w:rsidRPr="007B76CE">
        <w:rPr>
          <w:szCs w:val="22"/>
          <w:lang w:eastAsia="cs-CZ"/>
        </w:rPr>
        <w:t xml:space="preserve"> 2,5 mg</w:t>
      </w:r>
    </w:p>
    <w:p w14:paraId="7B04B9D9" w14:textId="69469F14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Pimobendanum</w:t>
      </w:r>
      <w:r w:rsidR="00A72DEA">
        <w:rPr>
          <w:szCs w:val="22"/>
          <w:lang w:eastAsia="cs-CZ"/>
        </w:rPr>
        <w:t>:</w:t>
      </w:r>
      <w:r w:rsidRPr="007B76CE">
        <w:rPr>
          <w:szCs w:val="22"/>
          <w:lang w:eastAsia="cs-CZ"/>
        </w:rPr>
        <w:t xml:space="preserve"> 5 mg</w:t>
      </w:r>
    </w:p>
    <w:p w14:paraId="7F5AAAAC" w14:textId="5551A1F3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Pimobendanum</w:t>
      </w:r>
      <w:r w:rsidR="00A72DEA">
        <w:rPr>
          <w:szCs w:val="22"/>
          <w:lang w:eastAsia="cs-CZ"/>
        </w:rPr>
        <w:t>:</w:t>
      </w:r>
      <w:r w:rsidRPr="007B76CE">
        <w:rPr>
          <w:szCs w:val="22"/>
          <w:lang w:eastAsia="cs-CZ"/>
        </w:rPr>
        <w:t xml:space="preserve"> 10 mg</w:t>
      </w:r>
    </w:p>
    <w:p w14:paraId="545282FE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7C782382" w14:textId="37BEBF65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Nahnědlá</w:t>
      </w:r>
      <w:r w:rsidR="00A72DEA">
        <w:rPr>
          <w:szCs w:val="22"/>
          <w:lang w:eastAsia="cs-CZ"/>
        </w:rPr>
        <w:t>, oválná,</w:t>
      </w:r>
      <w:r w:rsidRPr="007B76CE">
        <w:rPr>
          <w:szCs w:val="22"/>
          <w:lang w:eastAsia="cs-CZ"/>
        </w:rPr>
        <w:t xml:space="preserve"> dělitelná tableta s </w:t>
      </w:r>
      <w:r w:rsidR="00EE2093" w:rsidRPr="007B76CE">
        <w:rPr>
          <w:szCs w:val="22"/>
          <w:lang w:eastAsia="cs-CZ"/>
        </w:rPr>
        <w:t xml:space="preserve">dělicí </w:t>
      </w:r>
      <w:r w:rsidRPr="007B76CE">
        <w:rPr>
          <w:szCs w:val="22"/>
          <w:lang w:eastAsia="cs-CZ"/>
        </w:rPr>
        <w:t>rýhou po obou stranách.</w:t>
      </w:r>
    </w:p>
    <w:p w14:paraId="27F73F3E" w14:textId="2BC1508C" w:rsidR="0091590A" w:rsidRDefault="00A72DE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>
        <w:rPr>
          <w:szCs w:val="22"/>
          <w:lang w:eastAsia="cs-CZ"/>
        </w:rPr>
        <w:t>Žvýkací t</w:t>
      </w:r>
      <w:r w:rsidR="0091590A" w:rsidRPr="007B76CE">
        <w:rPr>
          <w:szCs w:val="22"/>
          <w:lang w:eastAsia="cs-CZ"/>
        </w:rPr>
        <w:t>ablet</w:t>
      </w:r>
      <w:r w:rsidR="00EE2093" w:rsidRPr="007B76CE">
        <w:rPr>
          <w:szCs w:val="22"/>
          <w:lang w:eastAsia="cs-CZ"/>
        </w:rPr>
        <w:t xml:space="preserve">y lze dělit </w:t>
      </w:r>
      <w:r w:rsidR="0091590A" w:rsidRPr="007B76CE">
        <w:rPr>
          <w:szCs w:val="22"/>
          <w:lang w:eastAsia="cs-CZ"/>
        </w:rPr>
        <w:t xml:space="preserve">na dvě stejné </w:t>
      </w:r>
      <w:r w:rsidR="00C12DC1" w:rsidRPr="007B76CE">
        <w:rPr>
          <w:szCs w:val="22"/>
          <w:lang w:eastAsia="cs-CZ"/>
        </w:rPr>
        <w:t>části</w:t>
      </w:r>
      <w:r w:rsidR="0091590A" w:rsidRPr="007B76CE">
        <w:rPr>
          <w:szCs w:val="22"/>
          <w:lang w:eastAsia="cs-CZ"/>
        </w:rPr>
        <w:t>.</w:t>
      </w:r>
    </w:p>
    <w:p w14:paraId="6A1CD178" w14:textId="77777777" w:rsidR="008121E1" w:rsidRPr="007B76CE" w:rsidRDefault="008121E1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534201AB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2B988970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3.</w:t>
      </w:r>
      <w:r w:rsidRPr="007B76CE">
        <w:tab/>
        <w:t>Cílové druhy zvířat</w:t>
      </w:r>
    </w:p>
    <w:p w14:paraId="2646D64A" w14:textId="77777777" w:rsidR="0091590A" w:rsidRPr="007B76CE" w:rsidRDefault="0091590A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60B76AC1" w14:textId="2B478AF5" w:rsidR="0058399B" w:rsidRDefault="0076633F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  <w:r>
        <w:rPr>
          <w:szCs w:val="22"/>
          <w:lang w:eastAsia="cs-CZ"/>
        </w:rPr>
        <w:t xml:space="preserve">Psi </w:t>
      </w:r>
    </w:p>
    <w:p w14:paraId="0BB01983" w14:textId="77777777" w:rsidR="0076633F" w:rsidRDefault="0076633F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563F83C2" w14:textId="77777777" w:rsidR="0076633F" w:rsidRPr="007B76CE" w:rsidRDefault="0076633F" w:rsidP="00DE77B2">
      <w:pPr>
        <w:tabs>
          <w:tab w:val="left" w:pos="567"/>
          <w:tab w:val="left" w:pos="720"/>
        </w:tabs>
        <w:ind w:left="0" w:firstLine="0"/>
        <w:rPr>
          <w:szCs w:val="22"/>
          <w:lang w:eastAsia="cs-CZ"/>
        </w:rPr>
      </w:pPr>
    </w:p>
    <w:p w14:paraId="278E629C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4.</w:t>
      </w:r>
      <w:r w:rsidRPr="007B76CE">
        <w:tab/>
        <w:t>Indikace pro použití</w:t>
      </w:r>
    </w:p>
    <w:p w14:paraId="7F373901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0492CC95" w14:textId="77777777" w:rsidR="0091590A" w:rsidRDefault="0091590A" w:rsidP="00DE77B2">
      <w:pPr>
        <w:tabs>
          <w:tab w:val="left" w:pos="567"/>
        </w:tabs>
        <w:ind w:left="0" w:firstLine="0"/>
        <w:rPr>
          <w:color w:val="000000"/>
          <w:szCs w:val="22"/>
          <w:lang w:eastAsia="cs-CZ"/>
        </w:rPr>
      </w:pPr>
      <w:r w:rsidRPr="007B76CE">
        <w:rPr>
          <w:szCs w:val="22"/>
          <w:lang w:eastAsia="cs-CZ"/>
        </w:rPr>
        <w:t>Léčba městnavého srdečního selhání u psů vyvolaného dilatační kardiomyopatií (DCM) nebo nedostatečností srdečních chlopní (nedomykavost mitrální a/nebo trikuspidální chlopně)</w:t>
      </w:r>
      <w:r w:rsidRPr="007B76CE">
        <w:rPr>
          <w:color w:val="000000"/>
          <w:szCs w:val="22"/>
          <w:lang w:eastAsia="cs-CZ"/>
        </w:rPr>
        <w:t>.</w:t>
      </w:r>
    </w:p>
    <w:p w14:paraId="25F405D9" w14:textId="77777777" w:rsidR="008121E1" w:rsidRPr="007B76CE" w:rsidRDefault="008121E1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86C2475" w14:textId="3BA53C86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Léčba dilatační kardiomyopatie v preklinickém stadiu (asymptomatická s nárůstem konečného systolického a konečného diastolického rozměru levé komory) u dobrmanů po echokardiografickém potvrzení onemocnění srdce.</w:t>
      </w:r>
    </w:p>
    <w:p w14:paraId="47BF8EC5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76DA4852" w14:textId="6DFAC2ED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</w:rPr>
      </w:pPr>
      <w:r w:rsidRPr="007B76CE">
        <w:rPr>
          <w:szCs w:val="22"/>
        </w:rPr>
        <w:t>Léčba psů s myxomatózní degenerací mitrální chlopně (MMVD) v preklinickém stádiu (asymptomatická se systolickým mitrálním šelestem a prokázaným zvětšením velikosti srdce) za účelem oddálení nástupu klinických příznaků srdečního selhání.</w:t>
      </w:r>
    </w:p>
    <w:p w14:paraId="2F156D6C" w14:textId="77777777" w:rsidR="0046214F" w:rsidRPr="007B76CE" w:rsidRDefault="0046214F" w:rsidP="00DE77B2">
      <w:pPr>
        <w:tabs>
          <w:tab w:val="left" w:pos="567"/>
        </w:tabs>
        <w:ind w:left="0" w:firstLine="0"/>
        <w:rPr>
          <w:szCs w:val="22"/>
        </w:rPr>
      </w:pPr>
    </w:p>
    <w:p w14:paraId="641396FB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31175BC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5.</w:t>
      </w:r>
      <w:r w:rsidRPr="007B76CE">
        <w:tab/>
        <w:t>Kontraindikace</w:t>
      </w:r>
    </w:p>
    <w:p w14:paraId="725E9CF9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32B8DFF7" w14:textId="77777777" w:rsidR="0091590A" w:rsidRPr="007B76CE" w:rsidRDefault="0091590A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 nepoužívat v případech hypertrofických kardiomyopatií nebo v případě takových onemocnění, kdy zlepšení srdečního výdeje nemůže být z funkčních nebo anatomických důvodů dosaženo (např. stenóza aorty).</w:t>
      </w:r>
    </w:p>
    <w:p w14:paraId="7974C298" w14:textId="050EA2B0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 je metabolizován zejména játry, proto se nepoužívá u psů s vážně narušenou funkcí jater</w:t>
      </w:r>
      <w:r w:rsidR="00260397" w:rsidRPr="007B76CE">
        <w:rPr>
          <w:szCs w:val="22"/>
          <w:lang w:eastAsia="cs-CZ"/>
        </w:rPr>
        <w:t>.</w:t>
      </w:r>
    </w:p>
    <w:p w14:paraId="0F5A4672" w14:textId="77777777" w:rsidR="00C12DC1" w:rsidRDefault="00C12DC1" w:rsidP="00DE77B2">
      <w:pPr>
        <w:ind w:left="0" w:firstLine="0"/>
        <w:rPr>
          <w:szCs w:val="22"/>
        </w:rPr>
      </w:pPr>
      <w:r w:rsidRPr="007B76CE">
        <w:rPr>
          <w:szCs w:val="22"/>
        </w:rPr>
        <w:t>Nepoužívat v případech přecitlivělosti na léčivou látku nebo na některou z pomocných látek.</w:t>
      </w:r>
    </w:p>
    <w:p w14:paraId="39740F57" w14:textId="77777777" w:rsidR="008121E1" w:rsidRPr="007B76CE" w:rsidRDefault="008121E1" w:rsidP="00DE77B2">
      <w:pPr>
        <w:ind w:left="0" w:firstLine="0"/>
        <w:rPr>
          <w:szCs w:val="22"/>
        </w:rPr>
      </w:pPr>
    </w:p>
    <w:p w14:paraId="154D3565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7ECCF428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6.</w:t>
      </w:r>
      <w:r w:rsidRPr="007B76CE">
        <w:tab/>
        <w:t>Zvláštní upozornění</w:t>
      </w:r>
    </w:p>
    <w:p w14:paraId="4E061D16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1711A81F" w14:textId="1D83E52C" w:rsidR="0058399B" w:rsidRPr="007B76CE" w:rsidRDefault="00217EDC" w:rsidP="00DE77B2">
      <w:pPr>
        <w:tabs>
          <w:tab w:val="left" w:pos="567"/>
        </w:tabs>
        <w:spacing w:line="260" w:lineRule="exact"/>
        <w:ind w:left="0" w:firstLine="0"/>
        <w:rPr>
          <w:szCs w:val="22"/>
          <w:lang w:eastAsia="cs-CZ"/>
        </w:rPr>
      </w:pPr>
      <w:r w:rsidRPr="00AD2BF4">
        <w:rPr>
          <w:szCs w:val="22"/>
          <w:lang w:eastAsia="cs-CZ"/>
        </w:rPr>
        <w:lastRenderedPageBreak/>
        <w:t>Veterinární léčivý</w:t>
      </w:r>
      <w:r w:rsidRPr="007B76CE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p</w:t>
      </w:r>
      <w:r w:rsidR="0058399B" w:rsidRPr="007B76CE">
        <w:rPr>
          <w:szCs w:val="22"/>
          <w:lang w:eastAsia="cs-CZ"/>
        </w:rPr>
        <w:t xml:space="preserve">řípravek nebyl testován v případech asymptomatické DCM u dobrmanů s fibrilací síní nebo se setrvalou komorovou tachykardií. </w:t>
      </w:r>
    </w:p>
    <w:p w14:paraId="38C4CDC5" w14:textId="3A85B721" w:rsidR="0058399B" w:rsidRPr="007B76CE" w:rsidRDefault="00217EDC" w:rsidP="00DE77B2">
      <w:pPr>
        <w:ind w:left="0" w:firstLine="0"/>
        <w:rPr>
          <w:szCs w:val="22"/>
          <w:lang w:eastAsia="cs-CZ"/>
        </w:rPr>
      </w:pPr>
      <w:r w:rsidRPr="00AD2BF4">
        <w:rPr>
          <w:szCs w:val="22"/>
          <w:lang w:eastAsia="cs-CZ"/>
        </w:rPr>
        <w:t>Veterinární léčivý</w:t>
      </w:r>
      <w:r w:rsidRPr="007B76CE">
        <w:rPr>
          <w:szCs w:val="22"/>
        </w:rPr>
        <w:t xml:space="preserve"> </w:t>
      </w:r>
      <w:r>
        <w:rPr>
          <w:szCs w:val="22"/>
        </w:rPr>
        <w:t>p</w:t>
      </w:r>
      <w:r w:rsidR="0058399B" w:rsidRPr="007B76CE">
        <w:rPr>
          <w:szCs w:val="22"/>
        </w:rPr>
        <w:t xml:space="preserve">řípravek nebyl testován v případech asymptomatické myxomatózní degenerace mitrální chlopně u psů s významnou </w:t>
      </w:r>
      <w:proofErr w:type="spellStart"/>
      <w:r w:rsidR="0058399B" w:rsidRPr="007B76CE">
        <w:rPr>
          <w:szCs w:val="22"/>
        </w:rPr>
        <w:t>supraventrikulární</w:t>
      </w:r>
      <w:proofErr w:type="spellEnd"/>
      <w:r w:rsidR="0058399B" w:rsidRPr="007B76CE">
        <w:rPr>
          <w:szCs w:val="22"/>
        </w:rPr>
        <w:t xml:space="preserve"> a/nebo ventrikulární </w:t>
      </w:r>
      <w:proofErr w:type="spellStart"/>
      <w:r w:rsidR="0058399B" w:rsidRPr="007B76CE">
        <w:rPr>
          <w:szCs w:val="22"/>
        </w:rPr>
        <w:t>tachyarytmií</w:t>
      </w:r>
      <w:proofErr w:type="spellEnd"/>
      <w:r w:rsidR="0058399B" w:rsidRPr="007B76CE">
        <w:rPr>
          <w:szCs w:val="22"/>
        </w:rPr>
        <w:t>.</w:t>
      </w:r>
    </w:p>
    <w:p w14:paraId="7116C0CD" w14:textId="77777777" w:rsidR="0058399B" w:rsidRPr="007B76CE" w:rsidRDefault="0058399B" w:rsidP="00DE77B2">
      <w:pPr>
        <w:keepNext/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11F48F33" w14:textId="77777777" w:rsidR="006F6C85" w:rsidRPr="007B76CE" w:rsidRDefault="006F6C85" w:rsidP="00DE77B2">
      <w:pPr>
        <w:keepNext/>
        <w:tabs>
          <w:tab w:val="left" w:pos="567"/>
        </w:tabs>
        <w:ind w:left="0" w:firstLine="0"/>
        <w:rPr>
          <w:szCs w:val="22"/>
          <w:u w:val="single"/>
          <w:lang w:eastAsia="cs-CZ"/>
        </w:rPr>
      </w:pPr>
      <w:r w:rsidRPr="007B76CE">
        <w:rPr>
          <w:szCs w:val="22"/>
          <w:u w:val="single"/>
        </w:rPr>
        <w:t>Zvláštní opatření pro bezpečné použití u cílových druhů zvířat</w:t>
      </w:r>
      <w:r w:rsidRPr="007B76CE">
        <w:rPr>
          <w:szCs w:val="22"/>
        </w:rPr>
        <w:t>:</w:t>
      </w:r>
    </w:p>
    <w:p w14:paraId="4D34BF2F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U psů s prokázaným diabetes mellitus musí být v průběhu léčby pravidelně testována hladina glukózy v krvi.</w:t>
      </w:r>
    </w:p>
    <w:p w14:paraId="7B974F07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Před použitím v preklinickém stadiu </w:t>
      </w:r>
      <w:r w:rsidRPr="007B76CE">
        <w:rPr>
          <w:szCs w:val="22"/>
          <w:lang w:eastAsia="en-GB"/>
        </w:rPr>
        <w:t xml:space="preserve">dilatační kardiomyopatie </w:t>
      </w:r>
      <w:r w:rsidRPr="007B76CE">
        <w:rPr>
          <w:szCs w:val="22"/>
          <w:lang w:eastAsia="cs-CZ"/>
        </w:rPr>
        <w:t xml:space="preserve">(asymptomatická s nárůstem konečného systolického a konečného diastolického rozměru levé komory) musí být stanovena diagnóza na základě </w:t>
      </w:r>
      <w:r w:rsidRPr="007B76CE">
        <w:rPr>
          <w:szCs w:val="22"/>
        </w:rPr>
        <w:t xml:space="preserve">komplexního </w:t>
      </w:r>
      <w:r w:rsidRPr="007B76CE">
        <w:rPr>
          <w:szCs w:val="22"/>
          <w:lang w:eastAsia="cs-CZ"/>
        </w:rPr>
        <w:t xml:space="preserve">kardiologického vyšetření (vč. echokardiografického vyšetření, příp. vyšetření metodou </w:t>
      </w:r>
      <w:proofErr w:type="spellStart"/>
      <w:r w:rsidRPr="007B76CE">
        <w:rPr>
          <w:szCs w:val="22"/>
          <w:lang w:eastAsia="cs-CZ"/>
        </w:rPr>
        <w:t>Holter</w:t>
      </w:r>
      <w:proofErr w:type="spellEnd"/>
      <w:r w:rsidRPr="007B76CE">
        <w:rPr>
          <w:szCs w:val="22"/>
          <w:lang w:eastAsia="cs-CZ"/>
        </w:rPr>
        <w:t>).</w:t>
      </w:r>
    </w:p>
    <w:p w14:paraId="76BFC164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p w14:paraId="356B114A" w14:textId="77777777" w:rsidR="0058399B" w:rsidRPr="007B76CE" w:rsidRDefault="0058399B" w:rsidP="00DE77B2">
      <w:pPr>
        <w:ind w:left="0" w:firstLine="0"/>
        <w:rPr>
          <w:szCs w:val="22"/>
          <w:lang w:eastAsia="en-GB"/>
        </w:rPr>
      </w:pPr>
      <w:r w:rsidRPr="007B76CE">
        <w:rPr>
          <w:szCs w:val="22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7B76CE">
        <w:rPr>
          <w:szCs w:val="22"/>
          <w:lang w:eastAsia="en-GB"/>
        </w:rPr>
        <w:t>kardiomegalie</w:t>
      </w:r>
      <w:proofErr w:type="spellEnd"/>
      <w:r w:rsidRPr="007B76CE">
        <w:rPr>
          <w:szCs w:val="22"/>
          <w:lang w:eastAsia="en-GB"/>
        </w:rPr>
        <w:t xml:space="preserve"> v důsledku myxomatózní degenerace mitrální chlopně) by měla být stanovena diagnóza na základě komplexního lékařského vyšetření a vyšetření srdce, které by mělo v případě potřeby zahrnovat echokardiografii nebo radiografii.</w:t>
      </w:r>
    </w:p>
    <w:p w14:paraId="67831660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p w14:paraId="2AFE608E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U zvířat léčených </w:t>
      </w:r>
      <w:proofErr w:type="spellStart"/>
      <w:r w:rsidRPr="007B76CE">
        <w:rPr>
          <w:szCs w:val="22"/>
          <w:lang w:eastAsia="cs-CZ"/>
        </w:rPr>
        <w:t>pimobendanem</w:t>
      </w:r>
      <w:proofErr w:type="spellEnd"/>
      <w:r w:rsidRPr="007B76CE">
        <w:rPr>
          <w:szCs w:val="22"/>
          <w:lang w:eastAsia="cs-CZ"/>
        </w:rPr>
        <w:t xml:space="preserve"> se doporučuje pravidelný monitoring srdečních funkcí a morfologie srdce</w:t>
      </w:r>
      <w:r w:rsidRPr="007B76CE">
        <w:rPr>
          <w:szCs w:val="22"/>
          <w:lang w:eastAsia="en-GB"/>
        </w:rPr>
        <w:t xml:space="preserve"> (viz také bod „Nežádoucí účinky“)</w:t>
      </w:r>
      <w:r w:rsidRPr="007B76CE">
        <w:rPr>
          <w:szCs w:val="22"/>
          <w:lang w:eastAsia="cs-CZ"/>
        </w:rPr>
        <w:t>.</w:t>
      </w:r>
    </w:p>
    <w:p w14:paraId="7BCAEED7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Žvýkací tablety jsou ochucené. Uchovávejte mimo dosah zvířat, abyste zabránili jakémukoliv náhodnému požití.</w:t>
      </w:r>
    </w:p>
    <w:p w14:paraId="3339A458" w14:textId="77777777" w:rsidR="0058399B" w:rsidRPr="007B76CE" w:rsidRDefault="0058399B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1CFE4EDD" w14:textId="77777777" w:rsidR="0058399B" w:rsidRPr="007B76CE" w:rsidRDefault="0058399B" w:rsidP="00DE77B2">
      <w:pPr>
        <w:keepNext/>
        <w:tabs>
          <w:tab w:val="left" w:pos="720"/>
        </w:tabs>
        <w:ind w:left="0" w:firstLine="0"/>
        <w:rPr>
          <w:szCs w:val="22"/>
        </w:rPr>
      </w:pPr>
      <w:r w:rsidRPr="007B76CE">
        <w:rPr>
          <w:szCs w:val="22"/>
          <w:u w:val="single"/>
        </w:rPr>
        <w:t>Zvláštní opatření pro osobu, která podává veterinární léčivý přípravek zvířatům</w:t>
      </w:r>
      <w:r w:rsidRPr="007B76CE">
        <w:rPr>
          <w:szCs w:val="22"/>
        </w:rPr>
        <w:t>:</w:t>
      </w:r>
    </w:p>
    <w:p w14:paraId="7130782F" w14:textId="0F892FE0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Po použití si umyjte ruce.</w:t>
      </w:r>
    </w:p>
    <w:p w14:paraId="6B7F83F4" w14:textId="36CF385E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</w:rPr>
      </w:pPr>
      <w:r w:rsidRPr="007B76CE">
        <w:rPr>
          <w:szCs w:val="22"/>
        </w:rPr>
        <w:t xml:space="preserve">Rozdělené nebo nepoužité tablety vraťte do otevřeného blistru a umístěte zpět do původního obalu, aby se zabránilo náhodnému požití </w:t>
      </w:r>
      <w:r w:rsidR="00186CD0" w:rsidRPr="00AD2BF4">
        <w:rPr>
          <w:szCs w:val="22"/>
        </w:rPr>
        <w:t>veterinárního léčivého</w:t>
      </w:r>
      <w:r w:rsidR="00186CD0" w:rsidRPr="007B76CE">
        <w:rPr>
          <w:szCs w:val="22"/>
        </w:rPr>
        <w:t xml:space="preserve"> </w:t>
      </w:r>
      <w:r w:rsidRPr="007B76CE">
        <w:rPr>
          <w:szCs w:val="22"/>
        </w:rPr>
        <w:t>přípravku dítětem.</w:t>
      </w:r>
    </w:p>
    <w:p w14:paraId="15F6229A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</w:rPr>
      </w:pPr>
      <w:r w:rsidRPr="007B76CE">
        <w:rPr>
          <w:szCs w:val="22"/>
        </w:rPr>
        <w:t>V případě náhodného požití vyhledejte ihned lékařskou pomoc a ukažte příbalovou informaci nebo etiketu praktickému lékaři.</w:t>
      </w:r>
    </w:p>
    <w:p w14:paraId="1E9A2445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</w:rPr>
        <w:t>Upozornění pro lékaře: náhodné požití, zejména dítětem, může vést k výskytu tachykardie, ortostatické hypotenze, červenání obličeje a bolestem hlavy.</w:t>
      </w:r>
    </w:p>
    <w:p w14:paraId="1A6E38FF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647F4BCF" w14:textId="77777777" w:rsidR="0058399B" w:rsidRPr="007B76CE" w:rsidRDefault="0058399B" w:rsidP="00DE77B2">
      <w:pPr>
        <w:tabs>
          <w:tab w:val="left" w:pos="567"/>
        </w:tabs>
        <w:spacing w:line="260" w:lineRule="exact"/>
        <w:ind w:left="0" w:firstLine="0"/>
        <w:rPr>
          <w:szCs w:val="22"/>
        </w:rPr>
      </w:pPr>
      <w:r w:rsidRPr="007B76CE">
        <w:rPr>
          <w:szCs w:val="22"/>
          <w:u w:val="single"/>
        </w:rPr>
        <w:t>Březost a laktace</w:t>
      </w:r>
      <w:r w:rsidRPr="007B76CE">
        <w:rPr>
          <w:szCs w:val="22"/>
        </w:rPr>
        <w:t>:</w:t>
      </w:r>
    </w:p>
    <w:p w14:paraId="72A42A69" w14:textId="2BC2C69C" w:rsidR="0058399B" w:rsidRPr="007B76CE" w:rsidRDefault="0058399B" w:rsidP="00DE77B2">
      <w:pPr>
        <w:tabs>
          <w:tab w:val="left" w:pos="567"/>
        </w:tabs>
        <w:spacing w:line="260" w:lineRule="exact"/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Laboratorní studie u potkanů a králíků nepodaly důkaz o teratogenním ani </w:t>
      </w:r>
      <w:proofErr w:type="spellStart"/>
      <w:r w:rsidRPr="007B76CE">
        <w:rPr>
          <w:szCs w:val="22"/>
          <w:lang w:eastAsia="cs-CZ"/>
        </w:rPr>
        <w:t>fetotoxickém</w:t>
      </w:r>
      <w:proofErr w:type="spellEnd"/>
      <w:r w:rsidRPr="007B76CE">
        <w:rPr>
          <w:szCs w:val="22"/>
          <w:lang w:eastAsia="cs-CZ"/>
        </w:rPr>
        <w:t xml:space="preserve"> účinku. Nicméně při vysokých dávkách tyto studie prokázaly </w:t>
      </w:r>
      <w:proofErr w:type="spellStart"/>
      <w:r w:rsidRPr="007B76CE">
        <w:rPr>
          <w:szCs w:val="22"/>
          <w:lang w:eastAsia="cs-CZ"/>
        </w:rPr>
        <w:t>maternální</w:t>
      </w:r>
      <w:proofErr w:type="spellEnd"/>
      <w:r w:rsidRPr="007B76CE">
        <w:rPr>
          <w:szCs w:val="22"/>
          <w:lang w:eastAsia="cs-CZ"/>
        </w:rPr>
        <w:t xml:space="preserve"> toxicitu a embryotoxické účinky </w:t>
      </w:r>
      <w:r w:rsidR="00323F06" w:rsidRPr="007B76CE">
        <w:rPr>
          <w:szCs w:val="22"/>
          <w:lang w:eastAsia="cs-CZ"/>
        </w:rPr>
        <w:t>a</w:t>
      </w:r>
      <w:r w:rsidR="00323F06">
        <w:rPr>
          <w:szCs w:val="22"/>
          <w:lang w:eastAsia="cs-CZ"/>
        </w:rPr>
        <w:t> </w:t>
      </w:r>
      <w:r w:rsidRPr="007B76CE">
        <w:rPr>
          <w:szCs w:val="22"/>
          <w:lang w:eastAsia="cs-CZ"/>
        </w:rPr>
        <w:t xml:space="preserve">zároveň bylo prokázáno, že </w:t>
      </w:r>
      <w:proofErr w:type="spellStart"/>
      <w:r w:rsidRPr="007B76CE">
        <w:rPr>
          <w:szCs w:val="22"/>
          <w:lang w:eastAsia="cs-CZ"/>
        </w:rPr>
        <w:t>pimobendan</w:t>
      </w:r>
      <w:proofErr w:type="spellEnd"/>
      <w:r w:rsidRPr="007B76CE">
        <w:rPr>
          <w:szCs w:val="22"/>
          <w:lang w:eastAsia="cs-CZ"/>
        </w:rPr>
        <w:t xml:space="preserve"> je vylučován do mléka. Nebyla stanovena bezpečnost </w:t>
      </w:r>
      <w:r w:rsidR="00186CD0" w:rsidRPr="00AD2BF4">
        <w:rPr>
          <w:szCs w:val="22"/>
        </w:rPr>
        <w:t>veterinárního léčivého</w:t>
      </w:r>
      <w:r w:rsidR="00186CD0" w:rsidRPr="007B76CE">
        <w:rPr>
          <w:szCs w:val="22"/>
          <w:lang w:eastAsia="cs-CZ"/>
        </w:rPr>
        <w:t xml:space="preserve"> </w:t>
      </w:r>
      <w:r w:rsidRPr="007B76CE">
        <w:rPr>
          <w:szCs w:val="22"/>
          <w:lang w:eastAsia="cs-CZ"/>
        </w:rPr>
        <w:t xml:space="preserve">přípravku pro použití </w:t>
      </w:r>
      <w:r w:rsidR="00BE06E8">
        <w:rPr>
          <w:szCs w:val="22"/>
          <w:lang w:eastAsia="cs-CZ"/>
        </w:rPr>
        <w:t xml:space="preserve">během březosti a laktace u </w:t>
      </w:r>
      <w:r w:rsidRPr="007B76CE">
        <w:rPr>
          <w:szCs w:val="22"/>
          <w:lang w:eastAsia="cs-CZ"/>
        </w:rPr>
        <w:t>fen. Použít pouze po zvážení terapeutického prospěchu a rizika příslušným veterinárním lékařem.</w:t>
      </w:r>
    </w:p>
    <w:p w14:paraId="1EFC03E5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u w:val="single"/>
          <w:lang w:eastAsia="cs-CZ"/>
        </w:rPr>
      </w:pPr>
    </w:p>
    <w:p w14:paraId="252578BD" w14:textId="7777777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</w:rPr>
      </w:pPr>
      <w:r w:rsidRPr="007B76CE">
        <w:rPr>
          <w:szCs w:val="22"/>
          <w:u w:val="single"/>
        </w:rPr>
        <w:t>Interakce s jinými léčivými přípravky a další formy interakce</w:t>
      </w:r>
      <w:r w:rsidRPr="007B76CE">
        <w:rPr>
          <w:szCs w:val="22"/>
        </w:rPr>
        <w:t>:</w:t>
      </w:r>
    </w:p>
    <w:p w14:paraId="163B7189" w14:textId="53880B47" w:rsidR="0058399B" w:rsidRPr="007B76CE" w:rsidRDefault="0058399B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Farmakologickými studiemi nebyla prokázána interakce mezi srdečním glykosidem </w:t>
      </w:r>
      <w:proofErr w:type="spellStart"/>
      <w:r w:rsidRPr="007B76CE">
        <w:rPr>
          <w:szCs w:val="22"/>
          <w:lang w:eastAsia="cs-CZ"/>
        </w:rPr>
        <w:t>ouabainem</w:t>
      </w:r>
      <w:proofErr w:type="spellEnd"/>
      <w:r w:rsidRPr="007B76CE">
        <w:rPr>
          <w:szCs w:val="22"/>
          <w:lang w:eastAsia="cs-CZ"/>
        </w:rPr>
        <w:t xml:space="preserve"> (strofantinem) a </w:t>
      </w:r>
      <w:proofErr w:type="spellStart"/>
      <w:r w:rsidRPr="007B76CE">
        <w:rPr>
          <w:szCs w:val="22"/>
          <w:lang w:eastAsia="cs-CZ"/>
        </w:rPr>
        <w:t>pimobendanem</w:t>
      </w:r>
      <w:proofErr w:type="spellEnd"/>
      <w:r w:rsidRPr="007B76CE">
        <w:rPr>
          <w:szCs w:val="22"/>
          <w:lang w:eastAsia="cs-CZ"/>
        </w:rPr>
        <w:t xml:space="preserve">. Zvýšená kontraktilita srdečního svalu navozená </w:t>
      </w:r>
      <w:proofErr w:type="spellStart"/>
      <w:r w:rsidRPr="007B76CE">
        <w:rPr>
          <w:szCs w:val="22"/>
          <w:lang w:eastAsia="cs-CZ"/>
        </w:rPr>
        <w:t>pimobendanem</w:t>
      </w:r>
      <w:proofErr w:type="spellEnd"/>
      <w:r w:rsidRPr="007B76CE">
        <w:rPr>
          <w:szCs w:val="22"/>
          <w:lang w:eastAsia="cs-CZ"/>
        </w:rPr>
        <w:t xml:space="preserve"> je zeslabována v přítomnosti antagonistů kalcia </w:t>
      </w:r>
      <w:proofErr w:type="spellStart"/>
      <w:r w:rsidRPr="007B76CE">
        <w:rPr>
          <w:szCs w:val="22"/>
          <w:lang w:eastAsia="cs-CZ"/>
        </w:rPr>
        <w:t>verapamilu</w:t>
      </w:r>
      <w:proofErr w:type="spellEnd"/>
      <w:r w:rsidRPr="007B76CE">
        <w:rPr>
          <w:szCs w:val="22"/>
          <w:lang w:eastAsia="cs-CZ"/>
        </w:rPr>
        <w:t xml:space="preserve"> a </w:t>
      </w:r>
      <w:proofErr w:type="spellStart"/>
      <w:r w:rsidRPr="007B76CE">
        <w:rPr>
          <w:szCs w:val="22"/>
          <w:lang w:eastAsia="cs-CZ"/>
        </w:rPr>
        <w:t>diltiazemu</w:t>
      </w:r>
      <w:proofErr w:type="spellEnd"/>
      <w:r w:rsidRPr="007B76CE">
        <w:rPr>
          <w:szCs w:val="22"/>
          <w:lang w:eastAsia="cs-CZ"/>
        </w:rPr>
        <w:t xml:space="preserve"> a ß-blokátoru </w:t>
      </w:r>
      <w:proofErr w:type="spellStart"/>
      <w:r w:rsidRPr="007B76CE">
        <w:rPr>
          <w:szCs w:val="22"/>
          <w:lang w:eastAsia="cs-CZ"/>
        </w:rPr>
        <w:t>propranololu</w:t>
      </w:r>
      <w:proofErr w:type="spellEnd"/>
      <w:r w:rsidRPr="007B76CE">
        <w:rPr>
          <w:szCs w:val="22"/>
          <w:lang w:eastAsia="cs-CZ"/>
        </w:rPr>
        <w:t>.</w:t>
      </w:r>
    </w:p>
    <w:p w14:paraId="017F543D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765DD907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</w:rPr>
      </w:pPr>
      <w:r w:rsidRPr="007B76CE">
        <w:rPr>
          <w:szCs w:val="22"/>
          <w:u w:val="single"/>
        </w:rPr>
        <w:t>Předávkování</w:t>
      </w:r>
      <w:r w:rsidRPr="007B76CE">
        <w:rPr>
          <w:szCs w:val="22"/>
        </w:rPr>
        <w:t>:</w:t>
      </w:r>
    </w:p>
    <w:p w14:paraId="091DF7DA" w14:textId="37A60014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 xml:space="preserve">Předávkování může způsobit </w:t>
      </w:r>
      <w:r w:rsidRPr="007B76CE">
        <w:rPr>
          <w:szCs w:val="22"/>
          <w:lang w:eastAsia="cs-CZ"/>
        </w:rPr>
        <w:t xml:space="preserve">pozitivní </w:t>
      </w:r>
      <w:proofErr w:type="spellStart"/>
      <w:r w:rsidRPr="007B76CE">
        <w:rPr>
          <w:szCs w:val="22"/>
          <w:lang w:eastAsia="cs-CZ"/>
        </w:rPr>
        <w:t>chronotropní</w:t>
      </w:r>
      <w:proofErr w:type="spellEnd"/>
      <w:r w:rsidRPr="007B76CE">
        <w:rPr>
          <w:szCs w:val="22"/>
          <w:lang w:eastAsia="cs-CZ"/>
        </w:rPr>
        <w:t xml:space="preserve"> účinek, </w:t>
      </w:r>
      <w:r w:rsidRPr="007B76CE">
        <w:rPr>
          <w:color w:val="000000"/>
          <w:szCs w:val="22"/>
          <w:lang w:eastAsia="cs-CZ"/>
        </w:rPr>
        <w:t xml:space="preserve">zvracení, apatii, ataxii, srdeční šelest nebo hypotenzi. </w:t>
      </w:r>
      <w:r w:rsidRPr="007B76CE">
        <w:rPr>
          <w:szCs w:val="22"/>
          <w:lang w:eastAsia="cs-CZ"/>
        </w:rPr>
        <w:t>V této situaci musí být dávka snížena a je nutné zahájit vhodnou symptomatickou léčbu.</w:t>
      </w:r>
    </w:p>
    <w:p w14:paraId="5DBA08C6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Při dlouhodobém podávání (6 měsíců) zdravým bíglům v dávce odpovídající 3 až 5násobku doporučené dávky byly u některých psů pozorovány ztluštění mitrální chlopně a hypertrofie levé komory. Jedná se o změny farmakodynamického původu.</w:t>
      </w:r>
    </w:p>
    <w:p w14:paraId="17417A13" w14:textId="77777777" w:rsidR="0058399B" w:rsidRPr="007B76CE" w:rsidRDefault="0058399B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05F14BBC" w14:textId="77777777" w:rsidR="0058399B" w:rsidRPr="007B76CE" w:rsidRDefault="0058399B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5E4E0BC7" w14:textId="77777777" w:rsidR="0058399B" w:rsidRPr="007B76CE" w:rsidRDefault="0058399B" w:rsidP="00DE77B2">
      <w:pPr>
        <w:pStyle w:val="Style1"/>
        <w:keepNext/>
      </w:pPr>
      <w:r w:rsidRPr="007B76CE">
        <w:rPr>
          <w:highlight w:val="lightGray"/>
        </w:rPr>
        <w:lastRenderedPageBreak/>
        <w:t>7.</w:t>
      </w:r>
      <w:r w:rsidRPr="007B76CE">
        <w:tab/>
        <w:t>Nežádoucí účinky</w:t>
      </w:r>
    </w:p>
    <w:p w14:paraId="3F872A00" w14:textId="77777777" w:rsidR="0091590A" w:rsidRPr="007B76CE" w:rsidRDefault="0091590A" w:rsidP="00DE77B2">
      <w:pPr>
        <w:keepNext/>
        <w:tabs>
          <w:tab w:val="left" w:pos="567"/>
        </w:tabs>
        <w:rPr>
          <w:b/>
          <w:szCs w:val="22"/>
          <w:lang w:eastAsia="cs-CZ"/>
        </w:rPr>
      </w:pPr>
    </w:p>
    <w:p w14:paraId="5E00B557" w14:textId="77777777" w:rsidR="00FE13CD" w:rsidRPr="000537AF" w:rsidRDefault="00FE13CD" w:rsidP="00DE77B2">
      <w:pPr>
        <w:keepNext/>
        <w:jc w:val="both"/>
        <w:rPr>
          <w:bCs/>
          <w:szCs w:val="22"/>
        </w:rPr>
      </w:pPr>
      <w:r w:rsidRPr="000537AF">
        <w:rPr>
          <w:bCs/>
          <w:szCs w:val="22"/>
        </w:rPr>
        <w:t>Psi:</w:t>
      </w:r>
    </w:p>
    <w:p w14:paraId="5C39A5F1" w14:textId="77777777" w:rsidR="00FE13CD" w:rsidRPr="000537AF" w:rsidRDefault="00FE13CD" w:rsidP="00DE77B2">
      <w:pPr>
        <w:keepNext/>
        <w:jc w:val="both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C44A1" w:rsidRPr="000537AF" w14:paraId="67E9BA77" w14:textId="77777777" w:rsidTr="00AB6CAA">
        <w:tc>
          <w:tcPr>
            <w:tcW w:w="9061" w:type="dxa"/>
            <w:shd w:val="clear" w:color="auto" w:fill="auto"/>
          </w:tcPr>
          <w:p w14:paraId="72F624AB" w14:textId="295CE740" w:rsidR="00FC44A1" w:rsidRPr="00323F06" w:rsidRDefault="00FC44A1" w:rsidP="00DE77B2">
            <w:pPr>
              <w:keepNext/>
              <w:spacing w:line="360" w:lineRule="auto"/>
              <w:rPr>
                <w:b/>
                <w:bCs/>
                <w:szCs w:val="22"/>
                <w:lang w:bidi="th-TH"/>
              </w:rPr>
            </w:pPr>
            <w:r w:rsidRPr="00323F06">
              <w:rPr>
                <w:b/>
                <w:bCs/>
                <w:szCs w:val="22"/>
                <w:lang w:bidi="th-TH"/>
              </w:rPr>
              <w:t>Vzácné</w:t>
            </w:r>
            <w:r w:rsidRPr="003B2352">
              <w:rPr>
                <w:b/>
                <w:bCs/>
                <w:szCs w:val="22"/>
                <w:lang w:bidi="th-TH"/>
              </w:rPr>
              <w:t xml:space="preserve"> </w:t>
            </w:r>
            <w:r w:rsidRPr="00323F06">
              <w:rPr>
                <w:b/>
                <w:bCs/>
                <w:szCs w:val="22"/>
                <w:lang w:bidi="th-TH"/>
              </w:rPr>
              <w:t>(1 až 10 zvířat / 10 000 ošetřených zvířat):</w:t>
            </w:r>
          </w:p>
        </w:tc>
      </w:tr>
      <w:tr w:rsidR="00FC44A1" w:rsidRPr="000537AF" w14:paraId="7CA492B0" w14:textId="77777777" w:rsidTr="00C20CCA">
        <w:tc>
          <w:tcPr>
            <w:tcW w:w="9061" w:type="dxa"/>
            <w:shd w:val="clear" w:color="auto" w:fill="auto"/>
          </w:tcPr>
          <w:p w14:paraId="204C87E6" w14:textId="77777777" w:rsidR="00FC44A1" w:rsidRPr="003B2352" w:rsidRDefault="00FC44A1" w:rsidP="00DE77B2">
            <w:pPr>
              <w:tabs>
                <w:tab w:val="left" w:pos="720"/>
              </w:tabs>
              <w:spacing w:line="360" w:lineRule="auto"/>
              <w:ind w:left="323" w:hanging="323"/>
              <w:rPr>
                <w:rFonts w:eastAsia="Calibri"/>
                <w:szCs w:val="22"/>
                <w:lang w:bidi="th-TH"/>
              </w:rPr>
            </w:pPr>
            <w:r w:rsidRPr="003B2352">
              <w:rPr>
                <w:szCs w:val="22"/>
                <w:lang w:bidi="th-TH"/>
              </w:rPr>
              <w:t>Zvracení</w:t>
            </w:r>
            <w:r w:rsidRPr="003B2352">
              <w:rPr>
                <w:rFonts w:eastAsia="Calibri"/>
                <w:szCs w:val="22"/>
                <w:vertAlign w:val="superscript"/>
                <w:lang w:bidi="th-TH"/>
              </w:rPr>
              <w:t>1</w:t>
            </w:r>
            <w:r w:rsidRPr="003B2352">
              <w:rPr>
                <w:szCs w:val="22"/>
                <w:lang w:bidi="th-TH"/>
              </w:rPr>
              <w:t>, průjem</w:t>
            </w:r>
            <w:r w:rsidRPr="003B2352">
              <w:rPr>
                <w:szCs w:val="22"/>
                <w:vertAlign w:val="superscript"/>
                <w:lang w:bidi="th-TH"/>
              </w:rPr>
              <w:t>2</w:t>
            </w:r>
          </w:p>
          <w:p w14:paraId="33063AD4" w14:textId="324A7213" w:rsidR="00FC44A1" w:rsidRPr="003B2352" w:rsidRDefault="00FC44A1" w:rsidP="00DE77B2">
            <w:pPr>
              <w:spacing w:line="360" w:lineRule="auto"/>
              <w:ind w:left="323" w:hanging="323"/>
              <w:jc w:val="both"/>
              <w:rPr>
                <w:szCs w:val="22"/>
                <w:lang w:bidi="th-TH"/>
              </w:rPr>
            </w:pPr>
            <w:r w:rsidRPr="003B2352">
              <w:rPr>
                <w:szCs w:val="22"/>
                <w:lang w:bidi="th-TH"/>
              </w:rPr>
              <w:t>Anorexie</w:t>
            </w:r>
            <w:r w:rsidRPr="003B2352">
              <w:rPr>
                <w:szCs w:val="22"/>
                <w:vertAlign w:val="superscript"/>
                <w:lang w:bidi="th-TH"/>
              </w:rPr>
              <w:t>2</w:t>
            </w:r>
            <w:r w:rsidR="007960BF">
              <w:rPr>
                <w:szCs w:val="22"/>
                <w:lang w:bidi="th-TH"/>
              </w:rPr>
              <w:t xml:space="preserve"> (ztráta chuti k jídlu)</w:t>
            </w:r>
            <w:r w:rsidRPr="003B2352">
              <w:rPr>
                <w:szCs w:val="22"/>
                <w:lang w:bidi="th-TH"/>
              </w:rPr>
              <w:t>, letargie</w:t>
            </w:r>
            <w:r w:rsidRPr="003B2352">
              <w:rPr>
                <w:szCs w:val="22"/>
                <w:vertAlign w:val="superscript"/>
                <w:lang w:bidi="th-TH"/>
              </w:rPr>
              <w:t>2</w:t>
            </w:r>
          </w:p>
          <w:p w14:paraId="7DE2B0C6" w14:textId="6B2E96BB" w:rsidR="00FC44A1" w:rsidRPr="003B2352" w:rsidRDefault="00FC44A1" w:rsidP="00DE77B2">
            <w:pPr>
              <w:tabs>
                <w:tab w:val="left" w:pos="720"/>
              </w:tabs>
              <w:spacing w:line="360" w:lineRule="auto"/>
              <w:ind w:left="323" w:hanging="323"/>
              <w:rPr>
                <w:szCs w:val="22"/>
                <w:lang w:bidi="th-TH"/>
              </w:rPr>
            </w:pPr>
            <w:r w:rsidRPr="003B2352">
              <w:rPr>
                <w:rFonts w:eastAsia="Calibri"/>
                <w:szCs w:val="22"/>
                <w:lang w:bidi="th-TH"/>
              </w:rPr>
              <w:t>Zvýšení srdeční frekvence</w:t>
            </w:r>
            <w:r w:rsidRPr="003B2352">
              <w:rPr>
                <w:rFonts w:eastAsia="Calibri"/>
                <w:szCs w:val="22"/>
                <w:vertAlign w:val="superscript"/>
                <w:lang w:bidi="th-TH"/>
              </w:rPr>
              <w:t>1,</w:t>
            </w:r>
            <w:r w:rsidRPr="003B2352">
              <w:rPr>
                <w:szCs w:val="22"/>
                <w:vertAlign w:val="superscript"/>
                <w:lang w:bidi="th-TH"/>
              </w:rPr>
              <w:t>3</w:t>
            </w:r>
            <w:r w:rsidRPr="003B2352">
              <w:rPr>
                <w:szCs w:val="22"/>
                <w:lang w:bidi="th-TH"/>
              </w:rPr>
              <w:t>,</w:t>
            </w:r>
            <w:r w:rsidRPr="003B2352">
              <w:rPr>
                <w:rFonts w:eastAsia="Calibri"/>
                <w:szCs w:val="22"/>
                <w:vertAlign w:val="superscript"/>
                <w:lang w:bidi="th-TH"/>
              </w:rPr>
              <w:t xml:space="preserve"> </w:t>
            </w:r>
            <w:r w:rsidRPr="003B2352">
              <w:rPr>
                <w:szCs w:val="22"/>
                <w:lang w:bidi="th-TH"/>
              </w:rPr>
              <w:t>zvýšení nedomykavosti mitrální chlopně</w:t>
            </w:r>
            <w:r w:rsidRPr="003B2352">
              <w:rPr>
                <w:szCs w:val="22"/>
                <w:vertAlign w:val="superscript"/>
                <w:lang w:bidi="th-TH"/>
              </w:rPr>
              <w:t>4</w:t>
            </w:r>
          </w:p>
        </w:tc>
      </w:tr>
      <w:tr w:rsidR="00FC44A1" w:rsidRPr="000537AF" w14:paraId="1C5F37FF" w14:textId="77777777" w:rsidTr="001C431A">
        <w:tc>
          <w:tcPr>
            <w:tcW w:w="9061" w:type="dxa"/>
            <w:shd w:val="clear" w:color="auto" w:fill="auto"/>
          </w:tcPr>
          <w:p w14:paraId="73BFB3BC" w14:textId="3081DA54" w:rsidR="00FC44A1" w:rsidRPr="00323F06" w:rsidRDefault="00FC44A1" w:rsidP="00DE77B2">
            <w:pPr>
              <w:spacing w:line="360" w:lineRule="auto"/>
              <w:rPr>
                <w:b/>
                <w:bCs/>
                <w:szCs w:val="22"/>
                <w:lang w:bidi="th-TH"/>
              </w:rPr>
            </w:pPr>
            <w:r w:rsidRPr="00323F06">
              <w:rPr>
                <w:b/>
                <w:bCs/>
                <w:szCs w:val="22"/>
                <w:lang w:bidi="th-TH"/>
              </w:rPr>
              <w:t>Velmi vzácné</w:t>
            </w:r>
            <w:r w:rsidRPr="003B2352">
              <w:rPr>
                <w:b/>
                <w:bCs/>
                <w:szCs w:val="22"/>
                <w:lang w:bidi="th-TH"/>
              </w:rPr>
              <w:t xml:space="preserve"> </w:t>
            </w:r>
            <w:r w:rsidRPr="00323F06">
              <w:rPr>
                <w:b/>
                <w:bCs/>
                <w:szCs w:val="22"/>
                <w:lang w:bidi="th-TH"/>
              </w:rPr>
              <w:t>(&lt; 1 zvíře / 10 000 ošetřených zvířat, včetně ojedinělých hlášení):</w:t>
            </w:r>
          </w:p>
        </w:tc>
      </w:tr>
      <w:tr w:rsidR="00FC44A1" w:rsidRPr="000537AF" w14:paraId="31B49E61" w14:textId="77777777" w:rsidTr="00DC7611">
        <w:tc>
          <w:tcPr>
            <w:tcW w:w="9061" w:type="dxa"/>
            <w:shd w:val="clear" w:color="auto" w:fill="auto"/>
          </w:tcPr>
          <w:p w14:paraId="63F10E0B" w14:textId="720ADEC0" w:rsidR="00FC44A1" w:rsidRPr="003B2352" w:rsidRDefault="00FC44A1" w:rsidP="00DE77B2">
            <w:pPr>
              <w:tabs>
                <w:tab w:val="left" w:pos="720"/>
              </w:tabs>
              <w:spacing w:line="360" w:lineRule="auto"/>
              <w:ind w:left="323" w:hanging="323"/>
              <w:jc w:val="both"/>
              <w:rPr>
                <w:szCs w:val="22"/>
                <w:lang w:bidi="th-TH"/>
              </w:rPr>
            </w:pPr>
            <w:r w:rsidRPr="003B2352">
              <w:rPr>
                <w:szCs w:val="22"/>
                <w:lang w:bidi="th-TH"/>
              </w:rPr>
              <w:t>Petechie na sliznicích</w:t>
            </w:r>
            <w:r w:rsidRPr="003B2352">
              <w:rPr>
                <w:szCs w:val="22"/>
                <w:vertAlign w:val="superscript"/>
                <w:lang w:bidi="th-TH"/>
              </w:rPr>
              <w:t>5</w:t>
            </w:r>
            <w:r w:rsidR="007960BF">
              <w:rPr>
                <w:szCs w:val="22"/>
                <w:lang w:bidi="th-TH"/>
              </w:rPr>
              <w:t xml:space="preserve"> (malé </w:t>
            </w:r>
            <w:r w:rsidR="000F1A8C">
              <w:rPr>
                <w:szCs w:val="22"/>
                <w:lang w:bidi="th-TH"/>
              </w:rPr>
              <w:t>červené tečky na sliznicích)</w:t>
            </w:r>
            <w:r w:rsidRPr="003B2352">
              <w:rPr>
                <w:szCs w:val="22"/>
                <w:lang w:bidi="th-TH"/>
              </w:rPr>
              <w:t>, hemoragie</w:t>
            </w:r>
            <w:r w:rsidRPr="003B2352">
              <w:rPr>
                <w:szCs w:val="22"/>
                <w:vertAlign w:val="superscript"/>
                <w:lang w:bidi="th-TH"/>
              </w:rPr>
              <w:t>5</w:t>
            </w:r>
            <w:r w:rsidRPr="003B2352">
              <w:rPr>
                <w:szCs w:val="22"/>
                <w:lang w:bidi="th-TH"/>
              </w:rPr>
              <w:t xml:space="preserve"> (subkutánní)</w:t>
            </w:r>
          </w:p>
        </w:tc>
      </w:tr>
    </w:tbl>
    <w:p w14:paraId="0BF3FF7E" w14:textId="77777777" w:rsidR="00FE13CD" w:rsidRPr="000537AF" w:rsidRDefault="00FE13CD" w:rsidP="00DE77B2">
      <w:pPr>
        <w:jc w:val="both"/>
        <w:rPr>
          <w:bCs/>
          <w:szCs w:val="22"/>
        </w:rPr>
      </w:pPr>
    </w:p>
    <w:p w14:paraId="2A9D2DB0" w14:textId="77777777" w:rsidR="00FE13CD" w:rsidRPr="000537AF" w:rsidRDefault="00FE13CD" w:rsidP="00DE77B2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1</w:t>
      </w:r>
      <w:r w:rsidRPr="000537AF">
        <w:rPr>
          <w:rFonts w:eastAsia="Calibri"/>
          <w:sz w:val="20"/>
        </w:rPr>
        <w:tab/>
        <w:t>Tyto účinky jsou závislé na dávce a je možné se jich vyvarovat snížením dávky.</w:t>
      </w:r>
    </w:p>
    <w:p w14:paraId="6AEE7328" w14:textId="77777777" w:rsidR="00FE13CD" w:rsidRPr="000537AF" w:rsidRDefault="00FE13CD" w:rsidP="00DE77B2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2</w:t>
      </w:r>
      <w:r w:rsidRPr="000537AF">
        <w:rPr>
          <w:rFonts w:eastAsia="Calibri"/>
          <w:sz w:val="20"/>
        </w:rPr>
        <w:tab/>
        <w:t>Přechodné</w:t>
      </w:r>
    </w:p>
    <w:p w14:paraId="58C4A48A" w14:textId="77777777" w:rsidR="00FE13CD" w:rsidRPr="000537AF" w:rsidRDefault="00FE13CD" w:rsidP="00DE77B2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3</w:t>
      </w:r>
      <w:r w:rsidRPr="000537AF">
        <w:rPr>
          <w:rFonts w:eastAsia="Calibri"/>
          <w:sz w:val="20"/>
          <w:vertAlign w:val="superscript"/>
        </w:rPr>
        <w:tab/>
      </w:r>
      <w:r w:rsidRPr="000537AF">
        <w:rPr>
          <w:rFonts w:eastAsia="Calibri"/>
          <w:sz w:val="20"/>
        </w:rPr>
        <w:t xml:space="preserve">Kvůli slabě pozitivnímu </w:t>
      </w:r>
      <w:proofErr w:type="spellStart"/>
      <w:r w:rsidRPr="000537AF">
        <w:rPr>
          <w:rFonts w:eastAsia="Calibri"/>
          <w:sz w:val="20"/>
        </w:rPr>
        <w:t>chronotropnímu</w:t>
      </w:r>
      <w:proofErr w:type="spellEnd"/>
      <w:r w:rsidRPr="000537AF">
        <w:rPr>
          <w:rFonts w:eastAsia="Calibri"/>
          <w:sz w:val="20"/>
        </w:rPr>
        <w:t xml:space="preserve"> účinku.</w:t>
      </w:r>
    </w:p>
    <w:p w14:paraId="0AE92843" w14:textId="77777777" w:rsidR="00FE13CD" w:rsidRPr="000537AF" w:rsidRDefault="00FE13CD" w:rsidP="00DE77B2">
      <w:pPr>
        <w:rPr>
          <w:sz w:val="20"/>
        </w:rPr>
      </w:pPr>
      <w:r w:rsidRPr="000537AF">
        <w:rPr>
          <w:rFonts w:eastAsia="Calibri"/>
          <w:sz w:val="20"/>
          <w:vertAlign w:val="superscript"/>
        </w:rPr>
        <w:t>4</w:t>
      </w:r>
      <w:r w:rsidRPr="000537AF">
        <w:rPr>
          <w:rFonts w:eastAsia="Calibri"/>
          <w:sz w:val="20"/>
        </w:rPr>
        <w:tab/>
        <w:t xml:space="preserve">Pozorovány při dlouhodobé léčbě </w:t>
      </w:r>
      <w:proofErr w:type="spellStart"/>
      <w:r w:rsidRPr="000537AF">
        <w:rPr>
          <w:rFonts w:eastAsia="Calibri"/>
          <w:sz w:val="20"/>
        </w:rPr>
        <w:t>pimobendanem</w:t>
      </w:r>
      <w:proofErr w:type="spellEnd"/>
      <w:r w:rsidRPr="000537AF">
        <w:rPr>
          <w:rFonts w:eastAsia="Calibri"/>
          <w:sz w:val="20"/>
        </w:rPr>
        <w:t xml:space="preserve"> u psů s onemocněním mitrální chlopně</w:t>
      </w:r>
      <w:r w:rsidRPr="000537AF">
        <w:rPr>
          <w:sz w:val="20"/>
        </w:rPr>
        <w:t>.</w:t>
      </w:r>
    </w:p>
    <w:p w14:paraId="2DBA5BEC" w14:textId="77777777" w:rsidR="00FE13CD" w:rsidRPr="000537AF" w:rsidRDefault="00FE13CD" w:rsidP="00DE77B2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5</w:t>
      </w:r>
      <w:r w:rsidRPr="000537AF">
        <w:rPr>
          <w:sz w:val="20"/>
        </w:rPr>
        <w:tab/>
        <w:t>Souvislost s </w:t>
      </w:r>
      <w:proofErr w:type="spellStart"/>
      <w:r w:rsidRPr="000537AF">
        <w:rPr>
          <w:sz w:val="20"/>
        </w:rPr>
        <w:t>pimobendanem</w:t>
      </w:r>
      <w:proofErr w:type="spellEnd"/>
      <w:r w:rsidRPr="000537AF">
        <w:rPr>
          <w:sz w:val="20"/>
        </w:rPr>
        <w:t xml:space="preserve"> nebyla jasně stanovena, příznaky mizí při přerušení léčby.</w:t>
      </w:r>
    </w:p>
    <w:p w14:paraId="304C10BB" w14:textId="77777777" w:rsid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p w14:paraId="6BCF7E92" w14:textId="37D3F0C6" w:rsidR="001B4B93" w:rsidRP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1B4B93">
        <w:rPr>
          <w:szCs w:val="22"/>
          <w:lang w:eastAsia="cs-CZ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</w:t>
      </w:r>
    </w:p>
    <w:p w14:paraId="16614794" w14:textId="77777777" w:rsidR="00680B30" w:rsidRDefault="00680B30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p w14:paraId="123796AF" w14:textId="3A2AC8AC" w:rsidR="001B4B93" w:rsidRP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1B4B93">
        <w:rPr>
          <w:szCs w:val="22"/>
          <w:lang w:eastAsia="cs-CZ"/>
        </w:rPr>
        <w:t>Ústav pro státní kontrolu veterinárních biopreparátů a léčiv</w:t>
      </w:r>
    </w:p>
    <w:p w14:paraId="799C83EC" w14:textId="2D03AB1E" w:rsidR="001B4B93" w:rsidRP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1B4B93">
        <w:rPr>
          <w:szCs w:val="22"/>
          <w:lang w:eastAsia="cs-CZ"/>
        </w:rPr>
        <w:t>Hudcova 232/56</w:t>
      </w:r>
      <w:r w:rsidR="00680B30">
        <w:rPr>
          <w:szCs w:val="22"/>
          <w:lang w:eastAsia="cs-CZ"/>
        </w:rPr>
        <w:t xml:space="preserve"> </w:t>
      </w:r>
      <w:r w:rsidRPr="001B4B93">
        <w:rPr>
          <w:szCs w:val="22"/>
          <w:lang w:eastAsia="cs-CZ"/>
        </w:rPr>
        <w:t>a</w:t>
      </w:r>
    </w:p>
    <w:p w14:paraId="047DF876" w14:textId="77777777" w:rsidR="001B4B93" w:rsidRP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1B4B93">
        <w:rPr>
          <w:szCs w:val="22"/>
          <w:lang w:eastAsia="cs-CZ"/>
        </w:rPr>
        <w:t>621 00 Brno</w:t>
      </w:r>
    </w:p>
    <w:p w14:paraId="6FB186EE" w14:textId="58C8A270" w:rsidR="001B4B93" w:rsidRPr="001B4B93" w:rsidRDefault="00680B30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>
        <w:rPr>
          <w:szCs w:val="22"/>
          <w:lang w:eastAsia="cs-CZ"/>
        </w:rPr>
        <w:t>E</w:t>
      </w:r>
      <w:r w:rsidR="001B4B93" w:rsidRPr="001B4B93">
        <w:rPr>
          <w:szCs w:val="22"/>
          <w:lang w:eastAsia="cs-CZ"/>
        </w:rPr>
        <w:t>-mail: adr@uskvbl.cz</w:t>
      </w:r>
    </w:p>
    <w:p w14:paraId="59834595" w14:textId="094F840D" w:rsidR="001B4B93" w:rsidRDefault="001B4B9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1B4B93">
        <w:rPr>
          <w:szCs w:val="22"/>
          <w:lang w:eastAsia="cs-CZ"/>
        </w:rPr>
        <w:t xml:space="preserve">Webové stránky: </w:t>
      </w:r>
      <w:hyperlink r:id="rId10" w:history="1">
        <w:r w:rsidRPr="00EB1097">
          <w:rPr>
            <w:rStyle w:val="Hypertextovodkaz"/>
            <w:szCs w:val="22"/>
            <w:lang w:eastAsia="cs-CZ"/>
          </w:rPr>
          <w:t>http://www.uskvbl.cz/cs/farmakovigilance</w:t>
        </w:r>
      </w:hyperlink>
    </w:p>
    <w:p w14:paraId="19118F6E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1B84042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2DEEC52D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8.</w:t>
      </w:r>
      <w:r w:rsidRPr="007B76CE">
        <w:tab/>
        <w:t>Dávkování pro každý druh, cesty a způsob podání</w:t>
      </w:r>
    </w:p>
    <w:p w14:paraId="248600E4" w14:textId="06D82ACE" w:rsidR="0091590A" w:rsidRPr="007B76CE" w:rsidRDefault="0091590A" w:rsidP="00DE77B2">
      <w:pPr>
        <w:keepNext/>
        <w:tabs>
          <w:tab w:val="left" w:pos="567"/>
        </w:tabs>
        <w:rPr>
          <w:b/>
          <w:szCs w:val="22"/>
          <w:lang w:eastAsia="cs-CZ"/>
        </w:rPr>
      </w:pPr>
    </w:p>
    <w:p w14:paraId="0CA2187E" w14:textId="77777777" w:rsidR="00E32158" w:rsidRDefault="00E32158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Perorální podání.</w:t>
      </w:r>
    </w:p>
    <w:p w14:paraId="7A4745C3" w14:textId="77777777" w:rsidR="00915B7B" w:rsidRPr="007B76CE" w:rsidRDefault="00915B7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2EF19B46" w14:textId="77777777" w:rsidR="000F1A8C" w:rsidRDefault="00CF671D" w:rsidP="00DE77B2">
      <w:pPr>
        <w:tabs>
          <w:tab w:val="left" w:pos="567"/>
        </w:tabs>
        <w:ind w:left="0" w:firstLine="0"/>
      </w:pPr>
      <w:r w:rsidRPr="00B41D57">
        <w:t>Pro zajištění správného dávkování je třeba co nejpřesněji stanovit živou hmotnost.</w:t>
      </w:r>
    </w:p>
    <w:p w14:paraId="19B2C6E2" w14:textId="096F21B2" w:rsidR="00CF671D" w:rsidRPr="007B76CE" w:rsidRDefault="00CF671D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>
        <w:t xml:space="preserve"> </w:t>
      </w:r>
    </w:p>
    <w:p w14:paraId="253A1B75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Musí být dodrženo dávkování 0,2 mg až 0,6 mg </w:t>
      </w:r>
      <w:proofErr w:type="spellStart"/>
      <w:r w:rsidRPr="007B76CE">
        <w:rPr>
          <w:szCs w:val="22"/>
          <w:lang w:eastAsia="cs-CZ"/>
        </w:rPr>
        <w:t>pimobendanu</w:t>
      </w:r>
      <w:proofErr w:type="spellEnd"/>
      <w:r w:rsidRPr="007B76CE">
        <w:rPr>
          <w:szCs w:val="22"/>
          <w:lang w:eastAsia="cs-CZ"/>
        </w:rPr>
        <w:t>/kg ž.hm. podávaného rozděleně ve dvou dávkách denně.</w:t>
      </w:r>
    </w:p>
    <w:p w14:paraId="413C22A8" w14:textId="67F1AEFA" w:rsidR="0091590A" w:rsidRDefault="0091590A" w:rsidP="00DE77B2">
      <w:pPr>
        <w:tabs>
          <w:tab w:val="left" w:pos="567"/>
        </w:tabs>
        <w:ind w:left="0" w:firstLine="0"/>
        <w:rPr>
          <w:color w:val="000000"/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 xml:space="preserve">Preferovaná denní dávka je 0,5 mg </w:t>
      </w:r>
      <w:proofErr w:type="spellStart"/>
      <w:r w:rsidRPr="007B76CE">
        <w:rPr>
          <w:szCs w:val="22"/>
          <w:lang w:eastAsia="cs-CZ"/>
        </w:rPr>
        <w:t>pimobendanu</w:t>
      </w:r>
      <w:proofErr w:type="spellEnd"/>
      <w:r w:rsidRPr="007B76CE">
        <w:rPr>
          <w:color w:val="000000"/>
          <w:szCs w:val="22"/>
          <w:lang w:eastAsia="cs-CZ"/>
        </w:rPr>
        <w:t>/kg ž.hm., podávaná rozděleně ve dvou dávkách denně</w:t>
      </w:r>
      <w:r w:rsidR="00714D80">
        <w:rPr>
          <w:color w:val="000000"/>
          <w:szCs w:val="22"/>
          <w:lang w:eastAsia="cs-CZ"/>
        </w:rPr>
        <w:t xml:space="preserve"> </w:t>
      </w:r>
      <w:r w:rsidR="00714D80" w:rsidRPr="000537AF">
        <w:rPr>
          <w:rStyle w:val="Flietext"/>
          <w:sz w:val="22"/>
          <w:szCs w:val="22"/>
        </w:rPr>
        <w:t xml:space="preserve">(0,25 mg/kg </w:t>
      </w:r>
      <w:r w:rsidR="00714D80">
        <w:rPr>
          <w:rStyle w:val="Flietext"/>
          <w:sz w:val="22"/>
          <w:szCs w:val="22"/>
        </w:rPr>
        <w:t>živé</w:t>
      </w:r>
      <w:r w:rsidR="00714D80" w:rsidRPr="000537AF">
        <w:rPr>
          <w:rStyle w:val="Flietext"/>
          <w:sz w:val="22"/>
          <w:szCs w:val="22"/>
        </w:rPr>
        <w:t xml:space="preserve"> hmotnosti v</w:t>
      </w:r>
      <w:r w:rsidR="00714D80">
        <w:rPr>
          <w:rStyle w:val="Flietext"/>
          <w:sz w:val="22"/>
          <w:szCs w:val="22"/>
        </w:rPr>
        <w:t> </w:t>
      </w:r>
      <w:r w:rsidR="00714D80" w:rsidRPr="000537AF">
        <w:rPr>
          <w:rStyle w:val="Flietext"/>
          <w:sz w:val="22"/>
          <w:szCs w:val="22"/>
        </w:rPr>
        <w:t>jedné dávce</w:t>
      </w:r>
      <w:r w:rsidR="00714D80">
        <w:rPr>
          <w:rStyle w:val="Flietext"/>
          <w:sz w:val="22"/>
          <w:szCs w:val="22"/>
        </w:rPr>
        <w:t>)</w:t>
      </w:r>
      <w:r w:rsidR="00714D80" w:rsidRPr="000537AF">
        <w:rPr>
          <w:rStyle w:val="Flietext"/>
          <w:sz w:val="22"/>
          <w:szCs w:val="22"/>
        </w:rPr>
        <w:t xml:space="preserve"> s odstupem přibližně 12 hodin</w:t>
      </w:r>
      <w:r w:rsidRPr="007B76CE">
        <w:rPr>
          <w:color w:val="000000"/>
          <w:szCs w:val="22"/>
          <w:lang w:eastAsia="cs-CZ"/>
        </w:rPr>
        <w:t>.</w:t>
      </w:r>
    </w:p>
    <w:p w14:paraId="37CF9BC4" w14:textId="77777777" w:rsidR="00CF671D" w:rsidRPr="007B76CE" w:rsidRDefault="00CF671D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3B0A67FD" w14:textId="77777777" w:rsidR="0091590A" w:rsidRPr="007B76CE" w:rsidRDefault="0091590A" w:rsidP="00DE77B2">
      <w:pPr>
        <w:tabs>
          <w:tab w:val="left" w:pos="720"/>
        </w:tabs>
        <w:ind w:left="0" w:firstLine="0"/>
        <w:rPr>
          <w:bCs/>
          <w:iCs/>
          <w:szCs w:val="22"/>
          <w:lang w:eastAsia="cs-CZ"/>
        </w:rPr>
      </w:pPr>
      <w:r w:rsidRPr="007B76CE">
        <w:rPr>
          <w:szCs w:val="22"/>
          <w:lang w:eastAsia="cs-CZ"/>
        </w:rPr>
        <w:t>To odpovídá dávkování:</w:t>
      </w:r>
    </w:p>
    <w:p w14:paraId="19443066" w14:textId="77777777" w:rsidR="0091590A" w:rsidRDefault="0091590A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>Jedna 1,25 mg žvýkací tableta ráno a jedna 1,25 mg žvýkací tableta večer pro psy s </w:t>
      </w:r>
      <w:r w:rsidR="008A6939" w:rsidRPr="007B76CE">
        <w:rPr>
          <w:color w:val="000000"/>
          <w:szCs w:val="22"/>
          <w:lang w:eastAsia="cs-CZ"/>
        </w:rPr>
        <w:t xml:space="preserve">živou </w:t>
      </w:r>
      <w:r w:rsidRPr="007B76CE">
        <w:rPr>
          <w:color w:val="000000"/>
          <w:szCs w:val="22"/>
          <w:lang w:eastAsia="cs-CZ"/>
        </w:rPr>
        <w:t>hmotností 5 kg.</w:t>
      </w:r>
    </w:p>
    <w:p w14:paraId="2658FB9B" w14:textId="77777777" w:rsidR="00CF671D" w:rsidRPr="007B76CE" w:rsidRDefault="00CF671D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</w:p>
    <w:p w14:paraId="68018A93" w14:textId="77777777" w:rsidR="0091590A" w:rsidRDefault="0091590A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>Jedna 2,5 mg žvýkací tableta ráno a jedna 2,5 mg žvýkací tableta večer pro psy s </w:t>
      </w:r>
      <w:r w:rsidR="008A6939" w:rsidRPr="007B76CE">
        <w:rPr>
          <w:color w:val="000000"/>
          <w:szCs w:val="22"/>
          <w:lang w:eastAsia="cs-CZ"/>
        </w:rPr>
        <w:t xml:space="preserve">živou </w:t>
      </w:r>
      <w:r w:rsidRPr="007B76CE">
        <w:rPr>
          <w:color w:val="000000"/>
          <w:szCs w:val="22"/>
          <w:lang w:eastAsia="cs-CZ"/>
        </w:rPr>
        <w:t>hmotností 10 kg.</w:t>
      </w:r>
    </w:p>
    <w:p w14:paraId="5CF0416E" w14:textId="77777777" w:rsidR="00CF671D" w:rsidRPr="007B76CE" w:rsidRDefault="00CF671D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</w:p>
    <w:p w14:paraId="1E2E1B39" w14:textId="77777777" w:rsidR="0091590A" w:rsidRDefault="0091590A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>Jedna 5 mg žvýkací tableta ráno a jedna 5 mg žvýkací tableta večer pro psy s </w:t>
      </w:r>
      <w:r w:rsidR="008A6939" w:rsidRPr="007B76CE">
        <w:rPr>
          <w:color w:val="000000"/>
          <w:szCs w:val="22"/>
          <w:lang w:eastAsia="cs-CZ"/>
        </w:rPr>
        <w:t xml:space="preserve">živou </w:t>
      </w:r>
      <w:r w:rsidRPr="007B76CE">
        <w:rPr>
          <w:color w:val="000000"/>
          <w:szCs w:val="22"/>
          <w:lang w:eastAsia="cs-CZ"/>
        </w:rPr>
        <w:t>hmotností 20 kg.</w:t>
      </w:r>
    </w:p>
    <w:p w14:paraId="7CEF8B3B" w14:textId="77777777" w:rsidR="00CF671D" w:rsidRPr="007B76CE" w:rsidRDefault="00CF671D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</w:p>
    <w:p w14:paraId="69D709CF" w14:textId="77777777" w:rsidR="0091590A" w:rsidRDefault="0091590A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>Jedna 10 mg žvýkací tableta ráno a jedna 10 mg žvýkací tableta večer pro psy s </w:t>
      </w:r>
      <w:r w:rsidR="008A6939" w:rsidRPr="007B76CE">
        <w:rPr>
          <w:color w:val="000000"/>
          <w:szCs w:val="22"/>
          <w:lang w:eastAsia="cs-CZ"/>
        </w:rPr>
        <w:t xml:space="preserve">živou </w:t>
      </w:r>
      <w:r w:rsidRPr="007B76CE">
        <w:rPr>
          <w:color w:val="000000"/>
          <w:szCs w:val="22"/>
          <w:lang w:eastAsia="cs-CZ"/>
        </w:rPr>
        <w:t>hmotností 40 kg.</w:t>
      </w:r>
    </w:p>
    <w:p w14:paraId="66B31525" w14:textId="77777777" w:rsidR="00A313E7" w:rsidRDefault="00A313E7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940"/>
        <w:gridCol w:w="1000"/>
        <w:gridCol w:w="1002"/>
        <w:gridCol w:w="1000"/>
        <w:gridCol w:w="1000"/>
        <w:gridCol w:w="1002"/>
        <w:gridCol w:w="1000"/>
        <w:gridCol w:w="1000"/>
      </w:tblGrid>
      <w:tr w:rsidR="00A313E7" w:rsidRPr="00AD2BF4" w14:paraId="5C335378" w14:textId="77777777" w:rsidTr="00A313E7">
        <w:tc>
          <w:tcPr>
            <w:tcW w:w="622" w:type="pct"/>
            <w:vMerge w:val="restart"/>
            <w:shd w:val="clear" w:color="auto" w:fill="auto"/>
            <w:vAlign w:val="center"/>
          </w:tcPr>
          <w:p w14:paraId="1176C0B9" w14:textId="77777777" w:rsidR="00A313E7" w:rsidRPr="00AD2BF4" w:rsidRDefault="00A313E7" w:rsidP="00DE77B2">
            <w:pPr>
              <w:keepNext/>
              <w:ind w:left="0" w:firstLine="0"/>
              <w:rPr>
                <w:b/>
                <w:bCs/>
                <w:color w:val="000000"/>
                <w:szCs w:val="22"/>
              </w:rPr>
            </w:pPr>
            <w:bookmarkStart w:id="1" w:name="_Hlk142906507"/>
            <w:r w:rsidRPr="00AD2BF4">
              <w:rPr>
                <w:b/>
                <w:bCs/>
                <w:color w:val="000000"/>
                <w:szCs w:val="22"/>
              </w:rPr>
              <w:t>Živá hmotnost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13CC342E" w14:textId="77777777" w:rsidR="00A313E7" w:rsidRPr="00AD2BF4" w:rsidRDefault="00A313E7" w:rsidP="00DE77B2">
            <w:pPr>
              <w:keepNext/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AD2BF4">
              <w:rPr>
                <w:b/>
                <w:bCs/>
                <w:color w:val="000000"/>
                <w:szCs w:val="22"/>
              </w:rPr>
              <w:t>1,25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1BFA7A51" w14:textId="77777777" w:rsidR="00A313E7" w:rsidRPr="00A24F96" w:rsidRDefault="00A313E7" w:rsidP="00DE77B2">
            <w:pPr>
              <w:keepNext/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A24F96">
              <w:rPr>
                <w:b/>
                <w:bCs/>
                <w:color w:val="000000"/>
                <w:szCs w:val="22"/>
              </w:rPr>
              <w:t>2,5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73333257" w14:textId="77777777" w:rsidR="00A313E7" w:rsidRPr="00A24F96" w:rsidRDefault="00A313E7" w:rsidP="00DE77B2">
            <w:pPr>
              <w:keepNext/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A24F96">
              <w:rPr>
                <w:b/>
                <w:bCs/>
                <w:color w:val="000000"/>
                <w:szCs w:val="22"/>
              </w:rPr>
              <w:t>5 mg žvýkací tableta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0E1F274C" w14:textId="77777777" w:rsidR="00A313E7" w:rsidRPr="00A24F96" w:rsidRDefault="00A313E7" w:rsidP="00DE77B2">
            <w:pPr>
              <w:keepNext/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A24F96">
              <w:rPr>
                <w:b/>
                <w:bCs/>
                <w:color w:val="000000"/>
                <w:szCs w:val="22"/>
              </w:rPr>
              <w:t>10 mg žvýkací tableta</w:t>
            </w:r>
          </w:p>
        </w:tc>
      </w:tr>
      <w:tr w:rsidR="00A313E7" w:rsidRPr="00AD2BF4" w14:paraId="5649417D" w14:textId="77777777" w:rsidTr="00A313E7">
        <w:tc>
          <w:tcPr>
            <w:tcW w:w="622" w:type="pct"/>
            <w:vMerge/>
            <w:shd w:val="clear" w:color="auto" w:fill="auto"/>
          </w:tcPr>
          <w:p w14:paraId="3815F9A9" w14:textId="77777777" w:rsidR="00A313E7" w:rsidRPr="00AD2BF4" w:rsidRDefault="00A313E7" w:rsidP="00DE77B2">
            <w:pPr>
              <w:rPr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14:paraId="3E17A4C8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2C196513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Večer</w:t>
            </w:r>
          </w:p>
        </w:tc>
        <w:tc>
          <w:tcPr>
            <w:tcW w:w="552" w:type="pct"/>
            <w:shd w:val="clear" w:color="auto" w:fill="auto"/>
          </w:tcPr>
          <w:p w14:paraId="65474A44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7AF8EDAA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3AC2803B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Ráno</w:t>
            </w:r>
          </w:p>
        </w:tc>
        <w:tc>
          <w:tcPr>
            <w:tcW w:w="552" w:type="pct"/>
            <w:shd w:val="clear" w:color="auto" w:fill="auto"/>
          </w:tcPr>
          <w:p w14:paraId="52BE1972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61E3053A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5D4C619A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Večer</w:t>
            </w:r>
          </w:p>
        </w:tc>
      </w:tr>
      <w:tr w:rsidR="00A313E7" w:rsidRPr="00AD2BF4" w14:paraId="38BA49E7" w14:textId="77777777" w:rsidTr="00A313E7">
        <w:tc>
          <w:tcPr>
            <w:tcW w:w="622" w:type="pct"/>
            <w:shd w:val="clear" w:color="auto" w:fill="auto"/>
          </w:tcPr>
          <w:p w14:paraId="53622B81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5 kg</w:t>
            </w:r>
          </w:p>
        </w:tc>
        <w:tc>
          <w:tcPr>
            <w:tcW w:w="518" w:type="pct"/>
            <w:shd w:val="clear" w:color="auto" w:fill="auto"/>
          </w:tcPr>
          <w:p w14:paraId="782BDE8F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60606F7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704604AC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92E3D9C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DFE5EB8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72847289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E2AECBA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FC87842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</w:tr>
      <w:tr w:rsidR="00A313E7" w:rsidRPr="00AD2BF4" w14:paraId="02B99896" w14:textId="77777777" w:rsidTr="00A313E7">
        <w:tc>
          <w:tcPr>
            <w:tcW w:w="622" w:type="pct"/>
            <w:shd w:val="clear" w:color="auto" w:fill="auto"/>
          </w:tcPr>
          <w:p w14:paraId="5DB1F929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10 kg</w:t>
            </w:r>
          </w:p>
        </w:tc>
        <w:tc>
          <w:tcPr>
            <w:tcW w:w="518" w:type="pct"/>
            <w:shd w:val="clear" w:color="auto" w:fill="auto"/>
          </w:tcPr>
          <w:p w14:paraId="0FB0765C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FB96070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5B5B1A9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66D555F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B70E119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4784FC7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6995B03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4455423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</w:tr>
      <w:tr w:rsidR="00A313E7" w:rsidRPr="00AD2BF4" w14:paraId="06DA3D26" w14:textId="77777777" w:rsidTr="00A313E7">
        <w:tc>
          <w:tcPr>
            <w:tcW w:w="622" w:type="pct"/>
            <w:shd w:val="clear" w:color="auto" w:fill="auto"/>
          </w:tcPr>
          <w:p w14:paraId="251F6C1D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20 kg</w:t>
            </w:r>
          </w:p>
        </w:tc>
        <w:tc>
          <w:tcPr>
            <w:tcW w:w="518" w:type="pct"/>
            <w:shd w:val="clear" w:color="auto" w:fill="auto"/>
          </w:tcPr>
          <w:p w14:paraId="4183622A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859B6A1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54C0225E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9F34EDB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625182D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481D5069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7A2B2B9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7AF303C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</w:tr>
      <w:tr w:rsidR="00A313E7" w:rsidRPr="00AD2BF4" w14:paraId="5293C996" w14:textId="77777777" w:rsidTr="00A313E7">
        <w:tc>
          <w:tcPr>
            <w:tcW w:w="622" w:type="pct"/>
            <w:shd w:val="clear" w:color="auto" w:fill="auto"/>
          </w:tcPr>
          <w:p w14:paraId="7D689BFD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  <w:r w:rsidRPr="00AD2BF4">
              <w:rPr>
                <w:color w:val="000000"/>
                <w:szCs w:val="22"/>
              </w:rPr>
              <w:t>40 kg</w:t>
            </w:r>
          </w:p>
        </w:tc>
        <w:tc>
          <w:tcPr>
            <w:tcW w:w="518" w:type="pct"/>
            <w:shd w:val="clear" w:color="auto" w:fill="auto"/>
          </w:tcPr>
          <w:p w14:paraId="31353A2A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2051D78" w14:textId="77777777" w:rsidR="00A313E7" w:rsidRPr="00AD2BF4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794877FB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C2FCDE5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0FAB1D2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2C8480DC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2503AE8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0AF0CA76" w14:textId="77777777" w:rsidR="00A313E7" w:rsidRPr="00A24F96" w:rsidRDefault="00A313E7" w:rsidP="00DE77B2">
            <w:pPr>
              <w:rPr>
                <w:color w:val="000000"/>
                <w:szCs w:val="22"/>
              </w:rPr>
            </w:pPr>
            <w:r w:rsidRPr="00A24F96">
              <w:rPr>
                <w:color w:val="000000"/>
                <w:szCs w:val="22"/>
              </w:rPr>
              <w:t>1</w:t>
            </w:r>
          </w:p>
        </w:tc>
      </w:tr>
      <w:bookmarkEnd w:id="1"/>
    </w:tbl>
    <w:p w14:paraId="02182767" w14:textId="77777777" w:rsidR="00A313E7" w:rsidRPr="007B76CE" w:rsidRDefault="00A313E7" w:rsidP="00DE77B2">
      <w:pPr>
        <w:autoSpaceDE w:val="0"/>
        <w:autoSpaceDN w:val="0"/>
        <w:ind w:left="0" w:firstLine="0"/>
        <w:rPr>
          <w:color w:val="000000"/>
          <w:szCs w:val="22"/>
          <w:lang w:eastAsia="cs-CZ"/>
        </w:rPr>
      </w:pPr>
    </w:p>
    <w:p w14:paraId="79A03B90" w14:textId="11F43EAF" w:rsidR="0091590A" w:rsidRPr="007B76CE" w:rsidRDefault="0091590A" w:rsidP="00DE77B2">
      <w:pPr>
        <w:tabs>
          <w:tab w:val="left" w:pos="567"/>
        </w:tabs>
        <w:ind w:left="0" w:firstLine="0"/>
        <w:rPr>
          <w:color w:val="000000"/>
          <w:szCs w:val="22"/>
          <w:lang w:eastAsia="cs-CZ"/>
        </w:rPr>
      </w:pPr>
      <w:proofErr w:type="spellStart"/>
      <w:r w:rsidRPr="007B76CE">
        <w:rPr>
          <w:color w:val="000000"/>
          <w:szCs w:val="22"/>
          <w:lang w:eastAsia="cs-CZ"/>
        </w:rPr>
        <w:t>Pimobendan</w:t>
      </w:r>
      <w:proofErr w:type="spellEnd"/>
      <w:r w:rsidRPr="007B76CE">
        <w:rPr>
          <w:color w:val="000000"/>
          <w:szCs w:val="22"/>
          <w:lang w:eastAsia="cs-CZ"/>
        </w:rPr>
        <w:t xml:space="preserve"> se musí podávat přibližně </w:t>
      </w:r>
      <w:r w:rsidR="00A313E7">
        <w:rPr>
          <w:color w:val="000000"/>
          <w:szCs w:val="22"/>
          <w:lang w:eastAsia="cs-CZ"/>
        </w:rPr>
        <w:t>jednu</w:t>
      </w:r>
      <w:r w:rsidRPr="007B76CE">
        <w:rPr>
          <w:color w:val="000000"/>
          <w:szCs w:val="22"/>
          <w:lang w:eastAsia="cs-CZ"/>
        </w:rPr>
        <w:t> hodinu před krmením.</w:t>
      </w:r>
    </w:p>
    <w:p w14:paraId="1319FCB3" w14:textId="77777777" w:rsidR="0091590A" w:rsidRPr="007B76CE" w:rsidRDefault="0091590A" w:rsidP="00DE77B2">
      <w:pPr>
        <w:tabs>
          <w:tab w:val="left" w:pos="567"/>
        </w:tabs>
        <w:ind w:left="0" w:firstLine="0"/>
        <w:rPr>
          <w:color w:val="000000"/>
          <w:szCs w:val="22"/>
          <w:lang w:eastAsia="cs-CZ"/>
        </w:rPr>
      </w:pPr>
    </w:p>
    <w:p w14:paraId="67001C64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Pimobendan</w:t>
      </w:r>
      <w:r w:rsidRPr="007B76CE">
        <w:rPr>
          <w:color w:val="000000"/>
          <w:szCs w:val="22"/>
          <w:lang w:eastAsia="cs-CZ"/>
        </w:rPr>
        <w:t xml:space="preserve"> lze používat také v kombinaci s diuretikem, např. s</w:t>
      </w:r>
      <w:r w:rsidR="00FE4B40" w:rsidRPr="007B76CE">
        <w:rPr>
          <w:color w:val="000000"/>
          <w:szCs w:val="22"/>
          <w:lang w:eastAsia="cs-CZ"/>
        </w:rPr>
        <w:t> </w:t>
      </w:r>
      <w:proofErr w:type="spellStart"/>
      <w:r w:rsidRPr="007B76CE">
        <w:rPr>
          <w:color w:val="000000"/>
          <w:szCs w:val="22"/>
          <w:lang w:eastAsia="cs-CZ"/>
        </w:rPr>
        <w:t>furosemidem</w:t>
      </w:r>
      <w:proofErr w:type="spellEnd"/>
      <w:r w:rsidR="00FE4B40" w:rsidRPr="007B76CE">
        <w:rPr>
          <w:color w:val="000000"/>
          <w:szCs w:val="22"/>
          <w:lang w:eastAsia="cs-CZ"/>
        </w:rPr>
        <w:t xml:space="preserve"> nebo </w:t>
      </w:r>
      <w:proofErr w:type="spellStart"/>
      <w:r w:rsidR="00FE4B40" w:rsidRPr="007B76CE">
        <w:rPr>
          <w:color w:val="000000"/>
          <w:szCs w:val="22"/>
          <w:lang w:eastAsia="cs-CZ"/>
        </w:rPr>
        <w:t>torasemidem</w:t>
      </w:r>
      <w:proofErr w:type="spellEnd"/>
      <w:r w:rsidRPr="007B76CE">
        <w:rPr>
          <w:color w:val="000000"/>
          <w:szCs w:val="22"/>
          <w:lang w:eastAsia="cs-CZ"/>
        </w:rPr>
        <w:t>.</w:t>
      </w:r>
    </w:p>
    <w:p w14:paraId="0A4E1F78" w14:textId="77777777" w:rsidR="0091590A" w:rsidRPr="007B76CE" w:rsidRDefault="0091590A" w:rsidP="00DE77B2">
      <w:pPr>
        <w:ind w:left="0" w:firstLine="0"/>
        <w:rPr>
          <w:szCs w:val="22"/>
          <w:lang w:eastAsia="cs-CZ"/>
        </w:rPr>
      </w:pPr>
    </w:p>
    <w:p w14:paraId="7219EAB9" w14:textId="77777777" w:rsidR="0091590A" w:rsidRPr="007B76CE" w:rsidRDefault="0091590A" w:rsidP="00DE77B2">
      <w:pPr>
        <w:ind w:left="0" w:firstLine="0"/>
        <w:rPr>
          <w:szCs w:val="22"/>
          <w:lang w:eastAsia="cs-CZ"/>
        </w:rPr>
      </w:pPr>
    </w:p>
    <w:p w14:paraId="674EBAE2" w14:textId="371D5EA1" w:rsidR="0091590A" w:rsidRPr="007B76CE" w:rsidRDefault="0058399B" w:rsidP="00DE77B2">
      <w:pPr>
        <w:pStyle w:val="Style1"/>
      </w:pPr>
      <w:r w:rsidRPr="007B76CE">
        <w:rPr>
          <w:highlight w:val="lightGray"/>
        </w:rPr>
        <w:t>9.</w:t>
      </w:r>
      <w:r w:rsidRPr="007B76CE">
        <w:tab/>
        <w:t>Informace o správném podávání</w:t>
      </w:r>
    </w:p>
    <w:p w14:paraId="52645DB9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szCs w:val="22"/>
          <w:lang w:eastAsia="cs-CZ"/>
        </w:rPr>
      </w:pPr>
    </w:p>
    <w:p w14:paraId="6F6C5214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  <w:r w:rsidRPr="007B76CE">
        <w:rPr>
          <w:szCs w:val="22"/>
          <w:lang w:eastAsia="cs-CZ"/>
        </w:rPr>
        <w:t>Nepřekračujte doporučené dávkování.</w:t>
      </w:r>
    </w:p>
    <w:p w14:paraId="2995BB3C" w14:textId="62158255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color w:val="000000"/>
          <w:szCs w:val="22"/>
          <w:lang w:eastAsia="cs-CZ"/>
        </w:rPr>
        <w:t xml:space="preserve">Za účelem přesného dávkování podle živé hmotnosti lze žvýkací tabletu rozdělit podle naznačené </w:t>
      </w:r>
      <w:r w:rsidR="006D7336">
        <w:rPr>
          <w:color w:val="000000"/>
          <w:szCs w:val="22"/>
          <w:lang w:eastAsia="cs-CZ"/>
        </w:rPr>
        <w:t>děl</w:t>
      </w:r>
      <w:r w:rsidR="00A159FA">
        <w:rPr>
          <w:color w:val="000000"/>
          <w:szCs w:val="22"/>
          <w:lang w:eastAsia="cs-CZ"/>
        </w:rPr>
        <w:t>i</w:t>
      </w:r>
      <w:r w:rsidR="006D7336">
        <w:rPr>
          <w:color w:val="000000"/>
          <w:szCs w:val="22"/>
          <w:lang w:eastAsia="cs-CZ"/>
        </w:rPr>
        <w:t>cí</w:t>
      </w:r>
      <w:r w:rsidR="006D7336" w:rsidRPr="007B76CE">
        <w:rPr>
          <w:color w:val="000000"/>
          <w:szCs w:val="22"/>
          <w:lang w:eastAsia="cs-CZ"/>
        </w:rPr>
        <w:t xml:space="preserve"> </w:t>
      </w:r>
      <w:r w:rsidRPr="007B76CE">
        <w:rPr>
          <w:color w:val="000000"/>
          <w:szCs w:val="22"/>
          <w:lang w:eastAsia="cs-CZ"/>
        </w:rPr>
        <w:t>rýhy.</w:t>
      </w:r>
    </w:p>
    <w:p w14:paraId="703CAAE9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62759CBC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75125BE8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10.</w:t>
      </w:r>
      <w:r w:rsidRPr="007B76CE">
        <w:tab/>
        <w:t>Ochranné lhůty</w:t>
      </w:r>
    </w:p>
    <w:p w14:paraId="550ACE4F" w14:textId="5275322A" w:rsidR="0091590A" w:rsidRPr="007B76CE" w:rsidRDefault="0091590A" w:rsidP="00DE77B2">
      <w:pPr>
        <w:keepNext/>
        <w:tabs>
          <w:tab w:val="left" w:pos="567"/>
        </w:tabs>
        <w:rPr>
          <w:b/>
          <w:szCs w:val="22"/>
          <w:lang w:eastAsia="cs-CZ"/>
        </w:rPr>
      </w:pPr>
    </w:p>
    <w:p w14:paraId="5F410EDD" w14:textId="77777777" w:rsidR="00A61CC3" w:rsidRPr="000537AF" w:rsidRDefault="00A61CC3" w:rsidP="00DE77B2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297CDA87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35D82504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7CD6A745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11.</w:t>
      </w:r>
      <w:r w:rsidRPr="007B76CE">
        <w:tab/>
        <w:t>Zvláštní opatření pro uchovávání</w:t>
      </w:r>
    </w:p>
    <w:p w14:paraId="614417BD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szCs w:val="22"/>
          <w:lang w:eastAsia="cs-CZ"/>
        </w:rPr>
      </w:pPr>
    </w:p>
    <w:p w14:paraId="0C4F925E" w14:textId="13018C4C" w:rsidR="0091590A" w:rsidRPr="007B76CE" w:rsidRDefault="0091590A" w:rsidP="00DE77B2">
      <w:pPr>
        <w:numPr>
          <w:ilvl w:val="12"/>
          <w:numId w:val="0"/>
        </w:numPr>
        <w:rPr>
          <w:szCs w:val="22"/>
          <w:lang w:eastAsia="cs-CZ"/>
        </w:rPr>
      </w:pPr>
      <w:r w:rsidRPr="007B76CE">
        <w:rPr>
          <w:szCs w:val="22"/>
          <w:lang w:eastAsia="cs-CZ"/>
        </w:rPr>
        <w:t>Uchováv</w:t>
      </w:r>
      <w:r w:rsidR="00A159FA">
        <w:rPr>
          <w:szCs w:val="22"/>
          <w:lang w:eastAsia="cs-CZ"/>
        </w:rPr>
        <w:t>ejte</w:t>
      </w:r>
      <w:r w:rsidRPr="007B76CE">
        <w:rPr>
          <w:szCs w:val="22"/>
          <w:lang w:eastAsia="cs-CZ"/>
        </w:rPr>
        <w:t xml:space="preserve"> mimo do</w:t>
      </w:r>
      <w:r w:rsidR="00CE48F4" w:rsidRPr="007B76CE">
        <w:rPr>
          <w:szCs w:val="22"/>
          <w:lang w:eastAsia="cs-CZ"/>
        </w:rPr>
        <w:t>hled a do</w:t>
      </w:r>
      <w:r w:rsidRPr="007B76CE">
        <w:rPr>
          <w:szCs w:val="22"/>
          <w:lang w:eastAsia="cs-CZ"/>
        </w:rPr>
        <w:t>sah dětí.</w:t>
      </w:r>
    </w:p>
    <w:p w14:paraId="63AED86B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Uchovávejte při teplotě do 25 °C.</w:t>
      </w:r>
    </w:p>
    <w:p w14:paraId="45B16A85" w14:textId="5D8B091E" w:rsidR="00EE2093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</w:rPr>
        <w:t>Zbylé nepoužité poloviny tablet vraťte zpět do blistru a uchovávejte v</w:t>
      </w:r>
      <w:r w:rsidR="00EE2093" w:rsidRPr="007B76CE">
        <w:rPr>
          <w:szCs w:val="22"/>
        </w:rPr>
        <w:t> </w:t>
      </w:r>
      <w:r w:rsidRPr="007B76CE">
        <w:rPr>
          <w:szCs w:val="22"/>
        </w:rPr>
        <w:t>původní</w:t>
      </w:r>
      <w:r w:rsidR="00EE2093" w:rsidRPr="007B76CE">
        <w:rPr>
          <w:szCs w:val="22"/>
        </w:rPr>
        <w:t xml:space="preserve"> </w:t>
      </w:r>
      <w:r w:rsidR="00012592">
        <w:rPr>
          <w:szCs w:val="22"/>
        </w:rPr>
        <w:t xml:space="preserve">papírové </w:t>
      </w:r>
      <w:r w:rsidR="00EE2093" w:rsidRPr="007B76CE">
        <w:rPr>
          <w:szCs w:val="22"/>
        </w:rPr>
        <w:t>krabičce.</w:t>
      </w:r>
      <w:r w:rsidRPr="007B76CE" w:rsidDel="00DA7418">
        <w:rPr>
          <w:szCs w:val="22"/>
          <w:lang w:eastAsia="cs-CZ"/>
        </w:rPr>
        <w:t xml:space="preserve"> </w:t>
      </w:r>
    </w:p>
    <w:p w14:paraId="42504E80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 xml:space="preserve">Doba použitelnosti </w:t>
      </w:r>
      <w:r w:rsidR="00EE2093" w:rsidRPr="007B76CE">
        <w:rPr>
          <w:szCs w:val="22"/>
          <w:lang w:eastAsia="cs-CZ"/>
        </w:rPr>
        <w:t>zbylé poloviny tablety</w:t>
      </w:r>
      <w:r w:rsidRPr="007B76CE">
        <w:rPr>
          <w:szCs w:val="22"/>
          <w:lang w:eastAsia="cs-CZ"/>
        </w:rPr>
        <w:t>: 3 dny.</w:t>
      </w:r>
    </w:p>
    <w:p w14:paraId="1DE06AB4" w14:textId="3D6FF675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Nepoužívejte</w:t>
      </w:r>
      <w:r w:rsidR="00EE2093" w:rsidRPr="007B76CE">
        <w:rPr>
          <w:szCs w:val="22"/>
          <w:lang w:eastAsia="cs-CZ"/>
        </w:rPr>
        <w:t xml:space="preserve"> tento veterinární léčivý přípravek</w:t>
      </w:r>
      <w:r w:rsidRPr="007B76CE">
        <w:rPr>
          <w:szCs w:val="22"/>
          <w:lang w:eastAsia="cs-CZ"/>
        </w:rPr>
        <w:t xml:space="preserve"> po uplynutí doby použitelnosti uvedené na etiketě po </w:t>
      </w:r>
      <w:r w:rsidR="00A313E7">
        <w:rPr>
          <w:szCs w:val="22"/>
          <w:lang w:eastAsia="cs-CZ"/>
        </w:rPr>
        <w:t>Exp</w:t>
      </w:r>
      <w:r w:rsidRPr="007B76CE">
        <w:rPr>
          <w:szCs w:val="22"/>
          <w:lang w:eastAsia="cs-CZ"/>
        </w:rPr>
        <w:t>. Doba použitelnosti končí posledním dnem v uvedeném měsíci.</w:t>
      </w:r>
    </w:p>
    <w:p w14:paraId="78970FCD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6463710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2921EFF5" w14:textId="77777777" w:rsidR="0058399B" w:rsidRPr="007B76CE" w:rsidRDefault="0058399B" w:rsidP="00DE77B2">
      <w:pPr>
        <w:pStyle w:val="Style1"/>
        <w:keepNext/>
      </w:pPr>
      <w:r w:rsidRPr="007B76CE">
        <w:rPr>
          <w:highlight w:val="lightGray"/>
        </w:rPr>
        <w:t>12.</w:t>
      </w:r>
      <w:r w:rsidRPr="007B76CE">
        <w:tab/>
        <w:t>Zvláštní opatření pro likvidaci</w:t>
      </w:r>
    </w:p>
    <w:p w14:paraId="52104FF5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405A1051" w14:textId="77777777" w:rsidR="008550E7" w:rsidRPr="00AD2BF4" w:rsidRDefault="008550E7" w:rsidP="00DE77B2">
      <w:pPr>
        <w:tabs>
          <w:tab w:val="left" w:pos="567"/>
        </w:tabs>
        <w:ind w:left="0" w:firstLine="0"/>
        <w:rPr>
          <w:lang w:eastAsia="cs-CZ"/>
        </w:rPr>
      </w:pPr>
      <w:r w:rsidRPr="00AD2BF4">
        <w:rPr>
          <w:lang w:eastAsia="cs-CZ"/>
        </w:rPr>
        <w:t>Léčivé přípravky se nesmí likvidovat prostřednictvím odpadní vody či domovního odpadu.</w:t>
      </w:r>
    </w:p>
    <w:p w14:paraId="5A30C95E" w14:textId="77777777" w:rsidR="008550E7" w:rsidRPr="00AD2BF4" w:rsidRDefault="008550E7" w:rsidP="00DE77B2">
      <w:pPr>
        <w:tabs>
          <w:tab w:val="left" w:pos="567"/>
        </w:tabs>
        <w:ind w:left="0" w:firstLine="0"/>
        <w:rPr>
          <w:lang w:eastAsia="cs-CZ"/>
        </w:rPr>
      </w:pPr>
      <w:r w:rsidRPr="00AD2BF4">
        <w:rPr>
          <w:lang w:eastAsia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CAA021A" w14:textId="1827E3D0" w:rsidR="008550E7" w:rsidRDefault="008550E7" w:rsidP="00DE77B2">
      <w:pPr>
        <w:tabs>
          <w:tab w:val="left" w:pos="567"/>
        </w:tabs>
        <w:ind w:left="0" w:firstLine="0"/>
        <w:rPr>
          <w:lang w:eastAsia="cs-CZ"/>
        </w:rPr>
      </w:pPr>
      <w:r w:rsidRPr="00AD2BF4">
        <w:rPr>
          <w:lang w:eastAsia="cs-CZ"/>
        </w:rPr>
        <w:t>O možnostech likvidace nepotřebných léčivých přípravků se poraďte s vaším veterinárním lékařem</w:t>
      </w:r>
      <w:r w:rsidR="009C4A2F">
        <w:rPr>
          <w:lang w:eastAsia="cs-CZ"/>
        </w:rPr>
        <w:t xml:space="preserve"> nebo lékárníkem</w:t>
      </w:r>
      <w:r w:rsidRPr="00AD2BF4">
        <w:rPr>
          <w:lang w:eastAsia="cs-CZ"/>
        </w:rPr>
        <w:t>.</w:t>
      </w:r>
    </w:p>
    <w:p w14:paraId="53DDE4B3" w14:textId="77777777" w:rsidR="00F85206" w:rsidRPr="00AD2BF4" w:rsidRDefault="00F85206" w:rsidP="00DE77B2">
      <w:pPr>
        <w:tabs>
          <w:tab w:val="left" w:pos="567"/>
        </w:tabs>
        <w:ind w:left="0" w:firstLine="0"/>
        <w:rPr>
          <w:lang w:eastAsia="cs-CZ"/>
        </w:rPr>
      </w:pPr>
    </w:p>
    <w:p w14:paraId="421CC23A" w14:textId="77777777" w:rsidR="0091590A" w:rsidRPr="007B76CE" w:rsidRDefault="0091590A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64540150" w14:textId="287387E3" w:rsidR="0091590A" w:rsidRPr="007B76CE" w:rsidRDefault="0058399B" w:rsidP="00DE77B2">
      <w:pPr>
        <w:tabs>
          <w:tab w:val="left" w:pos="567"/>
        </w:tabs>
        <w:ind w:left="0" w:firstLine="0"/>
        <w:rPr>
          <w:b/>
          <w:bCs/>
          <w:szCs w:val="22"/>
          <w:lang w:eastAsia="cs-CZ"/>
        </w:rPr>
      </w:pPr>
      <w:r w:rsidRPr="007B76CE">
        <w:rPr>
          <w:b/>
          <w:bCs/>
          <w:szCs w:val="22"/>
          <w:highlight w:val="lightGray"/>
        </w:rPr>
        <w:t>13.</w:t>
      </w:r>
      <w:r w:rsidRPr="007B76CE">
        <w:rPr>
          <w:b/>
          <w:bCs/>
          <w:szCs w:val="22"/>
        </w:rPr>
        <w:tab/>
        <w:t>Klasifikace veterinárních léčivých přípravků</w:t>
      </w:r>
    </w:p>
    <w:p w14:paraId="58632478" w14:textId="77777777" w:rsidR="0058399B" w:rsidRDefault="0058399B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0488B0A7" w14:textId="77777777" w:rsidR="00AB6DC3" w:rsidRPr="00AD2BF4" w:rsidRDefault="00AB6DC3" w:rsidP="00DE77B2">
      <w:pPr>
        <w:tabs>
          <w:tab w:val="left" w:pos="567"/>
        </w:tabs>
        <w:ind w:left="0" w:firstLine="0"/>
        <w:rPr>
          <w:lang w:eastAsia="cs-CZ"/>
        </w:rPr>
      </w:pPr>
      <w:r w:rsidRPr="00AD2BF4">
        <w:rPr>
          <w:lang w:eastAsia="cs-CZ"/>
        </w:rPr>
        <w:t>Veterinární léčivý přípravek je vydáván pouze na předpis.</w:t>
      </w:r>
    </w:p>
    <w:p w14:paraId="0CCAA920" w14:textId="77777777" w:rsidR="00AB6DC3" w:rsidRDefault="00AB6DC3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2C37229A" w14:textId="77777777" w:rsidR="00AB6DC3" w:rsidRPr="007B76CE" w:rsidRDefault="00AB6DC3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58EF5EA3" w14:textId="12D10C3E" w:rsidR="0058399B" w:rsidRPr="007B76CE" w:rsidRDefault="0058399B" w:rsidP="00DE77B2">
      <w:pPr>
        <w:tabs>
          <w:tab w:val="left" w:pos="567"/>
        </w:tabs>
        <w:ind w:left="0" w:firstLine="0"/>
        <w:rPr>
          <w:b/>
          <w:bCs/>
          <w:szCs w:val="22"/>
          <w:lang w:eastAsia="cs-CZ"/>
        </w:rPr>
      </w:pPr>
      <w:r w:rsidRPr="007B76CE">
        <w:rPr>
          <w:b/>
          <w:bCs/>
          <w:szCs w:val="22"/>
          <w:highlight w:val="lightGray"/>
        </w:rPr>
        <w:t>14.</w:t>
      </w:r>
      <w:r w:rsidRPr="007B76CE">
        <w:rPr>
          <w:b/>
          <w:bCs/>
          <w:szCs w:val="22"/>
        </w:rPr>
        <w:tab/>
        <w:t>Registrační čísla a velikosti balení</w:t>
      </w:r>
    </w:p>
    <w:p w14:paraId="20E656B7" w14:textId="77777777" w:rsidR="0058399B" w:rsidRDefault="0058399B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290113D8" w14:textId="77777777" w:rsidR="00B62095" w:rsidRPr="009129F9" w:rsidRDefault="00B62095" w:rsidP="00DE77B2">
      <w:pPr>
        <w:tabs>
          <w:tab w:val="left" w:pos="720"/>
        </w:tabs>
        <w:ind w:left="0" w:firstLine="0"/>
        <w:rPr>
          <w:bCs/>
          <w:szCs w:val="22"/>
        </w:rPr>
      </w:pPr>
      <w:r w:rsidRPr="009129F9">
        <w:rPr>
          <w:szCs w:val="22"/>
        </w:rPr>
        <w:t>96/063/15-C</w:t>
      </w:r>
    </w:p>
    <w:p w14:paraId="0ECF2526" w14:textId="2E1E8B11" w:rsidR="00B62095" w:rsidRPr="009129F9" w:rsidRDefault="00B62095" w:rsidP="00DE77B2">
      <w:pPr>
        <w:tabs>
          <w:tab w:val="left" w:pos="720"/>
        </w:tabs>
        <w:ind w:left="0" w:firstLine="0"/>
        <w:rPr>
          <w:bCs/>
          <w:szCs w:val="22"/>
        </w:rPr>
      </w:pPr>
      <w:r w:rsidRPr="009129F9">
        <w:rPr>
          <w:szCs w:val="22"/>
        </w:rPr>
        <w:t>96/06</w:t>
      </w:r>
      <w:r>
        <w:rPr>
          <w:szCs w:val="22"/>
        </w:rPr>
        <w:t>4</w:t>
      </w:r>
      <w:r w:rsidRPr="009129F9">
        <w:rPr>
          <w:szCs w:val="22"/>
        </w:rPr>
        <w:t>/15-C</w:t>
      </w:r>
    </w:p>
    <w:p w14:paraId="6858858B" w14:textId="556001C6" w:rsidR="00B62095" w:rsidRPr="009129F9" w:rsidRDefault="00B62095" w:rsidP="00DE77B2">
      <w:pPr>
        <w:tabs>
          <w:tab w:val="left" w:pos="720"/>
        </w:tabs>
        <w:ind w:left="0" w:firstLine="0"/>
        <w:rPr>
          <w:bCs/>
          <w:szCs w:val="22"/>
        </w:rPr>
      </w:pPr>
      <w:r w:rsidRPr="009129F9">
        <w:rPr>
          <w:szCs w:val="22"/>
        </w:rPr>
        <w:lastRenderedPageBreak/>
        <w:t>96/06</w:t>
      </w:r>
      <w:r>
        <w:rPr>
          <w:szCs w:val="22"/>
        </w:rPr>
        <w:t>5</w:t>
      </w:r>
      <w:r w:rsidRPr="009129F9">
        <w:rPr>
          <w:szCs w:val="22"/>
        </w:rPr>
        <w:t>/15-C</w:t>
      </w:r>
    </w:p>
    <w:p w14:paraId="6FECF513" w14:textId="3D8EF116" w:rsidR="005C32CE" w:rsidRPr="00EA3B83" w:rsidRDefault="00B62095" w:rsidP="00DE77B2">
      <w:pPr>
        <w:tabs>
          <w:tab w:val="left" w:pos="720"/>
        </w:tabs>
        <w:ind w:left="0" w:firstLine="0"/>
        <w:rPr>
          <w:bCs/>
          <w:szCs w:val="22"/>
        </w:rPr>
      </w:pPr>
      <w:r w:rsidRPr="009129F9">
        <w:rPr>
          <w:szCs w:val="22"/>
        </w:rPr>
        <w:t>96/06</w:t>
      </w:r>
      <w:r>
        <w:rPr>
          <w:szCs w:val="22"/>
        </w:rPr>
        <w:t>6</w:t>
      </w:r>
      <w:r w:rsidRPr="009129F9">
        <w:rPr>
          <w:szCs w:val="22"/>
        </w:rPr>
        <w:t>/15-C</w:t>
      </w:r>
    </w:p>
    <w:p w14:paraId="20958365" w14:textId="77777777" w:rsidR="005C32CE" w:rsidRPr="00AD2BF4" w:rsidRDefault="005C32CE" w:rsidP="00DE77B2"/>
    <w:p w14:paraId="4B6D8C84" w14:textId="77777777" w:rsidR="005C32CE" w:rsidRPr="00AD2BF4" w:rsidRDefault="005C32CE" w:rsidP="00DE77B2">
      <w:pPr>
        <w:tabs>
          <w:tab w:val="left" w:pos="720"/>
        </w:tabs>
        <w:ind w:left="0" w:firstLine="0"/>
        <w:rPr>
          <w:lang w:eastAsia="cs-CZ"/>
        </w:rPr>
      </w:pPr>
      <w:r w:rsidRPr="00AD2BF4">
        <w:rPr>
          <w:lang w:eastAsia="cs-CZ"/>
        </w:rPr>
        <w:t>Papírová krabička s 2 blistry po 10 tabletách (20 tablet).</w:t>
      </w:r>
    </w:p>
    <w:p w14:paraId="44B4794C" w14:textId="77777777" w:rsidR="005C32CE" w:rsidRPr="00AD2BF4" w:rsidRDefault="005C32CE" w:rsidP="00DE77B2">
      <w:pPr>
        <w:tabs>
          <w:tab w:val="left" w:pos="720"/>
        </w:tabs>
        <w:ind w:left="0" w:firstLine="0"/>
        <w:rPr>
          <w:lang w:eastAsia="cs-CZ"/>
        </w:rPr>
      </w:pPr>
      <w:r w:rsidRPr="00AD2BF4">
        <w:rPr>
          <w:lang w:eastAsia="cs-CZ"/>
        </w:rPr>
        <w:t>Papírová krabička s 5 blistry po 10 tabletách (50 tablet).</w:t>
      </w:r>
    </w:p>
    <w:p w14:paraId="5A9E2E2D" w14:textId="77777777" w:rsidR="005C32CE" w:rsidRPr="00AD2BF4" w:rsidRDefault="005C32CE" w:rsidP="00DE77B2">
      <w:pPr>
        <w:tabs>
          <w:tab w:val="left" w:pos="720"/>
        </w:tabs>
        <w:ind w:left="0" w:firstLine="0"/>
        <w:rPr>
          <w:lang w:eastAsia="cs-CZ"/>
        </w:rPr>
      </w:pPr>
      <w:r w:rsidRPr="00AD2BF4">
        <w:rPr>
          <w:lang w:eastAsia="cs-CZ"/>
        </w:rPr>
        <w:t>Papírová krabička s 10 blistry po 10 tabletách (100 tablet).</w:t>
      </w:r>
    </w:p>
    <w:p w14:paraId="015E5ED3" w14:textId="77777777" w:rsidR="005C32CE" w:rsidRPr="00AD2BF4" w:rsidRDefault="005C32CE" w:rsidP="00DE77B2">
      <w:pPr>
        <w:tabs>
          <w:tab w:val="left" w:pos="720"/>
        </w:tabs>
        <w:ind w:left="0" w:firstLine="0"/>
        <w:rPr>
          <w:lang w:eastAsia="cs-CZ"/>
        </w:rPr>
      </w:pPr>
    </w:p>
    <w:p w14:paraId="1C687C67" w14:textId="77777777" w:rsidR="005C32CE" w:rsidRDefault="005C32CE" w:rsidP="00DE77B2">
      <w:pPr>
        <w:tabs>
          <w:tab w:val="left" w:pos="720"/>
        </w:tabs>
        <w:ind w:left="0" w:firstLine="0"/>
        <w:rPr>
          <w:lang w:eastAsia="cs-CZ"/>
        </w:rPr>
      </w:pPr>
      <w:r w:rsidRPr="00AD2BF4">
        <w:rPr>
          <w:lang w:eastAsia="cs-CZ"/>
        </w:rPr>
        <w:t>Na trhu nemusí být všechny velikosti balení.</w:t>
      </w:r>
    </w:p>
    <w:p w14:paraId="399D8079" w14:textId="77777777" w:rsidR="00A30615" w:rsidRPr="00AD2BF4" w:rsidRDefault="00A30615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p w14:paraId="4CA92968" w14:textId="77777777" w:rsidR="005C32CE" w:rsidRPr="007B76CE" w:rsidRDefault="005C32CE" w:rsidP="00DE77B2">
      <w:pPr>
        <w:tabs>
          <w:tab w:val="left" w:pos="567"/>
        </w:tabs>
        <w:ind w:left="0" w:firstLine="0"/>
        <w:rPr>
          <w:b/>
          <w:szCs w:val="22"/>
          <w:lang w:eastAsia="cs-CZ"/>
        </w:rPr>
      </w:pPr>
    </w:p>
    <w:p w14:paraId="5C44F6FF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15.</w:t>
      </w:r>
      <w:r w:rsidRPr="007B76CE">
        <w:tab/>
        <w:t>Datum poslední revize příbalové informace</w:t>
      </w:r>
    </w:p>
    <w:p w14:paraId="2D0F9211" w14:textId="77777777" w:rsidR="0091590A" w:rsidRPr="007B76CE" w:rsidRDefault="0091590A" w:rsidP="00DE77B2">
      <w:pPr>
        <w:keepNext/>
        <w:tabs>
          <w:tab w:val="left" w:pos="567"/>
        </w:tabs>
        <w:ind w:left="0" w:firstLine="0"/>
        <w:rPr>
          <w:szCs w:val="22"/>
          <w:lang w:eastAsia="cs-CZ"/>
        </w:rPr>
      </w:pPr>
    </w:p>
    <w:p w14:paraId="4963526B" w14:textId="32E72DB2" w:rsidR="0091590A" w:rsidRDefault="00305EF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>
        <w:rPr>
          <w:szCs w:val="22"/>
          <w:lang w:eastAsia="cs-CZ"/>
        </w:rPr>
        <w:t>0</w:t>
      </w:r>
      <w:r w:rsidR="006953E9">
        <w:rPr>
          <w:szCs w:val="22"/>
          <w:lang w:eastAsia="cs-CZ"/>
        </w:rPr>
        <w:t>9</w:t>
      </w:r>
      <w:r>
        <w:rPr>
          <w:szCs w:val="22"/>
          <w:lang w:eastAsia="cs-CZ"/>
        </w:rPr>
        <w:t>/</w:t>
      </w:r>
      <w:r w:rsidR="002066BA">
        <w:rPr>
          <w:szCs w:val="22"/>
          <w:lang w:eastAsia="cs-CZ"/>
        </w:rPr>
        <w:t>2024</w:t>
      </w:r>
    </w:p>
    <w:p w14:paraId="38BBF92E" w14:textId="77777777" w:rsidR="00B62095" w:rsidRDefault="00B62095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0F1285AA" w14:textId="77777777" w:rsidR="007E708A" w:rsidRDefault="007E708A" w:rsidP="00DE77B2">
      <w:pPr>
        <w:ind w:left="0" w:firstLine="0"/>
      </w:pPr>
      <w:r w:rsidRPr="000537AF">
        <w:t>Podrobné informace o tomto veterinárním léčivém přípravku jsou k dispozici v databázi přípravků Unie (</w:t>
      </w:r>
      <w:hyperlink r:id="rId11" w:history="1">
        <w:r w:rsidRPr="000537AF">
          <w:rPr>
            <w:rStyle w:val="Hypertextovodkaz"/>
          </w:rPr>
          <w:t>https://medicines.health.europa.eu/veterinary</w:t>
        </w:r>
      </w:hyperlink>
      <w:r w:rsidRPr="000537AF">
        <w:t>).</w:t>
      </w:r>
    </w:p>
    <w:p w14:paraId="549E971C" w14:textId="77777777" w:rsidR="007E708A" w:rsidRDefault="007E708A" w:rsidP="00DE77B2">
      <w:pPr>
        <w:jc w:val="both"/>
        <w:rPr>
          <w:rStyle w:val="markedcontent"/>
          <w:szCs w:val="22"/>
        </w:rPr>
      </w:pPr>
      <w:bookmarkStart w:id="2" w:name="_Hlk132285734"/>
    </w:p>
    <w:p w14:paraId="6317EA88" w14:textId="77777777" w:rsidR="007E708A" w:rsidRPr="005B0A2C" w:rsidRDefault="007E708A" w:rsidP="00DE77B2">
      <w:pPr>
        <w:ind w:left="0" w:firstLine="0"/>
        <w:jc w:val="both"/>
        <w:rPr>
          <w:rStyle w:val="markedcontent"/>
          <w:szCs w:val="22"/>
        </w:rPr>
      </w:pPr>
      <w:r w:rsidRPr="005B0A2C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5B0A2C">
          <w:rPr>
            <w:rStyle w:val="Hypertextovodkaz"/>
            <w:szCs w:val="22"/>
          </w:rPr>
          <w:t>https://www.uskvbl.cz</w:t>
        </w:r>
      </w:hyperlink>
      <w:r w:rsidRPr="005B0A2C">
        <w:rPr>
          <w:rStyle w:val="markedcontent"/>
          <w:szCs w:val="22"/>
        </w:rPr>
        <w:t xml:space="preserve">). </w:t>
      </w:r>
    </w:p>
    <w:bookmarkEnd w:id="2"/>
    <w:p w14:paraId="6957A878" w14:textId="77777777" w:rsidR="00B62095" w:rsidRDefault="00B62095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FD5D5F8" w14:textId="77777777" w:rsidR="007E708A" w:rsidRPr="007B76CE" w:rsidRDefault="007E708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68C5A9DA" w14:textId="77777777" w:rsidR="0058399B" w:rsidRPr="007B76CE" w:rsidRDefault="0058399B" w:rsidP="00DE77B2">
      <w:pPr>
        <w:pStyle w:val="Style1"/>
      </w:pPr>
      <w:r w:rsidRPr="007B76CE">
        <w:rPr>
          <w:highlight w:val="lightGray"/>
        </w:rPr>
        <w:t>16.</w:t>
      </w:r>
      <w:r w:rsidRPr="007B76CE">
        <w:tab/>
        <w:t>Kontaktní údaje</w:t>
      </w:r>
    </w:p>
    <w:p w14:paraId="025DAE36" w14:textId="77777777" w:rsidR="0091590A" w:rsidRPr="007B76CE" w:rsidRDefault="0091590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5DCA8935" w14:textId="77777777" w:rsidR="007B76CE" w:rsidRPr="007B76CE" w:rsidRDefault="007B76CE" w:rsidP="00DE77B2">
      <w:pPr>
        <w:keepNext/>
        <w:tabs>
          <w:tab w:val="left" w:pos="567"/>
        </w:tabs>
        <w:ind w:left="0" w:firstLine="0"/>
        <w:rPr>
          <w:szCs w:val="22"/>
          <w:u w:val="single"/>
          <w:lang w:eastAsia="cs-CZ"/>
        </w:rPr>
      </w:pPr>
      <w:r w:rsidRPr="007B76CE">
        <w:rPr>
          <w:szCs w:val="22"/>
          <w:u w:val="single"/>
          <w:lang w:eastAsia="cs-CZ"/>
        </w:rPr>
        <w:t>Držitel rozhodnutí o registraci:</w:t>
      </w:r>
    </w:p>
    <w:p w14:paraId="3DFEA3A6" w14:textId="77777777" w:rsidR="007B76CE" w:rsidRPr="007B76CE" w:rsidRDefault="007B76CE" w:rsidP="00DE77B2">
      <w:pPr>
        <w:ind w:left="0" w:firstLine="0"/>
        <w:rPr>
          <w:b/>
          <w:szCs w:val="22"/>
        </w:rPr>
      </w:pPr>
      <w:proofErr w:type="spellStart"/>
      <w:r w:rsidRPr="007B76CE">
        <w:rPr>
          <w:szCs w:val="22"/>
        </w:rPr>
        <w:t>Boehringer</w:t>
      </w:r>
      <w:proofErr w:type="spellEnd"/>
      <w:r w:rsidRPr="007B76CE">
        <w:rPr>
          <w:szCs w:val="22"/>
        </w:rPr>
        <w:t xml:space="preserve"> </w:t>
      </w:r>
      <w:proofErr w:type="spellStart"/>
      <w:r w:rsidRPr="007B76CE">
        <w:rPr>
          <w:szCs w:val="22"/>
        </w:rPr>
        <w:t>Ingelheim</w:t>
      </w:r>
      <w:proofErr w:type="spellEnd"/>
      <w:r w:rsidRPr="007B76CE">
        <w:rPr>
          <w:szCs w:val="22"/>
        </w:rPr>
        <w:t xml:space="preserve"> </w:t>
      </w:r>
      <w:proofErr w:type="spellStart"/>
      <w:r w:rsidRPr="007B76CE">
        <w:rPr>
          <w:szCs w:val="22"/>
        </w:rPr>
        <w:t>Vetmedica</w:t>
      </w:r>
      <w:proofErr w:type="spellEnd"/>
      <w:r w:rsidRPr="007B76CE">
        <w:rPr>
          <w:szCs w:val="22"/>
        </w:rPr>
        <w:t xml:space="preserve"> </w:t>
      </w:r>
      <w:proofErr w:type="spellStart"/>
      <w:r w:rsidRPr="007B76CE">
        <w:rPr>
          <w:szCs w:val="22"/>
        </w:rPr>
        <w:t>GmbH</w:t>
      </w:r>
      <w:proofErr w:type="spellEnd"/>
    </w:p>
    <w:p w14:paraId="6CD8F8A2" w14:textId="77777777" w:rsidR="007B76CE" w:rsidRPr="007B76CE" w:rsidRDefault="007B76CE" w:rsidP="00DE77B2">
      <w:pPr>
        <w:ind w:left="0" w:firstLine="0"/>
        <w:rPr>
          <w:szCs w:val="22"/>
        </w:rPr>
      </w:pPr>
      <w:r w:rsidRPr="007B76CE">
        <w:rPr>
          <w:szCs w:val="22"/>
        </w:rPr>
        <w:t xml:space="preserve">55216 </w:t>
      </w:r>
      <w:proofErr w:type="spellStart"/>
      <w:r w:rsidRPr="007B76CE">
        <w:rPr>
          <w:szCs w:val="22"/>
        </w:rPr>
        <w:t>Ingelheim</w:t>
      </w:r>
      <w:proofErr w:type="spellEnd"/>
      <w:r w:rsidRPr="007B76CE">
        <w:rPr>
          <w:szCs w:val="22"/>
        </w:rPr>
        <w:t>/</w:t>
      </w:r>
      <w:proofErr w:type="spellStart"/>
      <w:r w:rsidRPr="007B76CE">
        <w:rPr>
          <w:szCs w:val="22"/>
        </w:rPr>
        <w:t>Rhein</w:t>
      </w:r>
      <w:proofErr w:type="spellEnd"/>
    </w:p>
    <w:p w14:paraId="5AC75D2E" w14:textId="77777777" w:rsidR="007B76CE" w:rsidRPr="007B76CE" w:rsidRDefault="007B76CE" w:rsidP="00DE77B2">
      <w:pPr>
        <w:ind w:left="0" w:firstLine="0"/>
        <w:rPr>
          <w:bCs/>
          <w:szCs w:val="22"/>
        </w:rPr>
      </w:pPr>
      <w:r w:rsidRPr="007B76CE">
        <w:rPr>
          <w:szCs w:val="22"/>
        </w:rPr>
        <w:t>Německo</w:t>
      </w:r>
      <w:r w:rsidRPr="007B76CE">
        <w:rPr>
          <w:bCs/>
          <w:szCs w:val="22"/>
        </w:rPr>
        <w:t xml:space="preserve"> </w:t>
      </w:r>
    </w:p>
    <w:p w14:paraId="2D4E9124" w14:textId="77777777" w:rsidR="007B76CE" w:rsidRPr="007B76CE" w:rsidRDefault="007B76CE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3A22ED57" w14:textId="77777777" w:rsidR="007B76CE" w:rsidRPr="007B76CE" w:rsidRDefault="007B76CE" w:rsidP="00DE77B2">
      <w:pPr>
        <w:keepNext/>
        <w:tabs>
          <w:tab w:val="left" w:pos="567"/>
        </w:tabs>
        <w:ind w:left="0" w:firstLine="0"/>
        <w:rPr>
          <w:szCs w:val="22"/>
          <w:u w:val="single"/>
          <w:lang w:eastAsia="cs-CZ"/>
        </w:rPr>
      </w:pPr>
      <w:r w:rsidRPr="007B76CE">
        <w:rPr>
          <w:szCs w:val="22"/>
          <w:u w:val="single"/>
          <w:lang w:eastAsia="cs-CZ"/>
        </w:rPr>
        <w:t>Výrobce odpovědný za uvolnění šarže:</w:t>
      </w:r>
    </w:p>
    <w:p w14:paraId="68F80595" w14:textId="77777777" w:rsidR="007B76CE" w:rsidRPr="007B76CE" w:rsidRDefault="007B76CE" w:rsidP="00DE77B2">
      <w:pPr>
        <w:keepNext/>
        <w:tabs>
          <w:tab w:val="left" w:pos="567"/>
        </w:tabs>
        <w:ind w:left="0" w:firstLine="0"/>
        <w:rPr>
          <w:szCs w:val="22"/>
          <w:lang w:eastAsia="cs-CZ"/>
        </w:rPr>
      </w:pPr>
      <w:proofErr w:type="spellStart"/>
      <w:r w:rsidRPr="007B76CE">
        <w:rPr>
          <w:szCs w:val="22"/>
          <w:lang w:eastAsia="cs-CZ"/>
        </w:rPr>
        <w:t>Lavet</w:t>
      </w:r>
      <w:proofErr w:type="spellEnd"/>
      <w:r w:rsidRPr="007B76CE">
        <w:rPr>
          <w:szCs w:val="22"/>
          <w:lang w:eastAsia="cs-CZ"/>
        </w:rPr>
        <w:t xml:space="preserve"> </w:t>
      </w:r>
      <w:proofErr w:type="spellStart"/>
      <w:r w:rsidRPr="007B76CE">
        <w:rPr>
          <w:szCs w:val="22"/>
          <w:lang w:eastAsia="cs-CZ"/>
        </w:rPr>
        <w:t>Pharmaceuticals</w:t>
      </w:r>
      <w:proofErr w:type="spellEnd"/>
      <w:r w:rsidRPr="007B76CE">
        <w:rPr>
          <w:szCs w:val="22"/>
          <w:lang w:eastAsia="cs-CZ"/>
        </w:rPr>
        <w:t xml:space="preserve"> Ltd.,</w:t>
      </w:r>
    </w:p>
    <w:p w14:paraId="3347E428" w14:textId="77777777" w:rsidR="00245620" w:rsidRPr="00DE77B2" w:rsidRDefault="00245620" w:rsidP="00DE77B2">
      <w:pPr>
        <w:jc w:val="both"/>
        <w:rPr>
          <w:iCs/>
          <w:szCs w:val="22"/>
        </w:rPr>
      </w:pPr>
      <w:r w:rsidRPr="00DE77B2">
        <w:rPr>
          <w:bCs/>
          <w:szCs w:val="22"/>
        </w:rPr>
        <w:t>Batthyány utca 6, Kistarcsa, 2143,</w:t>
      </w:r>
    </w:p>
    <w:p w14:paraId="7686630A" w14:textId="77777777" w:rsidR="007B76CE" w:rsidRDefault="007B76CE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  <w:r w:rsidRPr="007B76CE">
        <w:rPr>
          <w:szCs w:val="22"/>
          <w:lang w:eastAsia="cs-CZ"/>
        </w:rPr>
        <w:t>Maďarsko</w:t>
      </w:r>
    </w:p>
    <w:p w14:paraId="459C6EDF" w14:textId="77777777" w:rsidR="0078031A" w:rsidRDefault="0078031A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14827B9A" w14:textId="77777777" w:rsidR="0078031A" w:rsidRPr="00AD2BF4" w:rsidRDefault="0078031A" w:rsidP="00DE77B2">
      <w:pPr>
        <w:tabs>
          <w:tab w:val="left" w:pos="567"/>
        </w:tabs>
        <w:spacing w:line="260" w:lineRule="exact"/>
        <w:ind w:left="0" w:firstLine="0"/>
        <w:rPr>
          <w:iCs/>
          <w:szCs w:val="22"/>
          <w:u w:val="single"/>
        </w:rPr>
      </w:pPr>
      <w:r w:rsidRPr="00AD2BF4">
        <w:rPr>
          <w:iCs/>
          <w:szCs w:val="22"/>
          <w:u w:val="single"/>
        </w:rPr>
        <w:t>Místní zástupci a kontaktní údaje pro hlášení podezření na nežádoucí účinky:</w:t>
      </w:r>
    </w:p>
    <w:p w14:paraId="6CCC8A6D" w14:textId="11F62CBF" w:rsidR="0078031A" w:rsidRDefault="0078031A" w:rsidP="00DE77B2">
      <w:pPr>
        <w:rPr>
          <w:szCs w:val="22"/>
        </w:rPr>
      </w:pPr>
      <w:proofErr w:type="spellStart"/>
      <w:r w:rsidRPr="005B0A2C">
        <w:rPr>
          <w:szCs w:val="22"/>
        </w:rPr>
        <w:t>Boehringer</w:t>
      </w:r>
      <w:proofErr w:type="spellEnd"/>
      <w:r w:rsidRPr="005B0A2C">
        <w:rPr>
          <w:szCs w:val="22"/>
        </w:rPr>
        <w:t xml:space="preserve"> </w:t>
      </w:r>
      <w:proofErr w:type="spellStart"/>
      <w:r w:rsidRPr="005B0A2C">
        <w:rPr>
          <w:szCs w:val="22"/>
        </w:rPr>
        <w:t>Ingelheim</w:t>
      </w:r>
      <w:proofErr w:type="spellEnd"/>
      <w:r w:rsidRPr="005B0A2C">
        <w:rPr>
          <w:szCs w:val="22"/>
        </w:rPr>
        <w:t xml:space="preserve"> spol. s r.o. </w:t>
      </w:r>
    </w:p>
    <w:p w14:paraId="4BDFFA2B" w14:textId="2636D36E" w:rsidR="005A2F66" w:rsidRPr="005B0A2C" w:rsidRDefault="005A2F66" w:rsidP="00DE77B2">
      <w:pPr>
        <w:rPr>
          <w:szCs w:val="22"/>
        </w:rPr>
      </w:pPr>
      <w:r w:rsidRPr="005A2F66">
        <w:rPr>
          <w:szCs w:val="22"/>
        </w:rPr>
        <w:t xml:space="preserve">Purkyňova 2121/3, 110 00 </w:t>
      </w:r>
      <w:r>
        <w:rPr>
          <w:szCs w:val="22"/>
        </w:rPr>
        <w:t>Praha 1</w:t>
      </w:r>
    </w:p>
    <w:p w14:paraId="7DE767E0" w14:textId="5D7950C9" w:rsidR="0078031A" w:rsidRPr="005B0A2C" w:rsidRDefault="0078031A" w:rsidP="00DE77B2">
      <w:pPr>
        <w:rPr>
          <w:szCs w:val="22"/>
        </w:rPr>
      </w:pPr>
      <w:r w:rsidRPr="005B0A2C">
        <w:rPr>
          <w:szCs w:val="22"/>
        </w:rPr>
        <w:t>Tel: +420 234 655</w:t>
      </w:r>
      <w:r w:rsidR="002066BA">
        <w:rPr>
          <w:szCs w:val="22"/>
        </w:rPr>
        <w:t> </w:t>
      </w:r>
      <w:r w:rsidRPr="005B0A2C">
        <w:rPr>
          <w:szCs w:val="22"/>
        </w:rPr>
        <w:t>111</w:t>
      </w:r>
    </w:p>
    <w:p w14:paraId="419433A1" w14:textId="0AE0A0CF" w:rsidR="0078031A" w:rsidRDefault="0078031A" w:rsidP="00DE77B2">
      <w:pPr>
        <w:tabs>
          <w:tab w:val="left" w:pos="567"/>
        </w:tabs>
        <w:ind w:left="0" w:firstLine="0"/>
        <w:rPr>
          <w:bCs/>
          <w:szCs w:val="22"/>
          <w:lang w:eastAsia="cs-CZ"/>
        </w:rPr>
      </w:pPr>
    </w:p>
    <w:p w14:paraId="3A34BB3B" w14:textId="77777777" w:rsidR="002066BA" w:rsidRPr="00F732EF" w:rsidRDefault="002066BA" w:rsidP="00DE77B2">
      <w:pPr>
        <w:ind w:left="0" w:firstLine="0"/>
        <w:jc w:val="both"/>
      </w:pPr>
      <w:r w:rsidRPr="00F732EF">
        <w:t>Pokud chcete získat informace o tomto veterinárním léčivém přípravku, kontaktujte prosím příslušného místního zástupce držitele rozhodnutí o registraci.</w:t>
      </w:r>
    </w:p>
    <w:p w14:paraId="6685E87C" w14:textId="77777777" w:rsidR="002066BA" w:rsidRPr="007B76CE" w:rsidRDefault="002066BA" w:rsidP="00DE77B2">
      <w:pPr>
        <w:tabs>
          <w:tab w:val="left" w:pos="567"/>
        </w:tabs>
        <w:ind w:left="0" w:firstLine="0"/>
        <w:rPr>
          <w:bCs/>
          <w:szCs w:val="22"/>
          <w:lang w:eastAsia="cs-CZ"/>
        </w:rPr>
      </w:pPr>
    </w:p>
    <w:p w14:paraId="19084EDE" w14:textId="77777777" w:rsidR="0058399B" w:rsidRPr="007B76CE" w:rsidRDefault="0058399B" w:rsidP="00DE77B2">
      <w:pPr>
        <w:tabs>
          <w:tab w:val="left" w:pos="567"/>
        </w:tabs>
        <w:ind w:left="0" w:firstLine="0"/>
        <w:rPr>
          <w:szCs w:val="22"/>
          <w:lang w:eastAsia="cs-CZ"/>
        </w:rPr>
      </w:pPr>
    </w:p>
    <w:p w14:paraId="612DCB96" w14:textId="02365F44" w:rsidR="0091590A" w:rsidRPr="007B76CE" w:rsidRDefault="0058399B" w:rsidP="00DE77B2">
      <w:pPr>
        <w:keepNext/>
        <w:tabs>
          <w:tab w:val="left" w:pos="567"/>
        </w:tabs>
        <w:ind w:left="0" w:firstLine="0"/>
        <w:rPr>
          <w:b/>
          <w:bCs/>
          <w:szCs w:val="22"/>
          <w:lang w:eastAsia="cs-CZ"/>
        </w:rPr>
      </w:pPr>
      <w:r w:rsidRPr="007B76CE">
        <w:rPr>
          <w:b/>
          <w:bCs/>
          <w:szCs w:val="22"/>
          <w:highlight w:val="lightGray"/>
        </w:rPr>
        <w:t>17.</w:t>
      </w:r>
      <w:r w:rsidRPr="007B76CE">
        <w:rPr>
          <w:b/>
          <w:bCs/>
          <w:szCs w:val="22"/>
        </w:rPr>
        <w:tab/>
        <w:t>Další informace</w:t>
      </w:r>
    </w:p>
    <w:p w14:paraId="0AA4C100" w14:textId="77777777" w:rsidR="00EA3B83" w:rsidRPr="007B76CE" w:rsidRDefault="00EA3B83" w:rsidP="00DE77B2">
      <w:pPr>
        <w:tabs>
          <w:tab w:val="left" w:pos="720"/>
        </w:tabs>
        <w:ind w:left="0" w:firstLine="0"/>
        <w:rPr>
          <w:szCs w:val="22"/>
          <w:lang w:eastAsia="cs-CZ"/>
        </w:rPr>
      </w:pPr>
    </w:p>
    <w:bookmarkEnd w:id="0"/>
    <w:p w14:paraId="1B5990D2" w14:textId="77777777" w:rsidR="00990659" w:rsidRPr="00D20651" w:rsidRDefault="00990659" w:rsidP="00DE77B2">
      <w:pPr>
        <w:ind w:left="0" w:firstLine="0"/>
      </w:pPr>
    </w:p>
    <w:sectPr w:rsidR="00990659" w:rsidRPr="00D20651" w:rsidSect="00DE77B2">
      <w:footerReference w:type="default" r:id="rId13"/>
      <w:footerReference w:type="first" r:id="rId14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4515D" w14:textId="77777777" w:rsidR="0000215C" w:rsidRDefault="0000215C">
      <w:r>
        <w:separator/>
      </w:r>
    </w:p>
  </w:endnote>
  <w:endnote w:type="continuationSeparator" w:id="0">
    <w:p w14:paraId="3BA67E9A" w14:textId="77777777" w:rsidR="0000215C" w:rsidRDefault="000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824F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DEB195F" w14:textId="77777777" w:rsidR="00990659" w:rsidRDefault="004135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B5456">
      <w:instrText xml:space="preserve"> PAGE  \* MERGEFORMAT </w:instrText>
    </w:r>
    <w:r>
      <w:fldChar w:fldCharType="separate"/>
    </w:r>
    <w:r w:rsidR="00F86176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1CFC" w14:textId="77777777" w:rsidR="00990659" w:rsidRDefault="00990659">
    <w:pPr>
      <w:pStyle w:val="Zpat"/>
      <w:tabs>
        <w:tab w:val="clear" w:pos="8930"/>
        <w:tab w:val="right" w:pos="8931"/>
      </w:tabs>
    </w:pPr>
  </w:p>
  <w:p w14:paraId="1989C74A" w14:textId="77777777" w:rsidR="00990659" w:rsidRDefault="004135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B5456">
      <w:instrText xml:space="preserve"> PAGE  \* MERGEFORMAT </w:instrText>
    </w:r>
    <w:r>
      <w:fldChar w:fldCharType="separate"/>
    </w:r>
    <w:r w:rsidR="00F8617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9DAE" w14:textId="77777777" w:rsidR="0000215C" w:rsidRDefault="0000215C">
      <w:r>
        <w:separator/>
      </w:r>
    </w:p>
  </w:footnote>
  <w:footnote w:type="continuationSeparator" w:id="0">
    <w:p w14:paraId="579251EE" w14:textId="77777777" w:rsidR="0000215C" w:rsidRDefault="0000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215C"/>
    <w:rsid w:val="00012592"/>
    <w:rsid w:val="000438A8"/>
    <w:rsid w:val="00076C85"/>
    <w:rsid w:val="00097207"/>
    <w:rsid w:val="00097E67"/>
    <w:rsid w:val="000C2A51"/>
    <w:rsid w:val="000C7C94"/>
    <w:rsid w:val="000E5D1B"/>
    <w:rsid w:val="000F1A8C"/>
    <w:rsid w:val="000F4FBE"/>
    <w:rsid w:val="00131455"/>
    <w:rsid w:val="00136880"/>
    <w:rsid w:val="00170022"/>
    <w:rsid w:val="00176471"/>
    <w:rsid w:val="00186CD0"/>
    <w:rsid w:val="001B4B93"/>
    <w:rsid w:val="00201F83"/>
    <w:rsid w:val="002066BA"/>
    <w:rsid w:val="00217EDC"/>
    <w:rsid w:val="0024326A"/>
    <w:rsid w:val="00244872"/>
    <w:rsid w:val="00245620"/>
    <w:rsid w:val="00260397"/>
    <w:rsid w:val="0026133B"/>
    <w:rsid w:val="00273190"/>
    <w:rsid w:val="00273F40"/>
    <w:rsid w:val="002A0BAF"/>
    <w:rsid w:val="002B5F7A"/>
    <w:rsid w:val="00305EFB"/>
    <w:rsid w:val="00323F06"/>
    <w:rsid w:val="003617AA"/>
    <w:rsid w:val="003674D0"/>
    <w:rsid w:val="00371634"/>
    <w:rsid w:val="003848A0"/>
    <w:rsid w:val="00392783"/>
    <w:rsid w:val="003B2352"/>
    <w:rsid w:val="003F436A"/>
    <w:rsid w:val="003F45C7"/>
    <w:rsid w:val="0041351C"/>
    <w:rsid w:val="00451F1E"/>
    <w:rsid w:val="0046214F"/>
    <w:rsid w:val="00475E15"/>
    <w:rsid w:val="0048207B"/>
    <w:rsid w:val="004D6255"/>
    <w:rsid w:val="004F4991"/>
    <w:rsid w:val="004F4D4C"/>
    <w:rsid w:val="00516172"/>
    <w:rsid w:val="005241B9"/>
    <w:rsid w:val="00541EE8"/>
    <w:rsid w:val="0058399B"/>
    <w:rsid w:val="00594DCF"/>
    <w:rsid w:val="005A2F66"/>
    <w:rsid w:val="005B378B"/>
    <w:rsid w:val="005C2F80"/>
    <w:rsid w:val="005C32CE"/>
    <w:rsid w:val="005D278E"/>
    <w:rsid w:val="005E00EC"/>
    <w:rsid w:val="005F6C3D"/>
    <w:rsid w:val="006100C8"/>
    <w:rsid w:val="00622A86"/>
    <w:rsid w:val="00645121"/>
    <w:rsid w:val="0066019B"/>
    <w:rsid w:val="006656DF"/>
    <w:rsid w:val="00680B30"/>
    <w:rsid w:val="00694886"/>
    <w:rsid w:val="006953E9"/>
    <w:rsid w:val="006B7AEA"/>
    <w:rsid w:val="006D7336"/>
    <w:rsid w:val="006F6C85"/>
    <w:rsid w:val="00714D80"/>
    <w:rsid w:val="00754175"/>
    <w:rsid w:val="00761DE9"/>
    <w:rsid w:val="0076633F"/>
    <w:rsid w:val="0078031A"/>
    <w:rsid w:val="00790AD5"/>
    <w:rsid w:val="007960BF"/>
    <w:rsid w:val="007A16EF"/>
    <w:rsid w:val="007B76CE"/>
    <w:rsid w:val="007E708A"/>
    <w:rsid w:val="00800E49"/>
    <w:rsid w:val="008121E1"/>
    <w:rsid w:val="00821A04"/>
    <w:rsid w:val="00843BE6"/>
    <w:rsid w:val="008550E7"/>
    <w:rsid w:val="00873A6E"/>
    <w:rsid w:val="008A6939"/>
    <w:rsid w:val="008C483F"/>
    <w:rsid w:val="0091590A"/>
    <w:rsid w:val="00915B7B"/>
    <w:rsid w:val="009221F5"/>
    <w:rsid w:val="00933A5F"/>
    <w:rsid w:val="0093698D"/>
    <w:rsid w:val="00990659"/>
    <w:rsid w:val="0099200F"/>
    <w:rsid w:val="009C4A2F"/>
    <w:rsid w:val="00A0271A"/>
    <w:rsid w:val="00A10358"/>
    <w:rsid w:val="00A11409"/>
    <w:rsid w:val="00A151A4"/>
    <w:rsid w:val="00A159FA"/>
    <w:rsid w:val="00A30615"/>
    <w:rsid w:val="00A313E7"/>
    <w:rsid w:val="00A61CC3"/>
    <w:rsid w:val="00A6547C"/>
    <w:rsid w:val="00A72DEA"/>
    <w:rsid w:val="00A82534"/>
    <w:rsid w:val="00A85E19"/>
    <w:rsid w:val="00A86BFA"/>
    <w:rsid w:val="00A90943"/>
    <w:rsid w:val="00A91A69"/>
    <w:rsid w:val="00AB6DC3"/>
    <w:rsid w:val="00B17DA5"/>
    <w:rsid w:val="00B226AF"/>
    <w:rsid w:val="00B62095"/>
    <w:rsid w:val="00BB3ED2"/>
    <w:rsid w:val="00BB4917"/>
    <w:rsid w:val="00BB5456"/>
    <w:rsid w:val="00BE06E8"/>
    <w:rsid w:val="00BF2A9D"/>
    <w:rsid w:val="00C00635"/>
    <w:rsid w:val="00C12DC1"/>
    <w:rsid w:val="00C44326"/>
    <w:rsid w:val="00C90798"/>
    <w:rsid w:val="00CA3D71"/>
    <w:rsid w:val="00CA3F4C"/>
    <w:rsid w:val="00CD422E"/>
    <w:rsid w:val="00CE48F4"/>
    <w:rsid w:val="00CF3A67"/>
    <w:rsid w:val="00CF671D"/>
    <w:rsid w:val="00D01BE0"/>
    <w:rsid w:val="00D20651"/>
    <w:rsid w:val="00D368E9"/>
    <w:rsid w:val="00D62F3A"/>
    <w:rsid w:val="00D648CD"/>
    <w:rsid w:val="00D9003D"/>
    <w:rsid w:val="00DC307A"/>
    <w:rsid w:val="00DC6CDE"/>
    <w:rsid w:val="00DE77B2"/>
    <w:rsid w:val="00DF2BD5"/>
    <w:rsid w:val="00E32158"/>
    <w:rsid w:val="00E71162"/>
    <w:rsid w:val="00EA3B83"/>
    <w:rsid w:val="00EC1779"/>
    <w:rsid w:val="00EC3BF4"/>
    <w:rsid w:val="00ED6DE3"/>
    <w:rsid w:val="00EE2093"/>
    <w:rsid w:val="00F109C3"/>
    <w:rsid w:val="00F26EEC"/>
    <w:rsid w:val="00F51B23"/>
    <w:rsid w:val="00F85206"/>
    <w:rsid w:val="00F86176"/>
    <w:rsid w:val="00F920EF"/>
    <w:rsid w:val="00FC2210"/>
    <w:rsid w:val="00FC44A1"/>
    <w:rsid w:val="00FD348D"/>
    <w:rsid w:val="00FE13CD"/>
    <w:rsid w:val="00FE2167"/>
    <w:rsid w:val="00FE2E99"/>
    <w:rsid w:val="00FE4B4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FF30"/>
  <w15:chartTrackingRefBased/>
  <w15:docId w15:val="{041E48CA-23ED-4B70-8F68-26C537E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F6C85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BB5456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BB545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BB545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BB5456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BB5456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BB545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B545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BB5456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BB5456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5456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BB5456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BB5456"/>
    <w:pPr>
      <w:ind w:left="1760"/>
    </w:pPr>
  </w:style>
  <w:style w:type="character" w:styleId="Odkaznavysvtlivky">
    <w:name w:val="endnote reference"/>
    <w:rsid w:val="00BB5456"/>
    <w:rPr>
      <w:vertAlign w:val="superscript"/>
    </w:rPr>
  </w:style>
  <w:style w:type="character" w:styleId="Znakapoznpodarou">
    <w:name w:val="footnote reference"/>
    <w:rsid w:val="00BB5456"/>
    <w:rPr>
      <w:vertAlign w:val="superscript"/>
    </w:rPr>
  </w:style>
  <w:style w:type="paragraph" w:styleId="Textpoznpodarou">
    <w:name w:val="footnote text"/>
    <w:basedOn w:val="Normln"/>
    <w:rsid w:val="00BB5456"/>
    <w:pPr>
      <w:jc w:val="both"/>
    </w:pPr>
    <w:rPr>
      <w:sz w:val="20"/>
    </w:rPr>
  </w:style>
  <w:style w:type="paragraph" w:styleId="Zkladntext">
    <w:name w:val="Body Text"/>
    <w:basedOn w:val="Normln"/>
    <w:rsid w:val="00BB5456"/>
    <w:pPr>
      <w:jc w:val="both"/>
    </w:pPr>
  </w:style>
  <w:style w:type="paragraph" w:styleId="Textvbloku">
    <w:name w:val="Block Text"/>
    <w:basedOn w:val="Normln"/>
    <w:rsid w:val="00BB5456"/>
    <w:pPr>
      <w:ind w:left="2268" w:right="1711"/>
    </w:pPr>
    <w:rPr>
      <w:b/>
    </w:rPr>
  </w:style>
  <w:style w:type="paragraph" w:styleId="Zkladntext2">
    <w:name w:val="Body Text 2"/>
    <w:basedOn w:val="Normln"/>
    <w:rsid w:val="00BB5456"/>
    <w:rPr>
      <w:b/>
    </w:rPr>
  </w:style>
  <w:style w:type="paragraph" w:styleId="Zkladntext3">
    <w:name w:val="Body Text 3"/>
    <w:basedOn w:val="Normln"/>
    <w:rsid w:val="00BB5456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BB5456"/>
  </w:style>
  <w:style w:type="character" w:styleId="Odkaznakoment">
    <w:name w:val="annotation reference"/>
    <w:rsid w:val="00BB5456"/>
    <w:rPr>
      <w:sz w:val="16"/>
    </w:rPr>
  </w:style>
  <w:style w:type="paragraph" w:styleId="Zkladntextodsazen2">
    <w:name w:val="Body Text Indent 2"/>
    <w:basedOn w:val="Normln"/>
    <w:rsid w:val="00BB5456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BB5456"/>
    <w:rPr>
      <w:sz w:val="20"/>
    </w:rPr>
  </w:style>
  <w:style w:type="paragraph" w:styleId="Zkladntextodsazen3">
    <w:name w:val="Body Text Indent 3"/>
    <w:basedOn w:val="Normln"/>
    <w:rsid w:val="00BB5456"/>
  </w:style>
  <w:style w:type="paragraph" w:customStyle="1" w:styleId="Bullet">
    <w:name w:val="Bullet"/>
    <w:basedOn w:val="Normln"/>
    <w:rsid w:val="00BB5456"/>
    <w:pPr>
      <w:numPr>
        <w:numId w:val="2"/>
      </w:numPr>
    </w:pPr>
  </w:style>
  <w:style w:type="paragraph" w:styleId="Textbubliny">
    <w:name w:val="Balloon Text"/>
    <w:basedOn w:val="Normln"/>
    <w:rsid w:val="00BB5456"/>
    <w:rPr>
      <w:rFonts w:ascii="Tahoma" w:hAnsi="Tahoma" w:cs="Tahoma"/>
      <w:sz w:val="16"/>
      <w:szCs w:val="16"/>
    </w:rPr>
  </w:style>
  <w:style w:type="character" w:styleId="Hypertextovodkaz">
    <w:name w:val="Hyperlink"/>
    <w:rsid w:val="00BB5456"/>
    <w:rPr>
      <w:color w:val="0000FF"/>
      <w:u w:val="single"/>
    </w:rPr>
  </w:style>
  <w:style w:type="paragraph" w:customStyle="1" w:styleId="AHeader1">
    <w:name w:val="AHeader 1"/>
    <w:basedOn w:val="Normln"/>
    <w:rsid w:val="00BB5456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BB545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B545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BB545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B545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BB5456"/>
    <w:rPr>
      <w:color w:val="800080"/>
      <w:u w:val="single"/>
    </w:rPr>
  </w:style>
  <w:style w:type="character" w:customStyle="1" w:styleId="Flietext">
    <w:name w:val="Fließtext"/>
    <w:rsid w:val="0059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styleId="Revize">
    <w:name w:val="Revision"/>
    <w:hidden/>
    <w:rsid w:val="0058399B"/>
    <w:rPr>
      <w:sz w:val="22"/>
      <w:lang w:eastAsia="en-US"/>
    </w:rPr>
  </w:style>
  <w:style w:type="paragraph" w:customStyle="1" w:styleId="Style1">
    <w:name w:val="Style1"/>
    <w:basedOn w:val="Normln"/>
    <w:qFormat/>
    <w:rsid w:val="0058399B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B4B93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7E708A"/>
  </w:style>
  <w:style w:type="paragraph" w:styleId="Pedmtkomente">
    <w:name w:val="annotation subject"/>
    <w:basedOn w:val="Textkomente"/>
    <w:next w:val="Textkomente"/>
    <w:link w:val="PedmtkomenteChar"/>
    <w:rsid w:val="005A2F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5A2F66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5A2F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5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6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26E20A27-F822-4A9A-87B7-57579B6E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5C917-B43C-4D20-B293-FF417D7EE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A5F8F-2301-4F71-ADA5-E16C3AA113D4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1485</Words>
  <Characters>8765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10230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cp:lastModifiedBy>Nepejchalová Leona</cp:lastModifiedBy>
  <cp:revision>61</cp:revision>
  <cp:lastPrinted>2024-09-20T11:23:00Z</cp:lastPrinted>
  <dcterms:created xsi:type="dcterms:W3CDTF">2024-03-27T15:13:00Z</dcterms:created>
  <dcterms:modified xsi:type="dcterms:W3CDTF">2024-09-20T11:23:00Z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Order">
    <vt:r8>20800</vt:r8>
  </property>
  <property fmtid="{D5CDD505-2E9C-101B-9397-08002B2CF9AE}" pid="36" name="xd_ProgID">
    <vt:lpwstr/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xd_Signature">
    <vt:bool>false</vt:bool>
  </property>
  <property fmtid="{D5CDD505-2E9C-101B-9397-08002B2CF9AE}" pid="44" name="MediaServiceImageTags">
    <vt:lpwstr/>
  </property>
</Properties>
</file>