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33386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7CAC92E3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038C0E5F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2F100863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151E8872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4F654605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7B3C0807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490CE90E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0F55A950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644D12C4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7BD5C596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530A0A45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4338DFCB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77EE49B5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0B8E923A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778C7D14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63A76971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2884F396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0F818BAD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77D81894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3833D077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36D131E2" w14:textId="7D934342" w:rsidR="00432FE1" w:rsidRDefault="00432FE1" w:rsidP="00BB5EA0">
      <w:pPr>
        <w:tabs>
          <w:tab w:val="clear" w:pos="567"/>
          <w:tab w:val="left" w:pos="6885"/>
        </w:tabs>
        <w:spacing w:line="240" w:lineRule="auto"/>
        <w:rPr>
          <w:szCs w:val="22"/>
        </w:rPr>
      </w:pPr>
    </w:p>
    <w:p w14:paraId="12737DFA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73B48F3F" w14:textId="77777777" w:rsidR="00432FE1" w:rsidRDefault="008F03E9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szCs w:val="22"/>
        </w:rPr>
        <w:t>PŘÍLOHA I</w:t>
      </w:r>
    </w:p>
    <w:p w14:paraId="70E86343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1E34F974" w14:textId="77777777" w:rsidR="00432FE1" w:rsidRDefault="008F03E9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szCs w:val="22"/>
        </w:rPr>
        <w:t>SOUHRN ÚDAJŮ O PŘÍPRAVKU</w:t>
      </w:r>
    </w:p>
    <w:p w14:paraId="71529135" w14:textId="77777777" w:rsidR="00432FE1" w:rsidRDefault="008F03E9">
      <w:pPr>
        <w:pStyle w:val="Style1"/>
      </w:pPr>
      <w:r>
        <w:br w:type="page"/>
      </w:r>
      <w:r>
        <w:lastRenderedPageBreak/>
        <w:t>1.</w:t>
      </w:r>
      <w:r>
        <w:tab/>
        <w:t>NÁZEV VETERINÁRNÍHO LÉČIVÉHO PŘÍPRAVKU</w:t>
      </w:r>
    </w:p>
    <w:p w14:paraId="079995B2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2A106F75" w14:textId="4EB0FF58" w:rsidR="00432FE1" w:rsidRDefault="008F03E9">
      <w:pPr>
        <w:outlineLvl w:val="0"/>
        <w:rPr>
          <w:bCs/>
          <w:szCs w:val="22"/>
        </w:rPr>
      </w:pPr>
      <w:r>
        <w:rPr>
          <w:bCs/>
          <w:szCs w:val="22"/>
        </w:rPr>
        <w:t>O</w:t>
      </w:r>
      <w:r w:rsidR="00481E5E">
        <w:rPr>
          <w:bCs/>
          <w:szCs w:val="22"/>
        </w:rPr>
        <w:t>rbenin</w:t>
      </w:r>
      <w:r>
        <w:rPr>
          <w:bCs/>
          <w:szCs w:val="22"/>
        </w:rPr>
        <w:t xml:space="preserve"> Extra DC 600 mg intramamární suspenze</w:t>
      </w:r>
      <w:r w:rsidR="00B3512D">
        <w:rPr>
          <w:bCs/>
          <w:szCs w:val="22"/>
        </w:rPr>
        <w:t xml:space="preserve"> pro skot</w:t>
      </w:r>
    </w:p>
    <w:p w14:paraId="7113E7F1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23B5F174" w14:textId="77777777" w:rsidR="00432FE1" w:rsidRDefault="008F03E9">
      <w:pPr>
        <w:pStyle w:val="Style1"/>
      </w:pPr>
      <w:r>
        <w:t>2.</w:t>
      </w:r>
      <w:r>
        <w:tab/>
        <w:t>KVALITATIVNÍ A KVANTITATIVNÍ SLOŽENÍ</w:t>
      </w:r>
    </w:p>
    <w:p w14:paraId="15FCAE02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19AC456A" w14:textId="77777777" w:rsidR="00432FE1" w:rsidRDefault="008F03E9">
      <w:pPr>
        <w:rPr>
          <w:color w:val="000000"/>
          <w:szCs w:val="22"/>
        </w:rPr>
      </w:pPr>
      <w:r>
        <w:rPr>
          <w:color w:val="000000"/>
          <w:szCs w:val="22"/>
        </w:rPr>
        <w:t>Jeden aplikátor (3,6 g) obsahuje:</w:t>
      </w:r>
    </w:p>
    <w:p w14:paraId="00EFC050" w14:textId="77777777" w:rsidR="00432FE1" w:rsidRDefault="00432FE1">
      <w:pPr>
        <w:rPr>
          <w:color w:val="000000"/>
          <w:szCs w:val="22"/>
        </w:rPr>
      </w:pPr>
    </w:p>
    <w:p w14:paraId="08B17783" w14:textId="77777777" w:rsidR="00432FE1" w:rsidRDefault="008F03E9">
      <w:pPr>
        <w:outlineLvl w:val="0"/>
        <w:rPr>
          <w:b/>
          <w:szCs w:val="22"/>
        </w:rPr>
      </w:pPr>
      <w:r>
        <w:rPr>
          <w:b/>
          <w:szCs w:val="22"/>
        </w:rPr>
        <w:t xml:space="preserve">Léčivá látka: </w:t>
      </w:r>
    </w:p>
    <w:p w14:paraId="1B4283C8" w14:textId="77777777" w:rsidR="00432FE1" w:rsidRDefault="008F03E9">
      <w:pPr>
        <w:outlineLvl w:val="0"/>
        <w:rPr>
          <w:szCs w:val="22"/>
        </w:rPr>
      </w:pPr>
      <w:r>
        <w:rPr>
          <w:szCs w:val="22"/>
        </w:rPr>
        <w:t>Cloxacillinum (ut Benzathini cloxacillinum) 600 mg</w:t>
      </w:r>
    </w:p>
    <w:p w14:paraId="61C64E8F" w14:textId="3C612115" w:rsidR="00432FE1" w:rsidRDefault="00432FE1">
      <w:pPr>
        <w:rPr>
          <w:b/>
        </w:rPr>
      </w:pPr>
    </w:p>
    <w:p w14:paraId="753EEA2F" w14:textId="68AF7214" w:rsidR="00B3512D" w:rsidRDefault="00B3512D">
      <w:pPr>
        <w:rPr>
          <w:b/>
        </w:rPr>
      </w:pPr>
      <w:r w:rsidRPr="00B41D57">
        <w:rPr>
          <w:b/>
          <w:szCs w:val="22"/>
        </w:rPr>
        <w:t>Pomocné látky:</w:t>
      </w:r>
    </w:p>
    <w:p w14:paraId="0FC09D4E" w14:textId="315BA33A" w:rsidR="00432FE1" w:rsidRDefault="00432FE1">
      <w:pPr>
        <w:outlineLvl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B3512D" w14:paraId="07674C40" w14:textId="77777777">
        <w:tc>
          <w:tcPr>
            <w:tcW w:w="4528" w:type="dxa"/>
            <w:shd w:val="clear" w:color="auto" w:fill="auto"/>
            <w:vAlign w:val="center"/>
          </w:tcPr>
          <w:p w14:paraId="6B5F70EE" w14:textId="77777777" w:rsidR="00B3512D" w:rsidRDefault="00B3512D">
            <w:pPr>
              <w:spacing w:before="60" w:after="60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B3512D" w14:paraId="2F4121A0" w14:textId="77777777">
        <w:tc>
          <w:tcPr>
            <w:tcW w:w="4528" w:type="dxa"/>
            <w:shd w:val="clear" w:color="auto" w:fill="auto"/>
          </w:tcPr>
          <w:p w14:paraId="20E4F6B0" w14:textId="77777777" w:rsidR="00B3512D" w:rsidRDefault="00B3512D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bCs/>
              </w:rPr>
              <w:t>Kyselina stearová</w:t>
            </w:r>
          </w:p>
        </w:tc>
      </w:tr>
      <w:tr w:rsidR="00B3512D" w14:paraId="3437D246" w14:textId="77777777">
        <w:tc>
          <w:tcPr>
            <w:tcW w:w="4528" w:type="dxa"/>
            <w:shd w:val="clear" w:color="auto" w:fill="auto"/>
          </w:tcPr>
          <w:p w14:paraId="70B3C86B" w14:textId="77777777" w:rsidR="00B3512D" w:rsidRDefault="00B3512D">
            <w:pPr>
              <w:spacing w:before="60" w:after="60"/>
              <w:rPr>
                <w:iCs/>
                <w:szCs w:val="22"/>
              </w:rPr>
            </w:pPr>
            <w:r>
              <w:rPr>
                <w:bCs/>
              </w:rPr>
              <w:t>Aluminium-stearát</w:t>
            </w:r>
          </w:p>
        </w:tc>
      </w:tr>
      <w:tr w:rsidR="00B3512D" w14:paraId="42A20257" w14:textId="77777777">
        <w:tc>
          <w:tcPr>
            <w:tcW w:w="4528" w:type="dxa"/>
            <w:shd w:val="clear" w:color="auto" w:fill="auto"/>
          </w:tcPr>
          <w:p w14:paraId="5C8A914F" w14:textId="77777777" w:rsidR="00B3512D" w:rsidRDefault="00B3512D">
            <w:pPr>
              <w:spacing w:before="60" w:after="60"/>
              <w:rPr>
                <w:iCs/>
                <w:szCs w:val="22"/>
              </w:rPr>
            </w:pPr>
            <w:r>
              <w:rPr>
                <w:bCs/>
              </w:rPr>
              <w:t>Tekutý parafin</w:t>
            </w:r>
          </w:p>
        </w:tc>
      </w:tr>
    </w:tbl>
    <w:p w14:paraId="5C408EC2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3CF242D0" w14:textId="77777777" w:rsidR="00432FE1" w:rsidRDefault="008F03E9">
      <w:r>
        <w:t>Bílá olejová suspenze.</w:t>
      </w:r>
    </w:p>
    <w:p w14:paraId="7488D271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3FFE35E2" w14:textId="77777777" w:rsidR="00432FE1" w:rsidRDefault="008F03E9">
      <w:pPr>
        <w:pStyle w:val="Style1"/>
      </w:pPr>
      <w:r>
        <w:t>3.</w:t>
      </w:r>
      <w:r>
        <w:tab/>
        <w:t>KLINICKÉ INFORMACE</w:t>
      </w:r>
    </w:p>
    <w:p w14:paraId="1665EA42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5ED8A092" w14:textId="77777777" w:rsidR="00432FE1" w:rsidRDefault="008F03E9">
      <w:pPr>
        <w:pStyle w:val="Style1"/>
      </w:pPr>
      <w:r>
        <w:t>3.1</w:t>
      </w:r>
      <w:r>
        <w:tab/>
        <w:t>Cílové druhy zvířat</w:t>
      </w:r>
    </w:p>
    <w:p w14:paraId="3794DC87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64DCF890" w14:textId="219C10B7" w:rsidR="00432FE1" w:rsidRPr="001B532B" w:rsidRDefault="00B3512D">
      <w:pPr>
        <w:outlineLvl w:val="0"/>
        <w:rPr>
          <w:szCs w:val="22"/>
        </w:rPr>
      </w:pPr>
      <w:r>
        <w:rPr>
          <w:szCs w:val="22"/>
        </w:rPr>
        <w:t>Skot (d</w:t>
      </w:r>
      <w:r w:rsidR="008F03E9">
        <w:rPr>
          <w:szCs w:val="22"/>
        </w:rPr>
        <w:t>ojnice</w:t>
      </w:r>
      <w:r w:rsidR="003526D7" w:rsidRPr="001B532B">
        <w:rPr>
          <w:szCs w:val="22"/>
        </w:rPr>
        <w:t xml:space="preserve"> v období stání na sucho</w:t>
      </w:r>
      <w:r>
        <w:rPr>
          <w:szCs w:val="22"/>
        </w:rPr>
        <w:t>)</w:t>
      </w:r>
    </w:p>
    <w:p w14:paraId="0C389E22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73172E74" w14:textId="77777777" w:rsidR="00432FE1" w:rsidRDefault="008F03E9">
      <w:pPr>
        <w:pStyle w:val="Style1"/>
      </w:pPr>
      <w:r>
        <w:t>3.2</w:t>
      </w:r>
      <w:r>
        <w:tab/>
        <w:t>Indikace pro použití pro každý cílový druh zvířat</w:t>
      </w:r>
    </w:p>
    <w:p w14:paraId="5B5E0981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419F9353" w14:textId="36BB81F3" w:rsidR="00432FE1" w:rsidRDefault="004C3AAC">
      <w:pPr>
        <w:pStyle w:val="Mod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L</w:t>
      </w:r>
      <w:r w:rsidR="008F03E9">
        <w:rPr>
          <w:rFonts w:ascii="Times New Roman" w:hAnsi="Times New Roman"/>
          <w:color w:val="auto"/>
          <w:sz w:val="22"/>
          <w:szCs w:val="22"/>
        </w:rPr>
        <w:t>éčb</w:t>
      </w:r>
      <w:r>
        <w:rPr>
          <w:rFonts w:ascii="Times New Roman" w:hAnsi="Times New Roman"/>
          <w:color w:val="auto"/>
          <w:sz w:val="22"/>
          <w:szCs w:val="22"/>
        </w:rPr>
        <w:t>a</w:t>
      </w:r>
      <w:r w:rsidR="008F03E9">
        <w:rPr>
          <w:rFonts w:ascii="Times New Roman" w:hAnsi="Times New Roman"/>
          <w:color w:val="auto"/>
          <w:sz w:val="22"/>
          <w:szCs w:val="22"/>
        </w:rPr>
        <w:t xml:space="preserve"> existujících </w:t>
      </w:r>
      <w:proofErr w:type="spellStart"/>
      <w:r w:rsidR="008F03E9">
        <w:rPr>
          <w:rFonts w:ascii="Times New Roman" w:hAnsi="Times New Roman"/>
          <w:color w:val="auto"/>
          <w:sz w:val="22"/>
          <w:szCs w:val="22"/>
        </w:rPr>
        <w:t>intramamárních</w:t>
      </w:r>
      <w:proofErr w:type="spellEnd"/>
      <w:r w:rsidR="008F03E9">
        <w:rPr>
          <w:rFonts w:ascii="Times New Roman" w:hAnsi="Times New Roman"/>
          <w:color w:val="auto"/>
          <w:sz w:val="22"/>
          <w:szCs w:val="22"/>
        </w:rPr>
        <w:t xml:space="preserve"> infekcí krav v </w:t>
      </w:r>
      <w:proofErr w:type="spellStart"/>
      <w:r w:rsidR="008F03E9">
        <w:rPr>
          <w:rFonts w:ascii="Times New Roman" w:hAnsi="Times New Roman"/>
          <w:color w:val="auto"/>
          <w:sz w:val="22"/>
          <w:szCs w:val="22"/>
        </w:rPr>
        <w:t>zaprahlosti</w:t>
      </w:r>
      <w:proofErr w:type="spellEnd"/>
      <w:r w:rsidR="008F03E9">
        <w:rPr>
          <w:rFonts w:ascii="Times New Roman" w:hAnsi="Times New Roman"/>
          <w:color w:val="auto"/>
          <w:sz w:val="22"/>
          <w:szCs w:val="22"/>
        </w:rPr>
        <w:t xml:space="preserve"> a poskytnutí ochrany proti novým infekcím během zaprahlosti.</w:t>
      </w:r>
    </w:p>
    <w:p w14:paraId="21E39B7D" w14:textId="77777777" w:rsidR="00432FE1" w:rsidRDefault="008F03E9">
      <w:pPr>
        <w:pStyle w:val="Modr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Souběžné použití přípravku Orbeseal v zaprahlosti poskytuje dodatečnou a rozšířenou ochranu proti vnikání patogenů do mléčné žlázy včetně gramnegativních bakterií a tak přispívá k další redukci výskytu mastitid během zaprahlosti a na začátku laktace. </w:t>
      </w:r>
    </w:p>
    <w:p w14:paraId="33D0D710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6DD753AE" w14:textId="77777777" w:rsidR="00432FE1" w:rsidRDefault="008F03E9">
      <w:pPr>
        <w:pStyle w:val="Style1"/>
      </w:pPr>
      <w:r>
        <w:t>3.3</w:t>
      </w:r>
      <w:r>
        <w:tab/>
        <w:t>Kontraindikace</w:t>
      </w:r>
    </w:p>
    <w:p w14:paraId="78B2365D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67DC8D3C" w14:textId="52751B32" w:rsidR="00432FE1" w:rsidRDefault="008F03E9">
      <w:pPr>
        <w:outlineLvl w:val="0"/>
        <w:rPr>
          <w:szCs w:val="22"/>
        </w:rPr>
      </w:pPr>
      <w:r>
        <w:rPr>
          <w:szCs w:val="22"/>
        </w:rPr>
        <w:t>Nejsou.</w:t>
      </w:r>
    </w:p>
    <w:p w14:paraId="132335F4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48D98E7B" w14:textId="77777777" w:rsidR="00432FE1" w:rsidRDefault="008F03E9">
      <w:pPr>
        <w:pStyle w:val="Style1"/>
      </w:pPr>
      <w:r>
        <w:t>3.4</w:t>
      </w:r>
      <w:r>
        <w:tab/>
        <w:t>Zvláštní upozornění</w:t>
      </w:r>
    </w:p>
    <w:p w14:paraId="5D3BF167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5FA8EBC3" w14:textId="77777777" w:rsidR="00432FE1" w:rsidRDefault="008F03E9">
      <w:pPr>
        <w:outlineLvl w:val="0"/>
        <w:rPr>
          <w:b/>
          <w:bCs/>
        </w:rPr>
      </w:pPr>
      <w:r>
        <w:t>Žádné.</w:t>
      </w:r>
    </w:p>
    <w:p w14:paraId="6E696E88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5DC23750" w14:textId="77777777" w:rsidR="00432FE1" w:rsidRDefault="008F03E9">
      <w:pPr>
        <w:pStyle w:val="Style1"/>
      </w:pPr>
      <w:r>
        <w:t>3.5</w:t>
      </w:r>
      <w:r>
        <w:tab/>
        <w:t>Zvláštní opatření pro použití</w:t>
      </w:r>
    </w:p>
    <w:p w14:paraId="7ED0E514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2EF13B7C" w14:textId="77777777" w:rsidR="00432FE1" w:rsidRDefault="008F03E9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Zvláštní opatření pro bezpečné použití u cílových druhů zvířat:</w:t>
      </w:r>
    </w:p>
    <w:p w14:paraId="15F8C0C4" w14:textId="77777777" w:rsidR="00432FE1" w:rsidRDefault="00432FE1"/>
    <w:p w14:paraId="6C600BB5" w14:textId="458B8315" w:rsidR="007978F7" w:rsidRDefault="007978F7" w:rsidP="007978F7">
      <w:r>
        <w:t xml:space="preserve">Použití přípravku by mělo být založeno na kultivaci a výsledku stanovení citlivosti mikroorganizmů pocházejících z výskytů případů onemocnění. Pokud to není možné, je nutné založit terapii na místních (regionální, na úrovni farmy) </w:t>
      </w:r>
      <w:proofErr w:type="spellStart"/>
      <w:r>
        <w:t>epizootologických</w:t>
      </w:r>
      <w:proofErr w:type="spellEnd"/>
      <w:r>
        <w:t xml:space="preserve"> informacích a znalostech o citlivosti cílových patogenů.</w:t>
      </w:r>
    </w:p>
    <w:p w14:paraId="18760EE1" w14:textId="23839152" w:rsidR="007978F7" w:rsidRDefault="007978F7" w:rsidP="007978F7">
      <w:pPr>
        <w:outlineLvl w:val="0"/>
      </w:pPr>
      <w:r>
        <w:t>Při použití přípravku je nutno vzít v úvahu oficiální a místní pravidla antibiotické politiky.</w:t>
      </w:r>
    </w:p>
    <w:p w14:paraId="5DB7340E" w14:textId="77777777" w:rsidR="00432FE1" w:rsidRDefault="00432FE1"/>
    <w:p w14:paraId="5854E1DE" w14:textId="77777777" w:rsidR="00432FE1" w:rsidRDefault="008F03E9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Zvláštní opatření pro osobu, která podává veterinární léčivý přípravek zvířatům:</w:t>
      </w:r>
    </w:p>
    <w:p w14:paraId="368C224A" w14:textId="77777777" w:rsidR="00432FE1" w:rsidRDefault="00432FE1" w:rsidP="001B532B">
      <w:pPr>
        <w:keepNext/>
      </w:pPr>
    </w:p>
    <w:p w14:paraId="390C5044" w14:textId="5318B714" w:rsidR="00432FE1" w:rsidRDefault="008F03E9">
      <w:pPr>
        <w:jc w:val="both"/>
      </w:pPr>
      <w:r>
        <w:t xml:space="preserve">Při nakládání s veterinárním léčivým přípravkem </w:t>
      </w:r>
      <w:r w:rsidR="00063845">
        <w:t xml:space="preserve">by se měly </w:t>
      </w:r>
      <w:r>
        <w:t>použív</w:t>
      </w:r>
      <w:r w:rsidR="00063845">
        <w:t xml:space="preserve">at osobní ochranné prostředky skládající se z </w:t>
      </w:r>
      <w:r>
        <w:t>gumov</w:t>
      </w:r>
      <w:r w:rsidR="00063845">
        <w:t>ých</w:t>
      </w:r>
      <w:r>
        <w:t xml:space="preserve"> rukavic, aby nedošlo ke kontaktu léčiva s kůží. </w:t>
      </w:r>
      <w:r>
        <w:rPr>
          <w:szCs w:val="22"/>
        </w:rPr>
        <w:t xml:space="preserve">Po </w:t>
      </w:r>
      <w:r w:rsidR="00063845">
        <w:rPr>
          <w:szCs w:val="22"/>
        </w:rPr>
        <w:t>nakládání</w:t>
      </w:r>
      <w:r>
        <w:rPr>
          <w:szCs w:val="22"/>
        </w:rPr>
        <w:t xml:space="preserve"> s přípravkem si umyjte ruce.</w:t>
      </w:r>
    </w:p>
    <w:p w14:paraId="2870234F" w14:textId="02522F29" w:rsidR="00432FE1" w:rsidRDefault="008F03E9">
      <w:pPr>
        <w:jc w:val="both"/>
        <w:rPr>
          <w:szCs w:val="22"/>
        </w:rPr>
      </w:pPr>
      <w:r>
        <w:rPr>
          <w:szCs w:val="22"/>
        </w:rPr>
        <w:t>Peniciliny a cefalosporiny mohou po injekci, inhalaci, po</w:t>
      </w:r>
      <w:r w:rsidR="00063845">
        <w:rPr>
          <w:szCs w:val="22"/>
        </w:rPr>
        <w:t>žití</w:t>
      </w:r>
      <w:r>
        <w:rPr>
          <w:szCs w:val="22"/>
        </w:rPr>
        <w:t xml:space="preserve"> nebo po kožním kontaktu vyvolat </w:t>
      </w:r>
      <w:r w:rsidR="00063845">
        <w:rPr>
          <w:szCs w:val="22"/>
        </w:rPr>
        <w:t>přecitlivělost</w:t>
      </w:r>
      <w:r>
        <w:rPr>
          <w:szCs w:val="22"/>
        </w:rPr>
        <w:t xml:space="preserve"> (alergii). </w:t>
      </w:r>
      <w:r w:rsidR="00063845">
        <w:rPr>
          <w:szCs w:val="22"/>
        </w:rPr>
        <w:t>Přecitlivělost</w:t>
      </w:r>
      <w:r>
        <w:rPr>
          <w:szCs w:val="22"/>
        </w:rPr>
        <w:t xml:space="preserve"> na peniciliny může vést ke zkříženým reakcím s cefalosporiny a</w:t>
      </w:r>
      <w:r w:rsidR="00063845">
        <w:rPr>
          <w:szCs w:val="22"/>
        </w:rPr>
        <w:t> </w:t>
      </w:r>
      <w:r>
        <w:rPr>
          <w:szCs w:val="22"/>
        </w:rPr>
        <w:t xml:space="preserve">naopak. </w:t>
      </w:r>
      <w:r w:rsidR="005A4496" w:rsidRPr="00E00612">
        <w:rPr>
          <w:szCs w:val="22"/>
        </w:rPr>
        <w:t>Alergické reakce na tyto látky mohou být v některých případech vážné</w:t>
      </w:r>
      <w:r>
        <w:rPr>
          <w:szCs w:val="22"/>
        </w:rPr>
        <w:t xml:space="preserve">. </w:t>
      </w:r>
    </w:p>
    <w:p w14:paraId="71076909" w14:textId="77777777" w:rsidR="00432FE1" w:rsidRDefault="008F03E9">
      <w:pPr>
        <w:jc w:val="both"/>
        <w:rPr>
          <w:szCs w:val="22"/>
        </w:rPr>
      </w:pPr>
      <w:r>
        <w:rPr>
          <w:szCs w:val="22"/>
        </w:rPr>
        <w:t>Lidé se známou přecitlivělostí na peniciliny a cefalosporiny by se měli vyhnout kontaktu s veterinárním léčivým přípravkem.</w:t>
      </w:r>
    </w:p>
    <w:p w14:paraId="44556838" w14:textId="700A888A" w:rsidR="00432FE1" w:rsidRDefault="008F03E9">
      <w:pPr>
        <w:jc w:val="both"/>
        <w:rPr>
          <w:szCs w:val="22"/>
        </w:rPr>
      </w:pPr>
      <w:r>
        <w:rPr>
          <w:szCs w:val="22"/>
        </w:rPr>
        <w:t xml:space="preserve">Pokud se rozvinou postexpoziční příznaky jako kožní vyrážka, vyhledejte lékařskou pomoc a ukažte příbalovou informaci nebo etiketu praktickému lékaři. Otok obličeje, rtů, očí nebo potíže s dýcháním jsou vážné </w:t>
      </w:r>
      <w:bookmarkStart w:id="0" w:name="_Hlk178171536"/>
      <w:r w:rsidR="00063845">
        <w:rPr>
          <w:szCs w:val="22"/>
        </w:rPr>
        <w:t>příznaky a vyžadují okamžitou lékařskou pomoc</w:t>
      </w:r>
      <w:bookmarkEnd w:id="0"/>
      <w:r>
        <w:rPr>
          <w:szCs w:val="22"/>
        </w:rPr>
        <w:t>.</w:t>
      </w:r>
    </w:p>
    <w:p w14:paraId="532B105F" w14:textId="60EBEA53" w:rsidR="00B3512D" w:rsidRDefault="00B3512D">
      <w:pPr>
        <w:jc w:val="both"/>
        <w:rPr>
          <w:szCs w:val="22"/>
        </w:rPr>
      </w:pPr>
    </w:p>
    <w:p w14:paraId="71541C7B" w14:textId="77777777" w:rsidR="00B3512D" w:rsidRPr="00B41D57" w:rsidRDefault="00B3512D" w:rsidP="00103B96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2D59BC9" w14:textId="77777777" w:rsidR="00B3512D" w:rsidRPr="00B41D57" w:rsidRDefault="00B3512D" w:rsidP="00103B9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7C646AA" w14:textId="6DE6933A" w:rsidR="00B3512D" w:rsidRPr="00B41D57" w:rsidRDefault="00B3512D" w:rsidP="00B3512D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B8C0031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64F01517" w14:textId="77777777" w:rsidR="00432FE1" w:rsidRDefault="008F03E9">
      <w:pPr>
        <w:pStyle w:val="Style1"/>
      </w:pPr>
      <w:r>
        <w:t>3.6</w:t>
      </w:r>
      <w:r>
        <w:tab/>
        <w:t>Nežádoucí účinky</w:t>
      </w:r>
    </w:p>
    <w:p w14:paraId="69660385" w14:textId="6250E23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540332B8" w14:textId="5F250819" w:rsidR="00B3512D" w:rsidRDefault="00B3512D" w:rsidP="00E61EA4">
      <w:pPr>
        <w:outlineLvl w:val="0"/>
        <w:rPr>
          <w:szCs w:val="22"/>
        </w:rPr>
      </w:pPr>
      <w:r>
        <w:rPr>
          <w:szCs w:val="22"/>
        </w:rPr>
        <w:t>Skot (dojnice</w:t>
      </w:r>
      <w:r w:rsidR="00E61EA4" w:rsidRPr="00561C79">
        <w:rPr>
          <w:szCs w:val="22"/>
        </w:rPr>
        <w:t xml:space="preserve"> v období stání na sucho</w:t>
      </w:r>
      <w:r w:rsidR="00E61EA4">
        <w:rPr>
          <w:szCs w:val="22"/>
        </w:rPr>
        <w:t>)</w:t>
      </w:r>
      <w:r>
        <w:rPr>
          <w:szCs w:val="22"/>
        </w:rPr>
        <w:t>:</w:t>
      </w:r>
    </w:p>
    <w:p w14:paraId="06688BDE" w14:textId="77777777" w:rsidR="00E61EA4" w:rsidRDefault="00E61EA4" w:rsidP="001B532B">
      <w:pPr>
        <w:outlineLvl w:val="0"/>
        <w:rPr>
          <w:szCs w:val="22"/>
        </w:rPr>
      </w:pPr>
    </w:p>
    <w:p w14:paraId="09A2024D" w14:textId="38BE641E" w:rsidR="00432FE1" w:rsidRDefault="008F03E9">
      <w:pPr>
        <w:outlineLvl w:val="0"/>
      </w:pPr>
      <w:r>
        <w:t>Nejsou známy.</w:t>
      </w:r>
    </w:p>
    <w:p w14:paraId="499110F7" w14:textId="77777777" w:rsidR="00B3512D" w:rsidRDefault="00B3512D">
      <w:pPr>
        <w:outlineLvl w:val="0"/>
      </w:pPr>
    </w:p>
    <w:p w14:paraId="213A3A9B" w14:textId="20ED8598" w:rsidR="00B3512D" w:rsidRDefault="00B3512D" w:rsidP="00B3512D">
      <w:bookmarkStart w:id="1" w:name="_Hlk66891708"/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příslušnému vnitrostátnímu orgánu prostřednictvím národního systému hlášení. Podrobné kontaktní údaje naleznete v příbalové informac</w:t>
      </w:r>
      <w:r>
        <w:t>i</w:t>
      </w:r>
      <w:r w:rsidRPr="00B41D57">
        <w:t>.</w:t>
      </w:r>
    </w:p>
    <w:bookmarkEnd w:id="1"/>
    <w:p w14:paraId="273EF68D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35854A01" w14:textId="77777777" w:rsidR="00432FE1" w:rsidRDefault="008F03E9">
      <w:pPr>
        <w:pStyle w:val="Style1"/>
      </w:pPr>
      <w:r>
        <w:t>3.7</w:t>
      </w:r>
      <w:r>
        <w:tab/>
        <w:t>Použití v průběhu březosti, laktace nebo snášky</w:t>
      </w:r>
    </w:p>
    <w:p w14:paraId="5574C67A" w14:textId="2B6788C0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3DF5EF8A" w14:textId="56FBA1B5" w:rsidR="00891149" w:rsidRPr="001B532B" w:rsidRDefault="0089114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B532B">
        <w:rPr>
          <w:szCs w:val="22"/>
          <w:u w:val="single"/>
        </w:rPr>
        <w:t>Laktace:</w:t>
      </w:r>
    </w:p>
    <w:p w14:paraId="7BEF2669" w14:textId="188C2619" w:rsidR="00432FE1" w:rsidRDefault="008F03E9">
      <w:pPr>
        <w:outlineLvl w:val="0"/>
        <w:rPr>
          <w:bCs/>
        </w:rPr>
      </w:pPr>
      <w:r>
        <w:rPr>
          <w:bCs/>
        </w:rPr>
        <w:t>Nepoužívat během laktace.</w:t>
      </w:r>
    </w:p>
    <w:p w14:paraId="20A18029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6EBE5BAA" w14:textId="77777777" w:rsidR="00432FE1" w:rsidRDefault="008F03E9">
      <w:pPr>
        <w:pStyle w:val="Style1"/>
      </w:pPr>
      <w:r>
        <w:t>3.8</w:t>
      </w:r>
      <w:r>
        <w:tab/>
        <w:t>Interakce s jinými léčivými přípravky a další formy interakce</w:t>
      </w:r>
    </w:p>
    <w:p w14:paraId="17CF807F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0E8145CE" w14:textId="77777777" w:rsidR="00432FE1" w:rsidRDefault="008F03E9">
      <w:pPr>
        <w:autoSpaceDE w:val="0"/>
        <w:autoSpaceDN w:val="0"/>
        <w:adjustRightInd w:val="0"/>
        <w:jc w:val="both"/>
        <w:outlineLvl w:val="0"/>
      </w:pPr>
      <w:r>
        <w:t>Nejsou známy.</w:t>
      </w:r>
    </w:p>
    <w:p w14:paraId="105FB61F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42DA8546" w14:textId="77777777" w:rsidR="00432FE1" w:rsidRDefault="008F03E9">
      <w:pPr>
        <w:pStyle w:val="Style1"/>
      </w:pPr>
      <w:r>
        <w:t>3.9</w:t>
      </w:r>
      <w:r>
        <w:tab/>
        <w:t>Cesty podání a dávkování</w:t>
      </w:r>
    </w:p>
    <w:p w14:paraId="5437A93E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76648F0E" w14:textId="77777777" w:rsidR="00432FE1" w:rsidRDefault="008F03E9">
      <w:pPr>
        <w:outlineLvl w:val="0"/>
      </w:pPr>
      <w:r>
        <w:t>Intramamární podání.</w:t>
      </w:r>
    </w:p>
    <w:p w14:paraId="0AD0FCA2" w14:textId="77777777" w:rsidR="00432FE1" w:rsidRDefault="00432FE1"/>
    <w:p w14:paraId="0E787FBD" w14:textId="36971CF0" w:rsidR="00432FE1" w:rsidRDefault="008F03E9">
      <w:pPr>
        <w:rPr>
          <w:szCs w:val="22"/>
        </w:rPr>
      </w:pPr>
      <w:r>
        <w:rPr>
          <w:szCs w:val="22"/>
        </w:rPr>
        <w:t>Obsah jedn</w:t>
      </w:r>
      <w:r w:rsidR="008C251D">
        <w:rPr>
          <w:szCs w:val="22"/>
        </w:rPr>
        <w:t>oho</w:t>
      </w:r>
      <w:r>
        <w:rPr>
          <w:szCs w:val="22"/>
        </w:rPr>
        <w:t xml:space="preserve"> </w:t>
      </w:r>
      <w:r w:rsidR="002F0B68">
        <w:rPr>
          <w:szCs w:val="22"/>
        </w:rPr>
        <w:t xml:space="preserve">aplikátoru </w:t>
      </w:r>
      <w:r>
        <w:rPr>
          <w:szCs w:val="22"/>
        </w:rPr>
        <w:t xml:space="preserve">by měl být </w:t>
      </w:r>
      <w:r w:rsidR="002F0B68">
        <w:rPr>
          <w:szCs w:val="22"/>
        </w:rPr>
        <w:t xml:space="preserve">podán </w:t>
      </w:r>
      <w:r>
        <w:rPr>
          <w:szCs w:val="22"/>
        </w:rPr>
        <w:t xml:space="preserve">do každé čtvrti ihned po posledním dojení před odstavením na sucho. Přípravek se </w:t>
      </w:r>
      <w:r w:rsidRPr="00DB4A61">
        <w:rPr>
          <w:szCs w:val="22"/>
        </w:rPr>
        <w:t xml:space="preserve">aplikuje </w:t>
      </w:r>
      <w:r>
        <w:rPr>
          <w:szCs w:val="22"/>
        </w:rPr>
        <w:t>do očištěného, dezinfikovaného a osušeného struku.</w:t>
      </w:r>
    </w:p>
    <w:p w14:paraId="3FC92192" w14:textId="77777777" w:rsidR="00432FE1" w:rsidRDefault="00432FE1"/>
    <w:p w14:paraId="2219A273" w14:textId="5E3DE3D9" w:rsidR="00432FE1" w:rsidRDefault="008F03E9">
      <w:pPr>
        <w:rPr>
          <w:szCs w:val="22"/>
        </w:rPr>
      </w:pPr>
      <w:r>
        <w:rPr>
          <w:i/>
          <w:szCs w:val="22"/>
          <w:u w:val="single"/>
        </w:rPr>
        <w:t>Příprava a použití krátkého hrotu</w:t>
      </w:r>
      <w:r>
        <w:rPr>
          <w:szCs w:val="22"/>
        </w:rPr>
        <w:t>: Uchopit krycí klobouček mezi ukazovák a palec, ohnout a sejmout (viz příslušný obrázek</w:t>
      </w:r>
      <w:r w:rsidR="00DE498B">
        <w:rPr>
          <w:szCs w:val="22"/>
        </w:rPr>
        <w:t xml:space="preserve"> na krabičce</w:t>
      </w:r>
      <w:r>
        <w:rPr>
          <w:szCs w:val="22"/>
        </w:rPr>
        <w:t xml:space="preserve">). Do strukového kanálku zavést pouze bílou část hrotu dle nákresu. Přípravek </w:t>
      </w:r>
      <w:r w:rsidR="00A975E9">
        <w:rPr>
          <w:szCs w:val="22"/>
        </w:rPr>
        <w:t xml:space="preserve">podat </w:t>
      </w:r>
      <w:r>
        <w:rPr>
          <w:szCs w:val="22"/>
        </w:rPr>
        <w:t xml:space="preserve">šetrně pod mírným tlakem až do rovnoměrného naplnění strukového kanálku. </w:t>
      </w:r>
    </w:p>
    <w:p w14:paraId="4C79E966" w14:textId="075AF2AC" w:rsidR="00432FE1" w:rsidRDefault="008F03E9">
      <w:pPr>
        <w:rPr>
          <w:szCs w:val="22"/>
        </w:rPr>
      </w:pPr>
      <w:r>
        <w:rPr>
          <w:i/>
          <w:szCs w:val="22"/>
          <w:u w:val="single"/>
        </w:rPr>
        <w:t>Příprava a použití konvenčního hrotu</w:t>
      </w:r>
      <w:r>
        <w:rPr>
          <w:szCs w:val="22"/>
        </w:rPr>
        <w:t>: Uchopit spodní část krycího kloboučku mezi ukazovák a palec, ohnout, přitlačit a odstranit (viz příslušný obrázek</w:t>
      </w:r>
      <w:r w:rsidR="00DE498B">
        <w:rPr>
          <w:szCs w:val="22"/>
        </w:rPr>
        <w:t xml:space="preserve"> na krabičce</w:t>
      </w:r>
      <w:r>
        <w:rPr>
          <w:szCs w:val="22"/>
        </w:rPr>
        <w:t xml:space="preserve">). Přípravek </w:t>
      </w:r>
      <w:r w:rsidR="00A975E9">
        <w:rPr>
          <w:szCs w:val="22"/>
        </w:rPr>
        <w:t xml:space="preserve">podat </w:t>
      </w:r>
      <w:r>
        <w:rPr>
          <w:szCs w:val="22"/>
        </w:rPr>
        <w:t xml:space="preserve">šetrně pod mírným tlakem až do rovnoměrného naplnění strukového kanálku. </w:t>
      </w:r>
    </w:p>
    <w:p w14:paraId="27D0B073" w14:textId="77777777" w:rsidR="009E2311" w:rsidRDefault="009E2311">
      <w:pPr>
        <w:rPr>
          <w:szCs w:val="22"/>
        </w:rPr>
      </w:pPr>
    </w:p>
    <w:p w14:paraId="7BFBBCCD" w14:textId="7C857B1B" w:rsidR="00432FE1" w:rsidRDefault="008F03E9">
      <w:pPr>
        <w:rPr>
          <w:szCs w:val="22"/>
        </w:rPr>
      </w:pPr>
      <w:r>
        <w:rPr>
          <w:szCs w:val="22"/>
        </w:rPr>
        <w:t xml:space="preserve">V žádném případě se nedotýkat prsty odkrytého hrotu! </w:t>
      </w:r>
    </w:p>
    <w:p w14:paraId="03870102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6D3E5901" w14:textId="77777777" w:rsidR="00432FE1" w:rsidRDefault="008F03E9">
      <w:pPr>
        <w:pStyle w:val="Style1"/>
      </w:pPr>
      <w:r>
        <w:t>3.10</w:t>
      </w:r>
      <w:r>
        <w:tab/>
        <w:t xml:space="preserve">Příznaky předávkování (a kde je relevantní, první pomoc a antidota) </w:t>
      </w:r>
    </w:p>
    <w:p w14:paraId="0BE96CCF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14FFF4FA" w14:textId="471C671B" w:rsidR="00432FE1" w:rsidRDefault="008F03E9">
      <w:r>
        <w:t xml:space="preserve">Předávkování je velmi nepravděpodobné, protože se vždy </w:t>
      </w:r>
      <w:r w:rsidR="00BF5D33">
        <w:t xml:space="preserve">podává </w:t>
      </w:r>
      <w:r>
        <w:t>obsah celého aplikátoru. Při náhodném předávkování nebyly pozorovány žádné nežádoucí účinky.</w:t>
      </w:r>
    </w:p>
    <w:p w14:paraId="3A65E201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719C0944" w14:textId="77777777" w:rsidR="00432FE1" w:rsidRDefault="008F03E9">
      <w:pPr>
        <w:pStyle w:val="Style1"/>
      </w:pPr>
      <w:r>
        <w:t>3.11</w:t>
      </w:r>
      <w: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6AA9DDFA" w14:textId="77777777" w:rsidR="00CD26AB" w:rsidRDefault="00CD26AB" w:rsidP="00AA07F0">
      <w:pPr>
        <w:tabs>
          <w:tab w:val="clear" w:pos="567"/>
        </w:tabs>
        <w:spacing w:line="240" w:lineRule="auto"/>
      </w:pPr>
    </w:p>
    <w:p w14:paraId="72A70B60" w14:textId="241592B5" w:rsidR="00AA07F0" w:rsidRPr="00B41D57" w:rsidRDefault="00AA07F0" w:rsidP="00AA07F0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7F600869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222F90CB" w14:textId="77777777" w:rsidR="00432FE1" w:rsidRDefault="008F03E9">
      <w:pPr>
        <w:pStyle w:val="Style1"/>
      </w:pPr>
      <w:r>
        <w:t>3.12</w:t>
      </w:r>
      <w:r>
        <w:tab/>
        <w:t>Ochranné lhůty</w:t>
      </w:r>
    </w:p>
    <w:p w14:paraId="15D27DE9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47351608" w14:textId="77777777" w:rsidR="00432FE1" w:rsidRDefault="008F03E9">
      <w:pPr>
        <w:rPr>
          <w:szCs w:val="22"/>
        </w:rPr>
      </w:pPr>
      <w:r>
        <w:rPr>
          <w:szCs w:val="22"/>
        </w:rPr>
        <w:t>Následující se vztahuje jak na použití přípravku Orbenin Extra DC samotného nebo v kombinaci s přípravkem Orbeseal.</w:t>
      </w:r>
    </w:p>
    <w:p w14:paraId="5A9B0832" w14:textId="77777777" w:rsidR="00432FE1" w:rsidRDefault="008F03E9">
      <w:pPr>
        <w:rPr>
          <w:szCs w:val="22"/>
        </w:rPr>
      </w:pPr>
      <w:r>
        <w:rPr>
          <w:szCs w:val="22"/>
        </w:rPr>
        <w:t>Maso: 28 dní.</w:t>
      </w:r>
    </w:p>
    <w:p w14:paraId="08965776" w14:textId="77777777" w:rsidR="00432FE1" w:rsidRDefault="008F03E9">
      <w:pPr>
        <w:rPr>
          <w:szCs w:val="22"/>
        </w:rPr>
      </w:pPr>
      <w:r>
        <w:rPr>
          <w:szCs w:val="22"/>
        </w:rPr>
        <w:t>Mléko: Přípravek nesmí být používán v laktaci, ale výhradně v zaprahlosti, a to nejpozději 42 dnů před porodem, přičemž v tomto případě je ochranná lhůta na mléko 4 dny po porodu. Dojde-li k otelení dříve, ochranná lhůta na mléko se vypočítá tak, že k termínu aplikace se připočte 46 dní.</w:t>
      </w:r>
    </w:p>
    <w:p w14:paraId="1AE40270" w14:textId="78375C95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7EE7CAE5" w14:textId="77777777" w:rsidR="00103B96" w:rsidRDefault="00103B96">
      <w:pPr>
        <w:tabs>
          <w:tab w:val="clear" w:pos="567"/>
        </w:tabs>
        <w:spacing w:line="240" w:lineRule="auto"/>
        <w:rPr>
          <w:szCs w:val="22"/>
        </w:rPr>
      </w:pPr>
    </w:p>
    <w:p w14:paraId="383E5316" w14:textId="77777777" w:rsidR="00432FE1" w:rsidRDefault="008F03E9" w:rsidP="00103B96">
      <w:pPr>
        <w:pStyle w:val="Style1"/>
        <w:keepNext/>
      </w:pPr>
      <w:r>
        <w:t>4.</w:t>
      </w:r>
      <w:r>
        <w:tab/>
        <w:t>FARMAKOLOGICKÉ INFORMACE</w:t>
      </w:r>
    </w:p>
    <w:p w14:paraId="4A064902" w14:textId="77777777" w:rsidR="00432FE1" w:rsidRDefault="00432FE1" w:rsidP="00103B9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E2BBFA5" w14:textId="77777777" w:rsidR="00432FE1" w:rsidRDefault="008F03E9">
      <w:pPr>
        <w:pStyle w:val="Style1"/>
      </w:pPr>
      <w:r>
        <w:t>4.1</w:t>
      </w:r>
      <w:r>
        <w:tab/>
        <w:t xml:space="preserve">ATCvet kód: </w:t>
      </w:r>
      <w:r>
        <w:rPr>
          <w:b w:val="0"/>
        </w:rPr>
        <w:t>QJ51CF02</w:t>
      </w:r>
    </w:p>
    <w:p w14:paraId="1F6408B1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7378840C" w14:textId="3678B4C4" w:rsidR="00BA4A34" w:rsidRPr="001B532B" w:rsidRDefault="00BA4A34" w:rsidP="001B532B">
      <w:pPr>
        <w:pStyle w:val="Style1"/>
        <w:ind w:left="0" w:firstLine="0"/>
        <w:rPr>
          <w:b w:val="0"/>
        </w:rPr>
      </w:pPr>
      <w:r w:rsidRPr="001B532B">
        <w:rPr>
          <w:b w:val="0"/>
        </w:rPr>
        <w:t xml:space="preserve">Přípravek působí proti </w:t>
      </w:r>
      <w:proofErr w:type="spellStart"/>
      <w:r w:rsidRPr="001B532B">
        <w:rPr>
          <w:b w:val="0"/>
        </w:rPr>
        <w:t>grampozitivním</w:t>
      </w:r>
      <w:proofErr w:type="spellEnd"/>
      <w:r w:rsidRPr="001B532B">
        <w:rPr>
          <w:b w:val="0"/>
        </w:rPr>
        <w:t xml:space="preserve"> mikroorganismům způsobujícím mastitidy. Je účinný proti </w:t>
      </w:r>
      <w:proofErr w:type="spellStart"/>
      <w:r w:rsidRPr="001B532B">
        <w:rPr>
          <w:b w:val="0"/>
          <w:i/>
        </w:rPr>
        <w:t>Streptococcus</w:t>
      </w:r>
      <w:proofErr w:type="spellEnd"/>
      <w:r w:rsidRPr="001B532B">
        <w:rPr>
          <w:b w:val="0"/>
          <w:i/>
        </w:rPr>
        <w:t xml:space="preserve"> </w:t>
      </w:r>
      <w:proofErr w:type="spellStart"/>
      <w:r w:rsidRPr="001B532B">
        <w:rPr>
          <w:b w:val="0"/>
          <w:i/>
        </w:rPr>
        <w:t>agalactiae</w:t>
      </w:r>
      <w:proofErr w:type="spellEnd"/>
      <w:r w:rsidRPr="001B532B">
        <w:rPr>
          <w:b w:val="0"/>
        </w:rPr>
        <w:t xml:space="preserve"> a dalším streptokokům, stafylokokům (penicilin rezistentním a senzitivním kmenům) a proti </w:t>
      </w:r>
      <w:proofErr w:type="spellStart"/>
      <w:r w:rsidR="006536D4" w:rsidRPr="001B532B">
        <w:rPr>
          <w:b w:val="0"/>
          <w:i/>
        </w:rPr>
        <w:t>Trueperella</w:t>
      </w:r>
      <w:proofErr w:type="spellEnd"/>
      <w:r w:rsidR="006536D4" w:rsidRPr="001B532B">
        <w:rPr>
          <w:b w:val="0"/>
          <w:i/>
        </w:rPr>
        <w:t xml:space="preserve"> </w:t>
      </w:r>
      <w:proofErr w:type="spellStart"/>
      <w:r w:rsidR="006536D4" w:rsidRPr="001B532B">
        <w:rPr>
          <w:b w:val="0"/>
          <w:i/>
        </w:rPr>
        <w:t>pyogenes</w:t>
      </w:r>
      <w:proofErr w:type="spellEnd"/>
      <w:r w:rsidR="006536D4">
        <w:rPr>
          <w:b w:val="0"/>
        </w:rPr>
        <w:t xml:space="preserve"> (dříve </w:t>
      </w:r>
      <w:proofErr w:type="spellStart"/>
      <w:r w:rsidRPr="001B532B">
        <w:rPr>
          <w:b w:val="0"/>
          <w:i/>
        </w:rPr>
        <w:t>Arcanobacterium</w:t>
      </w:r>
      <w:proofErr w:type="spellEnd"/>
      <w:r w:rsidRPr="001B532B">
        <w:rPr>
          <w:b w:val="0"/>
          <w:i/>
        </w:rPr>
        <w:t xml:space="preserve"> </w:t>
      </w:r>
      <w:proofErr w:type="spellStart"/>
      <w:r w:rsidRPr="001B532B">
        <w:rPr>
          <w:b w:val="0"/>
          <w:i/>
        </w:rPr>
        <w:t>pyogenes</w:t>
      </w:r>
      <w:proofErr w:type="spellEnd"/>
      <w:r w:rsidRPr="001B532B">
        <w:rPr>
          <w:b w:val="0"/>
        </w:rPr>
        <w:t xml:space="preserve"> </w:t>
      </w:r>
      <w:r w:rsidR="006536D4">
        <w:rPr>
          <w:b w:val="0"/>
        </w:rPr>
        <w:t>nebo</w:t>
      </w:r>
      <w:r w:rsidRPr="001B532B">
        <w:rPr>
          <w:b w:val="0"/>
        </w:rPr>
        <w:t xml:space="preserve"> </w:t>
      </w:r>
      <w:proofErr w:type="spellStart"/>
      <w:r w:rsidRPr="001B532B">
        <w:rPr>
          <w:b w:val="0"/>
          <w:i/>
        </w:rPr>
        <w:t>Corynebacterium</w:t>
      </w:r>
      <w:proofErr w:type="spellEnd"/>
      <w:r w:rsidRPr="001B532B">
        <w:rPr>
          <w:b w:val="0"/>
          <w:i/>
        </w:rPr>
        <w:t xml:space="preserve"> </w:t>
      </w:r>
      <w:proofErr w:type="spellStart"/>
      <w:r w:rsidRPr="001B532B">
        <w:rPr>
          <w:b w:val="0"/>
          <w:i/>
        </w:rPr>
        <w:t>pyogenes</w:t>
      </w:r>
      <w:proofErr w:type="spellEnd"/>
      <w:r w:rsidRPr="001B532B">
        <w:rPr>
          <w:b w:val="0"/>
        </w:rPr>
        <w:t xml:space="preserve">). </w:t>
      </w:r>
      <w:r w:rsidR="002A02EC">
        <w:rPr>
          <w:b w:val="0"/>
        </w:rPr>
        <w:t>Přípravek</w:t>
      </w:r>
      <w:r w:rsidRPr="001B532B">
        <w:rPr>
          <w:b w:val="0"/>
        </w:rPr>
        <w:t xml:space="preserve"> má baktericidní účinek a udržuje účinnou hladinu v mléčné žláze 6 až 7 týdnů. Působí i proti bakteriálním kmenům produkujícím </w:t>
      </w:r>
      <w:r>
        <w:rPr>
          <w:b w:val="0"/>
        </w:rPr>
        <w:t>beta</w:t>
      </w:r>
      <w:r w:rsidRPr="001B532B">
        <w:rPr>
          <w:b w:val="0"/>
        </w:rPr>
        <w:t>-</w:t>
      </w:r>
      <w:proofErr w:type="spellStart"/>
      <w:r w:rsidRPr="001B532B">
        <w:rPr>
          <w:b w:val="0"/>
        </w:rPr>
        <w:t>laktamázy</w:t>
      </w:r>
      <w:proofErr w:type="spellEnd"/>
      <w:r w:rsidRPr="001B532B">
        <w:rPr>
          <w:b w:val="0"/>
        </w:rPr>
        <w:t>.</w:t>
      </w:r>
    </w:p>
    <w:p w14:paraId="3F00FB87" w14:textId="77777777" w:rsidR="00BA4A34" w:rsidRDefault="00BA4A34">
      <w:pPr>
        <w:pStyle w:val="Style1"/>
      </w:pPr>
    </w:p>
    <w:p w14:paraId="437D9384" w14:textId="716EB41F" w:rsidR="00432FE1" w:rsidRDefault="008F03E9">
      <w:pPr>
        <w:pStyle w:val="Style1"/>
      </w:pPr>
      <w:r>
        <w:t>5.</w:t>
      </w:r>
      <w:r>
        <w:tab/>
        <w:t>FARMACEUTICKÉ ÚDAJE</w:t>
      </w:r>
    </w:p>
    <w:p w14:paraId="439101C0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2CFCF193" w14:textId="77777777" w:rsidR="00432FE1" w:rsidRDefault="008F03E9">
      <w:pPr>
        <w:pStyle w:val="Style1"/>
      </w:pPr>
      <w:r>
        <w:t>5.1</w:t>
      </w:r>
      <w:r>
        <w:tab/>
        <w:t>Hlavní inkompatibility</w:t>
      </w:r>
    </w:p>
    <w:p w14:paraId="7ECC7189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042C8C82" w14:textId="77777777" w:rsidR="00432FE1" w:rsidRDefault="008F03E9">
      <w:pPr>
        <w:outlineLvl w:val="0"/>
      </w:pPr>
      <w:r>
        <w:t>Nejsou známy.</w:t>
      </w:r>
    </w:p>
    <w:p w14:paraId="3C1714E5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5C895B79" w14:textId="77777777" w:rsidR="00432FE1" w:rsidRDefault="008F03E9">
      <w:pPr>
        <w:pStyle w:val="Style1"/>
      </w:pPr>
      <w:r>
        <w:t>5.2</w:t>
      </w:r>
      <w:r>
        <w:tab/>
        <w:t>Doba použitelnosti</w:t>
      </w:r>
    </w:p>
    <w:p w14:paraId="1C871956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05E3ACB2" w14:textId="77777777" w:rsidR="00432FE1" w:rsidRDefault="008F03E9">
      <w:pPr>
        <w:ind w:right="-318"/>
        <w:outlineLvl w:val="0"/>
      </w:pPr>
      <w:r>
        <w:t>Doba použitelnosti veterinárního léčivého přípravku v neporušeném obalu: 2 roky.</w:t>
      </w:r>
    </w:p>
    <w:p w14:paraId="0A64E1D7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5B3898EB" w14:textId="77777777" w:rsidR="00432FE1" w:rsidRDefault="008F03E9">
      <w:pPr>
        <w:pStyle w:val="Style1"/>
      </w:pPr>
      <w:r>
        <w:t>5.3</w:t>
      </w:r>
      <w:r>
        <w:tab/>
        <w:t>Zvláštní opatření pro uchovávání</w:t>
      </w:r>
    </w:p>
    <w:p w14:paraId="254F68D5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727577B6" w14:textId="77777777" w:rsidR="00432FE1" w:rsidRDefault="008F03E9">
      <w:pPr>
        <w:ind w:right="-318"/>
        <w:outlineLvl w:val="0"/>
      </w:pPr>
      <w:r>
        <w:t xml:space="preserve">Uchovávejte při teplotě do 25 </w:t>
      </w:r>
      <w:r>
        <w:sym w:font="Symbol" w:char="F0B0"/>
      </w:r>
      <w:r>
        <w:t>C.</w:t>
      </w:r>
    </w:p>
    <w:p w14:paraId="1F7E7422" w14:textId="77777777" w:rsidR="00432FE1" w:rsidRDefault="00432FE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13A0F4C" w14:textId="77777777" w:rsidR="00432FE1" w:rsidRDefault="008F03E9">
      <w:pPr>
        <w:pStyle w:val="Style1"/>
      </w:pPr>
      <w:r>
        <w:t>5.4</w:t>
      </w:r>
      <w:r>
        <w:tab/>
        <w:t>Druh a složení vnitřního obalu</w:t>
      </w:r>
    </w:p>
    <w:p w14:paraId="3B69B35F" w14:textId="77777777" w:rsidR="00432FE1" w:rsidRDefault="00432FE1">
      <w:pPr>
        <w:pStyle w:val="Style1"/>
        <w:rPr>
          <w:b w:val="0"/>
          <w:bCs/>
        </w:rPr>
      </w:pPr>
    </w:p>
    <w:p w14:paraId="61131867" w14:textId="77777777" w:rsidR="00432FE1" w:rsidRDefault="008F03E9">
      <w:pPr>
        <w:ind w:right="-476"/>
        <w:jc w:val="both"/>
        <w:rPr>
          <w:szCs w:val="22"/>
        </w:rPr>
      </w:pPr>
      <w:r>
        <w:rPr>
          <w:szCs w:val="22"/>
        </w:rPr>
        <w:t xml:space="preserve">Bílý polyethylenový (LDPE) aplikátor s pístem o obsahu </w:t>
      </w:r>
      <w:smartTag w:uri="urn:schemas-microsoft-com:office:smarttags" w:element="metricconverter">
        <w:smartTagPr>
          <w:attr w:name="ProductID" w:val="3,6 g"/>
        </w:smartTagPr>
        <w:r>
          <w:rPr>
            <w:szCs w:val="22"/>
          </w:rPr>
          <w:t>3,6 g</w:t>
        </w:r>
      </w:smartTag>
      <w:r>
        <w:rPr>
          <w:szCs w:val="22"/>
        </w:rPr>
        <w:t xml:space="preserve"> suspenze. Uzávěr z bílého polyetylénu tvoří duální násadec a čepičku.</w:t>
      </w:r>
    </w:p>
    <w:p w14:paraId="349C1FE7" w14:textId="77777777" w:rsidR="00432FE1" w:rsidRDefault="008F03E9">
      <w:pPr>
        <w:ind w:right="-476"/>
        <w:jc w:val="both"/>
        <w:rPr>
          <w:szCs w:val="22"/>
        </w:rPr>
      </w:pPr>
      <w:r>
        <w:rPr>
          <w:szCs w:val="22"/>
        </w:rPr>
        <w:t>Baleno v papírových skládačkách po 24 nebo 120 aplikátorech.</w:t>
      </w:r>
    </w:p>
    <w:p w14:paraId="6480BDC1" w14:textId="77777777" w:rsidR="00432FE1" w:rsidRDefault="00432FE1"/>
    <w:p w14:paraId="39FC70FA" w14:textId="77777777" w:rsidR="00432FE1" w:rsidRDefault="008F03E9">
      <w:pPr>
        <w:outlineLvl w:val="0"/>
      </w:pPr>
      <w:r>
        <w:t>Na trhu nemusí být všechny velikosti balení.</w:t>
      </w:r>
    </w:p>
    <w:p w14:paraId="2486F4D3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686AF97F" w14:textId="77777777" w:rsidR="00432FE1" w:rsidRDefault="008F03E9" w:rsidP="00103B96">
      <w:pPr>
        <w:pStyle w:val="Style1"/>
        <w:keepNext/>
      </w:pPr>
      <w:r>
        <w:lastRenderedPageBreak/>
        <w:t>5.5</w:t>
      </w:r>
      <w:r>
        <w:tab/>
        <w:t>Zvláštní opatření pro likvidaci nepoužitých veterinárních léčivých přípravků nebo odpadů, které pochází z těchto přípravků</w:t>
      </w:r>
    </w:p>
    <w:p w14:paraId="6AF27BD7" w14:textId="77777777" w:rsidR="00432FE1" w:rsidRDefault="00432FE1" w:rsidP="00103B9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0D1DBF0" w14:textId="77777777" w:rsidR="00B3512D" w:rsidRDefault="00B3512D" w:rsidP="00B3512D">
      <w:pPr>
        <w:rPr>
          <w:szCs w:val="22"/>
        </w:rPr>
      </w:pPr>
      <w:r>
        <w:t>Léčivé přípravky se nesmí likvidovat prostřednictvím odpadní vody či domovního odpadu.</w:t>
      </w:r>
    </w:p>
    <w:p w14:paraId="4DEF559C" w14:textId="77777777" w:rsidR="00B3512D" w:rsidRDefault="00B3512D" w:rsidP="00B3512D">
      <w:pPr>
        <w:ind w:right="151"/>
        <w:jc w:val="both"/>
      </w:pPr>
    </w:p>
    <w:p w14:paraId="71B43030" w14:textId="77777777" w:rsidR="00B3512D" w:rsidRPr="00B41D57" w:rsidRDefault="00B3512D" w:rsidP="00B3512D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77FCA344" w14:textId="77777777" w:rsidR="00103B96" w:rsidRDefault="00103B96">
      <w:pPr>
        <w:ind w:right="-318"/>
        <w:rPr>
          <w:i/>
        </w:rPr>
      </w:pPr>
    </w:p>
    <w:p w14:paraId="7F9A220F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57198412" w14:textId="77777777" w:rsidR="00432FE1" w:rsidRDefault="008F03E9">
      <w:pPr>
        <w:pStyle w:val="Style1"/>
      </w:pPr>
      <w:r>
        <w:t>6.</w:t>
      </w:r>
      <w:r>
        <w:tab/>
        <w:t>JMÉNO DRŽITELE ROZHODNUTÍ O REGISTRACI</w:t>
      </w:r>
    </w:p>
    <w:p w14:paraId="08EC92AA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76C33B5A" w14:textId="1B03066F" w:rsidR="00432FE1" w:rsidRDefault="008F03E9">
      <w:pPr>
        <w:rPr>
          <w:szCs w:val="22"/>
          <w:lang w:eastAsia="cs-CZ"/>
        </w:rPr>
      </w:pPr>
      <w:proofErr w:type="spellStart"/>
      <w:r>
        <w:rPr>
          <w:szCs w:val="22"/>
          <w:lang w:eastAsia="cs-CZ"/>
        </w:rPr>
        <w:t>Zoetis</w:t>
      </w:r>
      <w:proofErr w:type="spellEnd"/>
      <w:r>
        <w:rPr>
          <w:szCs w:val="22"/>
          <w:lang w:eastAsia="cs-CZ"/>
        </w:rPr>
        <w:t xml:space="preserve"> Česká republika, </w:t>
      </w:r>
      <w:proofErr w:type="spellStart"/>
      <w:r>
        <w:rPr>
          <w:szCs w:val="22"/>
          <w:lang w:eastAsia="cs-CZ"/>
        </w:rPr>
        <w:t>s.r.o</w:t>
      </w:r>
      <w:proofErr w:type="spellEnd"/>
    </w:p>
    <w:p w14:paraId="3AC8E35B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37004ACC" w14:textId="77777777" w:rsidR="00432FE1" w:rsidRDefault="008F03E9">
      <w:pPr>
        <w:pStyle w:val="Style1"/>
      </w:pPr>
      <w:r>
        <w:t>7.</w:t>
      </w:r>
      <w:r>
        <w:tab/>
        <w:t>REGISTRAČNÍ ČÍSLO(A)</w:t>
      </w:r>
    </w:p>
    <w:p w14:paraId="214239DF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04B2D79D" w14:textId="77777777" w:rsidR="00432FE1" w:rsidRDefault="008F03E9">
      <w:pPr>
        <w:ind w:right="-318"/>
        <w:rPr>
          <w:caps/>
        </w:rPr>
      </w:pPr>
      <w:r>
        <w:rPr>
          <w:caps/>
        </w:rPr>
        <w:t>96/257/91-C</w:t>
      </w:r>
    </w:p>
    <w:p w14:paraId="5C064CF8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04514033" w14:textId="77777777" w:rsidR="00432FE1" w:rsidRDefault="008F03E9">
      <w:pPr>
        <w:pStyle w:val="Style1"/>
      </w:pPr>
      <w:r>
        <w:t>8.</w:t>
      </w:r>
      <w:r>
        <w:tab/>
        <w:t>DATUM PRVNÍ REGISTRACE</w:t>
      </w:r>
    </w:p>
    <w:p w14:paraId="3C18881E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48CBF1D7" w14:textId="540821D1" w:rsidR="00432FE1" w:rsidRDefault="00B3512D" w:rsidP="001B532B">
      <w:pPr>
        <w:ind w:right="-318"/>
        <w:rPr>
          <w:szCs w:val="22"/>
        </w:rPr>
      </w:pPr>
      <w:r w:rsidRPr="002C7E3A">
        <w:rPr>
          <w:szCs w:val="22"/>
        </w:rPr>
        <w:t>Datum</w:t>
      </w:r>
      <w:r>
        <w:rPr>
          <w:szCs w:val="22"/>
        </w:rPr>
        <w:t xml:space="preserve"> první</w:t>
      </w:r>
      <w:r w:rsidRPr="002C7E3A">
        <w:rPr>
          <w:szCs w:val="22"/>
        </w:rPr>
        <w:t xml:space="preserve"> registrace:</w:t>
      </w:r>
      <w:r>
        <w:rPr>
          <w:szCs w:val="22"/>
        </w:rPr>
        <w:t xml:space="preserve"> </w:t>
      </w:r>
      <w:r w:rsidR="008F03E9">
        <w:rPr>
          <w:bCs/>
        </w:rPr>
        <w:t>25.7.1991</w:t>
      </w:r>
    </w:p>
    <w:p w14:paraId="530990A2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30FE744A" w14:textId="77777777" w:rsidR="00432FE1" w:rsidRDefault="008F03E9">
      <w:pPr>
        <w:pStyle w:val="Style1"/>
      </w:pPr>
      <w:r>
        <w:t>9.</w:t>
      </w:r>
      <w:r>
        <w:tab/>
        <w:t>DATUM POSLEDNÍ AKTUALIZACE SOUHRNU ÚDAJŮ O PŘÍPRAVKU</w:t>
      </w:r>
    </w:p>
    <w:p w14:paraId="6C61D73F" w14:textId="77777777" w:rsidR="00AB120A" w:rsidRDefault="00AB120A">
      <w:pPr>
        <w:tabs>
          <w:tab w:val="clear" w:pos="567"/>
        </w:tabs>
        <w:spacing w:line="240" w:lineRule="auto"/>
        <w:rPr>
          <w:szCs w:val="22"/>
        </w:rPr>
      </w:pPr>
    </w:p>
    <w:p w14:paraId="46059BFA" w14:textId="71EF760D" w:rsidR="00AB120A" w:rsidRDefault="00AB120A">
      <w:pPr>
        <w:ind w:right="-318"/>
      </w:pPr>
      <w:r>
        <w:t>Listopad 2024</w:t>
      </w:r>
    </w:p>
    <w:p w14:paraId="442DE7EA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3026D061" w14:textId="77777777" w:rsidR="00432FE1" w:rsidRDefault="008F03E9">
      <w:pPr>
        <w:pStyle w:val="Style1"/>
      </w:pPr>
      <w:r>
        <w:t>10.</w:t>
      </w:r>
      <w:r>
        <w:tab/>
        <w:t>KLASIFIKACE VETERINÁRNÍCH LÉČIVÝCH PŘÍPRAVKŮ</w:t>
      </w:r>
    </w:p>
    <w:p w14:paraId="5C14E0F1" w14:textId="77777777" w:rsidR="00432FE1" w:rsidRDefault="00432FE1">
      <w:pPr>
        <w:tabs>
          <w:tab w:val="clear" w:pos="567"/>
        </w:tabs>
        <w:spacing w:line="240" w:lineRule="auto"/>
        <w:rPr>
          <w:szCs w:val="22"/>
        </w:rPr>
      </w:pPr>
    </w:p>
    <w:p w14:paraId="2806773C" w14:textId="5DD6A2B6" w:rsidR="00432FE1" w:rsidRDefault="008F03E9">
      <w:pPr>
        <w:ind w:right="-318"/>
      </w:pPr>
      <w:r>
        <w:t>Veterinární léčivý přípravek je vydáván pouze na předpis.</w:t>
      </w:r>
    </w:p>
    <w:p w14:paraId="0E2CFBC2" w14:textId="6D837D8F" w:rsidR="00B3512D" w:rsidRDefault="00B3512D">
      <w:pPr>
        <w:ind w:right="-318"/>
      </w:pPr>
    </w:p>
    <w:p w14:paraId="3E063895" w14:textId="77777777" w:rsidR="00B3512D" w:rsidRPr="00B41D57" w:rsidRDefault="00B3512D" w:rsidP="00B3512D">
      <w:pPr>
        <w:ind w:right="-318"/>
        <w:rPr>
          <w:szCs w:val="22"/>
        </w:rPr>
      </w:pPr>
      <w:bookmarkStart w:id="2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2"/>
    <w:p w14:paraId="7EA9AE54" w14:textId="77777777" w:rsidR="00184B88" w:rsidRDefault="00184B88" w:rsidP="00184B88">
      <w:pPr>
        <w:rPr>
          <w:rFonts w:eastAsiaTheme="minorHAnsi"/>
          <w:szCs w:val="22"/>
        </w:rPr>
      </w:pPr>
    </w:p>
    <w:p w14:paraId="3F131127" w14:textId="5985D783" w:rsidR="00184B88" w:rsidRDefault="00184B88" w:rsidP="00184B88">
      <w:pPr>
        <w:rPr>
          <w:rFonts w:eastAsiaTheme="minorHAnsi"/>
          <w:szCs w:val="22"/>
        </w:rPr>
      </w:pPr>
      <w:bookmarkStart w:id="3" w:name="_Hlk178248931"/>
      <w:r>
        <w:rPr>
          <w:rFonts w:eastAsiaTheme="minorHAnsi"/>
          <w:szCs w:val="22"/>
        </w:rPr>
        <w:t>Podrobné informace o tomto veterinárním léčivém přípravku naleznete také v národní databázi (</w:t>
      </w:r>
      <w:hyperlink r:id="rId9" w:history="1">
        <w:r>
          <w:rPr>
            <w:rStyle w:val="Hypertextovodkaz"/>
            <w:rFonts w:eastAsiaTheme="minorHAnsi"/>
            <w:szCs w:val="22"/>
          </w:rPr>
          <w:t>https://www.uskvbl.cz</w:t>
        </w:r>
      </w:hyperlink>
      <w:r>
        <w:rPr>
          <w:rFonts w:eastAsiaTheme="minorHAnsi"/>
          <w:szCs w:val="22"/>
        </w:rPr>
        <w:t>).</w:t>
      </w:r>
      <w:bookmarkStart w:id="4" w:name="_GoBack"/>
      <w:bookmarkEnd w:id="3"/>
      <w:bookmarkEnd w:id="4"/>
    </w:p>
    <w:sectPr w:rsidR="00184B88" w:rsidSect="00BB5EA0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A72D1" w14:textId="77777777" w:rsidR="00E66888" w:rsidRDefault="00E66888">
      <w:pPr>
        <w:spacing w:line="240" w:lineRule="auto"/>
      </w:pPr>
      <w:r>
        <w:separator/>
      </w:r>
    </w:p>
  </w:endnote>
  <w:endnote w:type="continuationSeparator" w:id="0">
    <w:p w14:paraId="7F95E321" w14:textId="77777777" w:rsidR="00E66888" w:rsidRDefault="00E668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4E455" w14:textId="77777777" w:rsidR="00432FE1" w:rsidRDefault="008F03E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765BB" w14:textId="77777777" w:rsidR="00432FE1" w:rsidRDefault="008F03E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6CE32" w14:textId="77777777" w:rsidR="00E66888" w:rsidRDefault="00E66888">
      <w:pPr>
        <w:spacing w:line="240" w:lineRule="auto"/>
      </w:pPr>
      <w:r>
        <w:separator/>
      </w:r>
    </w:p>
  </w:footnote>
  <w:footnote w:type="continuationSeparator" w:id="0">
    <w:p w14:paraId="078A8AB2" w14:textId="77777777" w:rsidR="00E66888" w:rsidRDefault="00E668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F68D3" w14:textId="6E05D86D" w:rsidR="00432FE1" w:rsidRDefault="00432F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3466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60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04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41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45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E4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64C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28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48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966824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9DCB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6E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74A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804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C4A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25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E1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A9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3E505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02A3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88C85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6B660E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4F653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1A669C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6E43FB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26A39E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716290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66ECB9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AC68B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57262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84636D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F4621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23C977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EE8650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D5252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088D5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6CC4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668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CE1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46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2A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32C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702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C8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BE2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15C6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8AE7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64F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88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0F8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8A4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67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E3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387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770C4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716D2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E2C6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1045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5C51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ACB1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64E5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AEEF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8ACE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90ADA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ECCF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C0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22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65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A4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EE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2C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E8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944E1AF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FC0FF8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69EA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3C1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CF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E04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AAC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EF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6B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FE6ABE3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269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0C4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0C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E1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FA3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6B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CB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962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BFD265D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F29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E23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AA6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C08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BCE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108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ED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C1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8A2E97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F84960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D1C5D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F70365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EF46E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0C6A01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72667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EAC354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44EEF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1FE3C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C4ED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208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AB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28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D69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A3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AD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983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F0EC08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D352B162" w:tentative="1">
      <w:start w:val="1"/>
      <w:numFmt w:val="lowerLetter"/>
      <w:lvlText w:val="%2."/>
      <w:lvlJc w:val="left"/>
      <w:pPr>
        <w:ind w:left="1440" w:hanging="360"/>
      </w:pPr>
    </w:lvl>
    <w:lvl w:ilvl="2" w:tplc="A2F0837E" w:tentative="1">
      <w:start w:val="1"/>
      <w:numFmt w:val="lowerRoman"/>
      <w:lvlText w:val="%3."/>
      <w:lvlJc w:val="right"/>
      <w:pPr>
        <w:ind w:left="2160" w:hanging="180"/>
      </w:pPr>
    </w:lvl>
    <w:lvl w:ilvl="3" w:tplc="FF0AED3E" w:tentative="1">
      <w:start w:val="1"/>
      <w:numFmt w:val="decimal"/>
      <w:lvlText w:val="%4."/>
      <w:lvlJc w:val="left"/>
      <w:pPr>
        <w:ind w:left="2880" w:hanging="360"/>
      </w:pPr>
    </w:lvl>
    <w:lvl w:ilvl="4" w:tplc="09902E1A" w:tentative="1">
      <w:start w:val="1"/>
      <w:numFmt w:val="lowerLetter"/>
      <w:lvlText w:val="%5."/>
      <w:lvlJc w:val="left"/>
      <w:pPr>
        <w:ind w:left="3600" w:hanging="360"/>
      </w:pPr>
    </w:lvl>
    <w:lvl w:ilvl="5" w:tplc="26D89AE8" w:tentative="1">
      <w:start w:val="1"/>
      <w:numFmt w:val="lowerRoman"/>
      <w:lvlText w:val="%6."/>
      <w:lvlJc w:val="right"/>
      <w:pPr>
        <w:ind w:left="4320" w:hanging="180"/>
      </w:pPr>
    </w:lvl>
    <w:lvl w:ilvl="6" w:tplc="506478F6" w:tentative="1">
      <w:start w:val="1"/>
      <w:numFmt w:val="decimal"/>
      <w:lvlText w:val="%7."/>
      <w:lvlJc w:val="left"/>
      <w:pPr>
        <w:ind w:left="5040" w:hanging="360"/>
      </w:pPr>
    </w:lvl>
    <w:lvl w:ilvl="7" w:tplc="FBA227A2" w:tentative="1">
      <w:start w:val="1"/>
      <w:numFmt w:val="lowerLetter"/>
      <w:lvlText w:val="%8."/>
      <w:lvlJc w:val="left"/>
      <w:pPr>
        <w:ind w:left="5760" w:hanging="360"/>
      </w:pPr>
    </w:lvl>
    <w:lvl w:ilvl="8" w:tplc="BC7C5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F55678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3BEF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221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28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6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C6C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C8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AA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8D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3F08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2A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2F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AA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7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CA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CC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C8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FE8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3EE437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82A60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8C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42E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6F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2B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64D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86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6A3F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AF82A084">
      <w:start w:val="1"/>
      <w:numFmt w:val="decimal"/>
      <w:lvlText w:val="%1."/>
      <w:lvlJc w:val="left"/>
      <w:pPr>
        <w:ind w:left="720" w:hanging="360"/>
      </w:pPr>
    </w:lvl>
    <w:lvl w:ilvl="1" w:tplc="91BC66EA" w:tentative="1">
      <w:start w:val="1"/>
      <w:numFmt w:val="lowerLetter"/>
      <w:lvlText w:val="%2."/>
      <w:lvlJc w:val="left"/>
      <w:pPr>
        <w:ind w:left="1440" w:hanging="360"/>
      </w:pPr>
    </w:lvl>
    <w:lvl w:ilvl="2" w:tplc="94E48140" w:tentative="1">
      <w:start w:val="1"/>
      <w:numFmt w:val="lowerRoman"/>
      <w:lvlText w:val="%3."/>
      <w:lvlJc w:val="right"/>
      <w:pPr>
        <w:ind w:left="2160" w:hanging="180"/>
      </w:pPr>
    </w:lvl>
    <w:lvl w:ilvl="3" w:tplc="0B089FBA" w:tentative="1">
      <w:start w:val="1"/>
      <w:numFmt w:val="decimal"/>
      <w:lvlText w:val="%4."/>
      <w:lvlJc w:val="left"/>
      <w:pPr>
        <w:ind w:left="2880" w:hanging="360"/>
      </w:pPr>
    </w:lvl>
    <w:lvl w:ilvl="4" w:tplc="0BDEB62A" w:tentative="1">
      <w:start w:val="1"/>
      <w:numFmt w:val="lowerLetter"/>
      <w:lvlText w:val="%5."/>
      <w:lvlJc w:val="left"/>
      <w:pPr>
        <w:ind w:left="3600" w:hanging="360"/>
      </w:pPr>
    </w:lvl>
    <w:lvl w:ilvl="5" w:tplc="F0662588" w:tentative="1">
      <w:start w:val="1"/>
      <w:numFmt w:val="lowerRoman"/>
      <w:lvlText w:val="%6."/>
      <w:lvlJc w:val="right"/>
      <w:pPr>
        <w:ind w:left="4320" w:hanging="180"/>
      </w:pPr>
    </w:lvl>
    <w:lvl w:ilvl="6" w:tplc="17E4EAD2" w:tentative="1">
      <w:start w:val="1"/>
      <w:numFmt w:val="decimal"/>
      <w:lvlText w:val="%7."/>
      <w:lvlJc w:val="left"/>
      <w:pPr>
        <w:ind w:left="5040" w:hanging="360"/>
      </w:pPr>
    </w:lvl>
    <w:lvl w:ilvl="7" w:tplc="29144852" w:tentative="1">
      <w:start w:val="1"/>
      <w:numFmt w:val="lowerLetter"/>
      <w:lvlText w:val="%8."/>
      <w:lvlJc w:val="left"/>
      <w:pPr>
        <w:ind w:left="5760" w:hanging="360"/>
      </w:pPr>
    </w:lvl>
    <w:lvl w:ilvl="8" w:tplc="DA0A2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280C9A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6EE6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8E5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6F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2C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20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68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85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460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432FE1"/>
    <w:rsid w:val="000223D9"/>
    <w:rsid w:val="000372FE"/>
    <w:rsid w:val="00063845"/>
    <w:rsid w:val="000B69EE"/>
    <w:rsid w:val="000E0B36"/>
    <w:rsid w:val="00103B96"/>
    <w:rsid w:val="00122B4E"/>
    <w:rsid w:val="00184B88"/>
    <w:rsid w:val="0018524D"/>
    <w:rsid w:val="001A1BE7"/>
    <w:rsid w:val="001B532B"/>
    <w:rsid w:val="002A02EC"/>
    <w:rsid w:val="002A1455"/>
    <w:rsid w:val="002F0B68"/>
    <w:rsid w:val="003526D7"/>
    <w:rsid w:val="0038328F"/>
    <w:rsid w:val="004016E8"/>
    <w:rsid w:val="00432FE1"/>
    <w:rsid w:val="00481E5E"/>
    <w:rsid w:val="004C3AAC"/>
    <w:rsid w:val="0051774A"/>
    <w:rsid w:val="00540DCE"/>
    <w:rsid w:val="005A4496"/>
    <w:rsid w:val="005A489D"/>
    <w:rsid w:val="006536D4"/>
    <w:rsid w:val="006D565B"/>
    <w:rsid w:val="006F6A01"/>
    <w:rsid w:val="00740BC0"/>
    <w:rsid w:val="007978F7"/>
    <w:rsid w:val="007C0A47"/>
    <w:rsid w:val="007C4295"/>
    <w:rsid w:val="007F4EE9"/>
    <w:rsid w:val="008442A4"/>
    <w:rsid w:val="00891149"/>
    <w:rsid w:val="00897351"/>
    <w:rsid w:val="008C251D"/>
    <w:rsid w:val="008E00DC"/>
    <w:rsid w:val="008F03E9"/>
    <w:rsid w:val="0094539C"/>
    <w:rsid w:val="00946DA8"/>
    <w:rsid w:val="009534DB"/>
    <w:rsid w:val="00961EE2"/>
    <w:rsid w:val="00964418"/>
    <w:rsid w:val="009859B7"/>
    <w:rsid w:val="009E2311"/>
    <w:rsid w:val="00A05FC2"/>
    <w:rsid w:val="00A456FF"/>
    <w:rsid w:val="00A975E9"/>
    <w:rsid w:val="00AA07F0"/>
    <w:rsid w:val="00AB120A"/>
    <w:rsid w:val="00AC7315"/>
    <w:rsid w:val="00B130B0"/>
    <w:rsid w:val="00B2550F"/>
    <w:rsid w:val="00B319A1"/>
    <w:rsid w:val="00B3512D"/>
    <w:rsid w:val="00B36677"/>
    <w:rsid w:val="00B65CD0"/>
    <w:rsid w:val="00BA4A34"/>
    <w:rsid w:val="00BA59E6"/>
    <w:rsid w:val="00BB5EA0"/>
    <w:rsid w:val="00BF5D33"/>
    <w:rsid w:val="00CD26AB"/>
    <w:rsid w:val="00D553B3"/>
    <w:rsid w:val="00D602CA"/>
    <w:rsid w:val="00D929A2"/>
    <w:rsid w:val="00DB4A61"/>
    <w:rsid w:val="00DE498B"/>
    <w:rsid w:val="00DF58D2"/>
    <w:rsid w:val="00E20697"/>
    <w:rsid w:val="00E61EA4"/>
    <w:rsid w:val="00E66888"/>
    <w:rsid w:val="00E84EB0"/>
    <w:rsid w:val="00EB0503"/>
    <w:rsid w:val="00F36431"/>
    <w:rsid w:val="00F371CB"/>
    <w:rsid w:val="00F812DC"/>
    <w:rsid w:val="00FE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EF3ACA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03E9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slodku">
    <w:name w:val="line number"/>
    <w:basedOn w:val="Standardnpsmoodstavce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rPr>
      <w:rFonts w:ascii="Helvetica" w:hAnsi="Helvetica"/>
      <w:lang w:eastAsia="en-US"/>
    </w:rPr>
  </w:style>
  <w:style w:type="paragraph" w:customStyle="1" w:styleId="Modr">
    <w:name w:val="Modrý"/>
    <w:basedOn w:val="Normln"/>
    <w:pPr>
      <w:tabs>
        <w:tab w:val="clear" w:pos="567"/>
      </w:tabs>
      <w:spacing w:line="240" w:lineRule="auto"/>
    </w:pPr>
    <w:rPr>
      <w:rFonts w:ascii="Arial" w:hAnsi="Arial"/>
      <w:color w:val="0000FF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rldefense.com/v3/__https:/www.uskvbl.cz/cs/registrace-a-schvalovani/registrace-vlp/seznam-vlp/aktualne-registrovane-vlp__;!!NI2rKV_i!9b0S7R8ZCKHLbrnAobqaL950sD8TDHCQJVTF1RjxMuiRsE5YImMOQurC2RkUIWkvVv2fjHFetqC7J7yJKC2vyEQe9k0$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3AB00-92AF-425C-8064-7DB181D4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1060</Words>
  <Characters>6260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Manager/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Nepejchalová Leona</dc:creator>
  <cp:lastModifiedBy>Nepejchalová Leona</cp:lastModifiedBy>
  <cp:revision>74</cp:revision>
  <cp:lastPrinted>2024-11-25T15:08:00Z</cp:lastPrinted>
  <dcterms:created xsi:type="dcterms:W3CDTF">2022-10-26T09:20:00Z</dcterms:created>
  <dcterms:modified xsi:type="dcterms:W3CDTF">2024-11-25T15:08:00Z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2022-11-23T09:33:36Z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0c8550a7-cf10-40a5-8ee3-995b049f3c1b</vt:lpwstr>
  </property>
  <property fmtid="{D5CDD505-2E9C-101B-9397-08002B2CF9AE}" pid="80" name="MSIP_Label_0ce2e18c-5cc3-4bbe-910f-0e8243a09a3a_ContentBits">
    <vt:lpwstr>0</vt:lpwstr>
  </property>
</Properties>
</file>