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73B1" w14:textId="42E5CCE3" w:rsid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</w:p>
    <w:p w14:paraId="04F1FD9B" w14:textId="77777777" w:rsidR="002A2810" w:rsidRPr="007D7F90" w:rsidRDefault="002A281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CD0A85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195328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7D9E7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8F71D9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0F773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5D233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1DC61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44F531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7EF8F1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2132D4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A7E3D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DC1CC0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47B868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7A52A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C0FD9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CCB962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F0BB4B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4E0C27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352131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47134B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BBEA74" w14:textId="77777777" w:rsidR="007D7F90" w:rsidRPr="007D7F90" w:rsidRDefault="007D7F90" w:rsidP="007D7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C1E458C" w14:textId="77777777" w:rsidR="007D7F90" w:rsidRPr="007D7F90" w:rsidRDefault="007D7F90" w:rsidP="007D7F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05EEACB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624CFB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300DDA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609047C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1E6022" w14:textId="126A0790" w:rsidR="007D7F90" w:rsidRPr="007D7F90" w:rsidRDefault="007D7F90" w:rsidP="002A2810">
      <w:pPr>
        <w:tabs>
          <w:tab w:val="left" w:pos="567"/>
        </w:tabs>
        <w:spacing w:after="0" w:line="260" w:lineRule="exact"/>
        <w:ind w:left="284" w:hanging="28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STRENZEN 500 mg/g + 125 mg/g prášek pro podání v pitné vodě pro prasata</w:t>
      </w:r>
    </w:p>
    <w:p w14:paraId="23A1342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59F10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7FF92C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3386FB34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5FDB25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Každý gram obsahuje:</w:t>
      </w:r>
    </w:p>
    <w:p w14:paraId="646711CD" w14:textId="77777777" w:rsidR="007D7F90" w:rsidRPr="007D7F90" w:rsidRDefault="007D7F90" w:rsidP="002A2810">
      <w:pPr>
        <w:tabs>
          <w:tab w:val="left" w:pos="567"/>
          <w:tab w:val="left" w:pos="3261"/>
        </w:tabs>
        <w:spacing w:after="0" w:line="260" w:lineRule="exact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122CCDF" w14:textId="77777777" w:rsidR="007D7F90" w:rsidRPr="007D7F90" w:rsidRDefault="007D7F90" w:rsidP="002A2810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b/>
          <w:kern w:val="0"/>
          <w14:ligatures w14:val="none"/>
        </w:rPr>
        <w:t>Léčivé látky:</w:t>
      </w:r>
    </w:p>
    <w:p w14:paraId="0F1A7A54" w14:textId="77777777" w:rsidR="007D7F90" w:rsidRPr="007D7F90" w:rsidRDefault="007D7F90" w:rsidP="002A2810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Amoxicillinum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ab/>
        <w:t>500 mg</w:t>
      </w:r>
    </w:p>
    <w:p w14:paraId="05D3B0E6" w14:textId="77777777" w:rsidR="007D7F90" w:rsidRPr="007D7F90" w:rsidRDefault="007D7F90" w:rsidP="002A2810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(odpovídá 573,88 mg amoxicillinum trihydricum)</w:t>
      </w:r>
    </w:p>
    <w:p w14:paraId="25362CDE" w14:textId="77777777" w:rsidR="007D7F90" w:rsidRPr="007D7F90" w:rsidRDefault="007D7F90" w:rsidP="002A2810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A63F4CD" w14:textId="77777777" w:rsidR="007D7F90" w:rsidRPr="007D7F90" w:rsidRDefault="007D7F90" w:rsidP="002A2810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Acidum clavulanicum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ab/>
        <w:t>125 mg</w:t>
      </w:r>
    </w:p>
    <w:p w14:paraId="57B32022" w14:textId="77777777" w:rsidR="007D7F90" w:rsidRPr="007D7F90" w:rsidRDefault="007D7F90" w:rsidP="002A2810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(odpovídá 148,88 mg kalii clavulanas)</w:t>
      </w:r>
    </w:p>
    <w:p w14:paraId="0DE49305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00062858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Nažloutlý až žlutý jemný prášek.</w:t>
      </w:r>
      <w:r w:rsidRPr="007D7F90" w:rsidDel="0044049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74660BC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1F9B895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2AFAAC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0FDF783F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14C19C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Prasata.</w:t>
      </w:r>
    </w:p>
    <w:p w14:paraId="36544468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10F3D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427F9C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46266574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0EEE8E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Léčba klinických</w:t>
      </w:r>
    </w:p>
    <w:p w14:paraId="39E28824" w14:textId="10F42443" w:rsidR="007D7F90" w:rsidRPr="007D7F90" w:rsidRDefault="007D7F90" w:rsidP="002A281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infekcí dýchacího traktu </w:t>
      </w:r>
      <w:r w:rsidR="00F37D1D">
        <w:rPr>
          <w:rFonts w:ascii="Times New Roman" w:eastAsia="Times New Roman" w:hAnsi="Times New Roman" w:cs="Times New Roman"/>
          <w:kern w:val="0"/>
          <w14:ligatures w14:val="none"/>
        </w:rPr>
        <w:t>vyvolaných</w:t>
      </w:r>
      <w:r w:rsidR="00F37D1D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Actinobacillus</w:t>
      </w:r>
      <w:proofErr w:type="spellEnd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pleuropneumoniae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Pasteurella</w:t>
      </w:r>
      <w:proofErr w:type="spellEnd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multocida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Streptococcus</w:t>
      </w:r>
      <w:proofErr w:type="spellEnd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suis</w:t>
      </w:r>
      <w:proofErr w:type="spellEnd"/>
    </w:p>
    <w:p w14:paraId="428D9CA7" w14:textId="3E703D33" w:rsidR="007D7F90" w:rsidRPr="007D7F90" w:rsidRDefault="007D7F90" w:rsidP="002A281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bCs/>
          <w:iCs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infekcí trávicího traktu </w:t>
      </w:r>
      <w:r w:rsidR="00BF7226">
        <w:rPr>
          <w:rFonts w:ascii="Times New Roman" w:eastAsia="Times New Roman" w:hAnsi="Times New Roman" w:cs="Times New Roman"/>
          <w:kern w:val="0"/>
          <w14:ligatures w14:val="none"/>
        </w:rPr>
        <w:t>vyvolaných</w:t>
      </w:r>
      <w:r w:rsidR="00BF7226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Clostridium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perfringens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Escherichia</w:t>
      </w:r>
      <w:proofErr w:type="spellEnd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coli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Salmonella</w:t>
      </w:r>
      <w:proofErr w:type="spellEnd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Typhimurium</w:t>
      </w:r>
      <w:proofErr w:type="spellEnd"/>
    </w:p>
    <w:p w14:paraId="4DBF88C3" w14:textId="350845E4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i/>
          <w:iCs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kde jsou příčinnými patogeny kmeny bakterií produkující beta-laktamázu, které jsou citlivé </w:t>
      </w:r>
      <w:r w:rsidR="00BF7226">
        <w:rPr>
          <w:rFonts w:ascii="Times New Roman" w:eastAsia="Times New Roman" w:hAnsi="Times New Roman" w:cs="Times New Roman"/>
          <w:bCs/>
          <w:kern w:val="0"/>
          <w14:ligatures w14:val="none"/>
        </w:rPr>
        <w:t>k</w:t>
      </w: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amoxicilin</w:t>
      </w:r>
      <w:r w:rsidR="00BF7226">
        <w:rPr>
          <w:rFonts w:ascii="Times New Roman" w:eastAsia="Times New Roman" w:hAnsi="Times New Roman" w:cs="Times New Roman"/>
          <w:bCs/>
          <w:kern w:val="0"/>
          <w14:ligatures w14:val="none"/>
        </w:rPr>
        <w:t>u</w:t>
      </w: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v kombinaci s kyselinou </w:t>
      </w:r>
      <w:proofErr w:type="spellStart"/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>klavulanovou</w:t>
      </w:r>
      <w:proofErr w:type="spellEnd"/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>, a kde klinick</w:t>
      </w:r>
      <w:r w:rsidR="00BF7226">
        <w:rPr>
          <w:rFonts w:ascii="Times New Roman" w:eastAsia="Times New Roman" w:hAnsi="Times New Roman" w:cs="Times New Roman"/>
          <w:bCs/>
          <w:kern w:val="0"/>
          <w14:ligatures w14:val="none"/>
        </w:rPr>
        <w:t>á</w:t>
      </w: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zkušenost a/nebo testování citlivosti indikují tuto kombinaci jako lék volby.</w:t>
      </w:r>
    </w:p>
    <w:p w14:paraId="47EE6F5D" w14:textId="77777777" w:rsidR="007D7F90" w:rsidRPr="007D7F90" w:rsidRDefault="007D7F90" w:rsidP="002A2810">
      <w:pPr>
        <w:tabs>
          <w:tab w:val="left" w:pos="567"/>
        </w:tabs>
        <w:spacing w:after="0" w:line="26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21332A6A" w14:textId="77777777" w:rsidR="007D7F90" w:rsidRPr="007D7F90" w:rsidRDefault="007D7F90" w:rsidP="002A2810">
      <w:pPr>
        <w:tabs>
          <w:tab w:val="left" w:pos="567"/>
        </w:tabs>
        <w:spacing w:after="0" w:line="26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42EEE000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61144261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437008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Nepoužívat u zvířat se známou přecitlivělostí na penicilin nebo jiné látky ze skupiny beta-laktamů nebo na některou z pomocných látek.</w:t>
      </w:r>
    </w:p>
    <w:p w14:paraId="732DD937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Nepodávat králíkům, morčatům, křečkům, činčilám, pískomilům nebo malým býložravcům.</w:t>
      </w:r>
    </w:p>
    <w:p w14:paraId="40F30BEA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Nepoužívat v případech známé rezistence ke kombinaci amoxicilinu a kyseliny klavulanové.</w:t>
      </w:r>
    </w:p>
    <w:p w14:paraId="471CF071" w14:textId="77777777" w:rsidR="007D7F90" w:rsidRPr="007D7F90" w:rsidRDefault="007D7F90" w:rsidP="002A2810">
      <w:pPr>
        <w:tabs>
          <w:tab w:val="left" w:pos="567"/>
        </w:tabs>
        <w:spacing w:after="0" w:line="26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3C40F020" w14:textId="77777777" w:rsidR="007D7F90" w:rsidRPr="007D7F90" w:rsidRDefault="007D7F90" w:rsidP="002A2810">
      <w:pPr>
        <w:tabs>
          <w:tab w:val="left" w:pos="567"/>
        </w:tabs>
        <w:spacing w:after="0" w:line="26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2248C3A2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5C85E6A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EF9055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C80CEAA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853C07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165CC471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E8EC1A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5B6A579" w14:textId="196DFC6B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Příjem léčiva zvířaty se může v důsledku onemocnění měnit.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V případě nedostatečného příjmu vody by se </w:t>
      </w:r>
      <w:r w:rsidR="005A059E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zvířata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měla léčit parenterálně.</w:t>
      </w:r>
    </w:p>
    <w:p w14:paraId="6AF6C887" w14:textId="494B53FA" w:rsidR="007D7F90" w:rsidRPr="007D7F90" w:rsidRDefault="007D7F90" w:rsidP="002A2810">
      <w:pPr>
        <w:tabs>
          <w:tab w:val="left" w:pos="-270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Použití veterinárního léčivého přípravku by mělo být založeno na výsledku testování citlivosti a je nutno vzít v úvahu pravidla oficiální národní a místní antibiotické politiky týkající se použití širokospektrých antibiotik.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Nepoužívejte 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v případ</w:t>
      </w:r>
      <w:r w:rsidR="006754E4">
        <w:rPr>
          <w:rFonts w:ascii="Times New Roman" w:eastAsia="Times New Roman" w:hAnsi="Times New Roman" w:cs="Times New Roman"/>
          <w:kern w:val="0"/>
          <w14:ligatures w14:val="none"/>
        </w:rPr>
        <w:t>ech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 xml:space="preserve"> infekcí</w:t>
      </w:r>
      <w:r w:rsidR="006B7BDC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bakteri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emi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citlivým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k úzkospektrým penicilinům nebo k </w:t>
      </w:r>
      <w:r w:rsidR="006B7BDC" w:rsidRPr="007D7F90">
        <w:rPr>
          <w:rFonts w:ascii="Times New Roman" w:eastAsia="Times New Roman" w:hAnsi="Times New Roman" w:cs="Times New Roman"/>
          <w:kern w:val="0"/>
          <w14:ligatures w14:val="none"/>
        </w:rPr>
        <w:t>samo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tnému</w:t>
      </w:r>
      <w:r w:rsidR="006B7BDC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amoxicilinu.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Použití veterinárního léčivého přípravku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B7BDC" w:rsidRPr="006B7BDC">
        <w:rPr>
          <w:rFonts w:ascii="Times New Roman" w:eastAsia="Times New Roman" w:hAnsi="Times New Roman" w:cs="Times New Roman"/>
          <w:kern w:val="0"/>
          <w14:ligatures w14:val="none"/>
        </w:rPr>
        <w:t xml:space="preserve">které je odlišné od pokynů uvedených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v příbalové informaci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může 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zvýšit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prevalenc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bakterií rezistentních</w:t>
      </w:r>
      <w:r w:rsidRPr="007D7F90" w:rsidDel="00352B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k amoxicilinu a kyselině klavulanové a může snížit účinnost léčby jinými beta-laktamovými antibiotiky v důsledku </w:t>
      </w:r>
      <w:r w:rsidR="006B7BDC">
        <w:rPr>
          <w:rFonts w:ascii="Times New Roman" w:eastAsia="Times New Roman" w:hAnsi="Times New Roman" w:cs="Times New Roman"/>
          <w:kern w:val="0"/>
          <w14:ligatures w14:val="none"/>
        </w:rPr>
        <w:t>možné</w:t>
      </w:r>
      <w:r w:rsidR="006B7BDC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zkřížené rezistence.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877DE61" w14:textId="79DAE13C" w:rsidR="007D7F90" w:rsidRPr="007D7F90" w:rsidRDefault="007D7F90" w:rsidP="002A2810">
      <w:pPr>
        <w:tabs>
          <w:tab w:val="left" w:pos="-270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Z důvodu prevalence rezistence u </w:t>
      </w:r>
      <w:proofErr w:type="spellStart"/>
      <w:r w:rsidR="00230D03">
        <w:rPr>
          <w:rFonts w:ascii="Times New Roman" w:eastAsia="Times New Roman" w:hAnsi="Times New Roman" w:cs="Times New Roman"/>
          <w:kern w:val="0"/>
          <w14:ligatures w14:val="none"/>
        </w:rPr>
        <w:t>porcinních</w:t>
      </w:r>
      <w:proofErr w:type="spellEnd"/>
      <w:r w:rsidR="00230D0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izolátů </w:t>
      </w:r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E. coli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k amoxicilinu v kombinaci s kyselinou klavulanovou zjištěné v některých zemích</w:t>
      </w:r>
      <w:r w:rsidR="002A2810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by se měl </w:t>
      </w:r>
      <w:r w:rsidR="00230D03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přípravek používat k léčbě infekcí </w:t>
      </w:r>
      <w:r w:rsidR="00230D03">
        <w:rPr>
          <w:rFonts w:ascii="Times New Roman" w:eastAsia="Times New Roman" w:hAnsi="Times New Roman" w:cs="Times New Roman"/>
          <w:kern w:val="0"/>
          <w14:ligatures w14:val="none"/>
        </w:rPr>
        <w:t>vyvolaných</w:t>
      </w:r>
      <w:r w:rsidR="00230D03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E. coli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pouze na základě testování citlivosti.</w:t>
      </w:r>
    </w:p>
    <w:p w14:paraId="499AE21D" w14:textId="7FD55802" w:rsidR="007D7F90" w:rsidRPr="007D7F90" w:rsidRDefault="007D7F90" w:rsidP="002A2810">
      <w:pPr>
        <w:tabs>
          <w:tab w:val="left" w:pos="-270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Podání 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veterinárního léčivého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přípravku by nemělo sloužit jako metoda kontroly neklinických salmonelových infekcí v chovech prasat. Striktně se doporučuje nepoužívat veterinární léčivý přípravek jako nástroj programů pro tlumení salmonelových infekcí.</w:t>
      </w:r>
    </w:p>
    <w:p w14:paraId="55E15930" w14:textId="369E4A53" w:rsidR="007D7F90" w:rsidRPr="007D7F90" w:rsidRDefault="007D7F90" w:rsidP="002A2810">
      <w:pPr>
        <w:tabs>
          <w:tab w:val="left" w:pos="-270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V případě, že se na farmě vyskytl MRSA (</w:t>
      </w:r>
      <w:bookmarkStart w:id="1" w:name="_Hlk178078465"/>
      <w:proofErr w:type="spellStart"/>
      <w:r w:rsidR="00521766" w:rsidRPr="00521766">
        <w:rPr>
          <w:rFonts w:ascii="Times New Roman" w:eastAsia="Times New Roman" w:hAnsi="Times New Roman" w:cs="Times New Roman"/>
          <w:kern w:val="0"/>
          <w14:ligatures w14:val="none"/>
        </w:rPr>
        <w:t>meticilin</w:t>
      </w:r>
      <w:proofErr w:type="spellEnd"/>
      <w:r w:rsidR="00521766" w:rsidRPr="00521766">
        <w:rPr>
          <w:rFonts w:ascii="Times New Roman" w:eastAsia="Times New Roman" w:hAnsi="Times New Roman" w:cs="Times New Roman"/>
          <w:kern w:val="0"/>
          <w14:ligatures w14:val="none"/>
        </w:rPr>
        <w:t xml:space="preserve">-rezistentní </w:t>
      </w:r>
      <w:bookmarkEnd w:id="1"/>
      <w:proofErr w:type="spellStart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>Staphylococcus</w:t>
      </w:r>
      <w:proofErr w:type="spellEnd"/>
      <w:r w:rsidRPr="007D7F9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aureus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), není vhodné používat kombinaci amoxicilinu a kyseliny klavulanové, protože existuje pravděpodobnost ko-selekce MRSA.</w:t>
      </w:r>
    </w:p>
    <w:p w14:paraId="41275A6F" w14:textId="719626E5" w:rsidR="007D7F90" w:rsidRPr="007D7F90" w:rsidRDefault="007D7F90" w:rsidP="002A2810">
      <w:pPr>
        <w:tabs>
          <w:tab w:val="left" w:pos="-270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Použití 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veterinárního léčivého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přípravku by se mělo kombinovat se správnou chovatelskou praxí, např. dobrou hygienou, náležitou ventilací, zamezením ustájení nadměrného počtu kusů.</w:t>
      </w:r>
    </w:p>
    <w:p w14:paraId="1DC51F8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E584C26" w14:textId="77777777" w:rsidR="007D7F90" w:rsidRPr="007D7F90" w:rsidRDefault="007D7F90" w:rsidP="002A2810">
      <w:pPr>
        <w:keepNext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0C6E252D" w14:textId="28CECCCE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Peniciliny a cefalosporiny mohou po injekci, inhalaci, požití nebo kontaktu s kůží vyvolat přecitlivělost (alergii). </w:t>
      </w:r>
      <w:r w:rsidR="005174C4">
        <w:rPr>
          <w:rFonts w:ascii="Times New Roman" w:eastAsia="Calibri" w:hAnsi="Times New Roman" w:cs="Times New Roman"/>
          <w:kern w:val="0"/>
          <w14:ligatures w14:val="none"/>
        </w:rPr>
        <w:t>Přecitlivělost</w:t>
      </w:r>
      <w:r w:rsidR="005174C4"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>na peniciliny může vést ke zkříženým reakcím s cefalosporiny a naopak. Alergické reakce na tyto látky mohou být v některých případech vážné.</w:t>
      </w:r>
    </w:p>
    <w:p w14:paraId="7894DAE1" w14:textId="285F09BE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Nemanipulujte s tímto veterinárním léčivým přípravkem, pokud víte, že jste přecitlivělí, nebo pokud vám bylo doporučeno</w:t>
      </w:r>
      <w:r w:rsidR="007E63E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>s přípravky tohoto typu nepracovat.</w:t>
      </w:r>
    </w:p>
    <w:p w14:paraId="019DD809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Při manipulaci s tímto veterinárním léčivým přípravkem dodržujte všechna doporučená bezpečnostní opatření a buďte maximálně obezřetní, aby nedošlo k přímému kontaktu.</w:t>
      </w:r>
    </w:p>
    <w:p w14:paraId="1F759322" w14:textId="77777777" w:rsidR="007D7F90" w:rsidRPr="007D7F90" w:rsidRDefault="007D7F90" w:rsidP="002A2810">
      <w:pPr>
        <w:tabs>
          <w:tab w:val="left" w:pos="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Pokud se po přímém kontaktu s přípravkem objeví příznaky jako například kožní vyrážka, vyhledejte lékařskou pomoc a ukažte lékaři toto upozornění. Otok obličeje, rtů a očí nebo potíže s dýcháním jsou vážné příznaky a vyžadují okamžitou lékařskou péči. </w:t>
      </w:r>
    </w:p>
    <w:p w14:paraId="7C9A4C3A" w14:textId="3CFE131C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Předcházejte vdechování prachu. Použijte buď jednorázový respirátor </w:t>
      </w:r>
      <w:r w:rsidR="007E63E2">
        <w:rPr>
          <w:rFonts w:ascii="Times New Roman" w:eastAsia="Calibri" w:hAnsi="Times New Roman" w:cs="Times New Roman"/>
          <w:kern w:val="0"/>
          <w14:ligatures w14:val="none"/>
        </w:rPr>
        <w:t xml:space="preserve">s polomaskou vyhovující 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>evropské norm</w:t>
      </w:r>
      <w:r w:rsidR="007E63E2">
        <w:rPr>
          <w:rFonts w:ascii="Times New Roman" w:eastAsia="Calibri" w:hAnsi="Times New Roman" w:cs="Times New Roman"/>
          <w:kern w:val="0"/>
          <w14:ligatures w14:val="none"/>
        </w:rPr>
        <w:t>ě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 EN 149 nebo respirátor na opakované použití </w:t>
      </w:r>
      <w:r w:rsidR="007E63E2">
        <w:rPr>
          <w:rFonts w:ascii="Times New Roman" w:eastAsia="Calibri" w:hAnsi="Times New Roman" w:cs="Times New Roman"/>
          <w:kern w:val="0"/>
          <w14:ligatures w14:val="none"/>
        </w:rPr>
        <w:t>podle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 evropské norm</w:t>
      </w:r>
      <w:r w:rsidR="007E63E2">
        <w:rPr>
          <w:rFonts w:ascii="Times New Roman" w:eastAsia="Calibri" w:hAnsi="Times New Roman" w:cs="Times New Roman"/>
          <w:kern w:val="0"/>
          <w14:ligatures w14:val="none"/>
        </w:rPr>
        <w:t>y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 EN 140 s</w:t>
      </w:r>
      <w:r w:rsidR="007E63E2">
        <w:rPr>
          <w:rFonts w:ascii="Times New Roman" w:eastAsia="Calibri" w:hAnsi="Times New Roman" w:cs="Times New Roman"/>
          <w:kern w:val="0"/>
          <w14:ligatures w14:val="none"/>
        </w:rPr>
        <w:t> 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>filtrem podle normy EN 143.</w:t>
      </w:r>
    </w:p>
    <w:p w14:paraId="466B4059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Během přípravy a podávání medikované vody používejte rukavice.</w:t>
      </w:r>
    </w:p>
    <w:p w14:paraId="1B906E86" w14:textId="7A2FE765" w:rsidR="007D7F90" w:rsidRPr="007D7F90" w:rsidRDefault="007E63E2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Exponovanou</w:t>
      </w:r>
      <w:r w:rsidR="007D7F90"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 kůži po manipulaci s tímto veterinárním léčivým přípravkem omyjte vodou.  </w:t>
      </w:r>
    </w:p>
    <w:p w14:paraId="0EECDC81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Po použití si umyjte ruce.</w:t>
      </w:r>
    </w:p>
    <w:p w14:paraId="2FD401D4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56E7FF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80F1480" w14:textId="2093D055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Laboratorní studie u </w:t>
      </w:r>
      <w:r w:rsidR="003218C8">
        <w:rPr>
          <w:rFonts w:ascii="Times New Roman" w:eastAsia="Times New Roman" w:hAnsi="Times New Roman" w:cs="Times New Roman"/>
          <w:kern w:val="0"/>
          <w14:ligatures w14:val="none"/>
        </w:rPr>
        <w:t>potkanů</w:t>
      </w:r>
      <w:r w:rsidR="003218C8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a myší nepodaly důkaz o </w:t>
      </w:r>
      <w:proofErr w:type="spellStart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mutage</w:t>
      </w:r>
      <w:r w:rsidR="009764BD">
        <w:rPr>
          <w:rFonts w:ascii="Times New Roman" w:eastAsia="Times New Roman" w:hAnsi="Times New Roman" w:cs="Times New Roman"/>
          <w:kern w:val="0"/>
          <w14:ligatures w14:val="none"/>
        </w:rPr>
        <w:t>nicitě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, teratogenní</w:t>
      </w:r>
      <w:r w:rsidR="009764BD">
        <w:rPr>
          <w:rFonts w:ascii="Times New Roman" w:eastAsia="Times New Roman" w:hAnsi="Times New Roman" w:cs="Times New Roman"/>
          <w:kern w:val="0"/>
          <w14:ligatures w14:val="none"/>
        </w:rPr>
        <w:t>ch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fetotoxick</w:t>
      </w:r>
      <w:r w:rsidR="009764BD">
        <w:rPr>
          <w:rFonts w:ascii="Times New Roman" w:eastAsia="Times New Roman" w:hAnsi="Times New Roman" w:cs="Times New Roman"/>
          <w:kern w:val="0"/>
          <w14:ligatures w14:val="none"/>
        </w:rPr>
        <w:t>ých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účin</w:t>
      </w:r>
      <w:r w:rsidR="009764BD">
        <w:rPr>
          <w:rFonts w:ascii="Times New Roman" w:eastAsia="Times New Roman" w:hAnsi="Times New Roman" w:cs="Times New Roman"/>
          <w:kern w:val="0"/>
          <w14:ligatures w14:val="none"/>
        </w:rPr>
        <w:t>cích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5925DE0" w14:textId="3593B2F8" w:rsidR="007D7F90" w:rsidRPr="007D7F90" w:rsidRDefault="009764BD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="007D7F90"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ezpečnost veterinárního léčivého přípravku </w:t>
      </w:r>
      <w:r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ebyla stanovena </w:t>
      </w:r>
      <w:r w:rsidR="007D7F90" w:rsidRPr="007D7F90">
        <w:rPr>
          <w:rFonts w:ascii="Times New Roman" w:eastAsia="Times New Roman" w:hAnsi="Times New Roman" w:cs="Times New Roman"/>
          <w:kern w:val="0"/>
          <w14:ligatures w14:val="none"/>
        </w:rPr>
        <w:t>pro použití během březosti a laktace.</w:t>
      </w:r>
    </w:p>
    <w:p w14:paraId="7B281903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Použít pouze po zvážení terapeutického prospěchu</w:t>
      </w:r>
      <w:r w:rsidRPr="007D7F90" w:rsidDel="0018285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a rizika příslušným veterinárním lékařem.</w:t>
      </w:r>
    </w:p>
    <w:p w14:paraId="4C548299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2300D2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6E35EF2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Obecně mohou být peniciliny inhibovány antibiotiky s bakteriostatickým účinkem, jako jsou makrolidy, sulfonamidy a tetracykliny.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V dostupné veterinární literatuře nebyly popsány žádné specifické údaje o interakci této kombinace.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Neomycin podávaný perorálně inhibuje vstřebávání penicilinu ve střevech.</w:t>
      </w:r>
    </w:p>
    <w:p w14:paraId="2BBE178C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Peniciliny mohou zvýšit účinek aminoglykosidů.</w:t>
      </w:r>
    </w:p>
    <w:p w14:paraId="369A2117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F430EB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0057EBD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lastRenderedPageBreak/>
        <w:t>V případě vážných reakcí přecitlivělosti by se měla léčba přerušit a měly by se podat kortikosteroidy a adrenalin. V ostatních případech by měla být léčba nežádoucích účinků symptomatická.</w:t>
      </w:r>
    </w:p>
    <w:p w14:paraId="0DDBEA8F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C237E1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5DE69AF6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Studie kompatibility nejsou k dispozici, a proto tento veterinární léčivý přípravek nesmí být mísen s žádnými dalšími veterinárními léčivými přípravky.</w:t>
      </w:r>
    </w:p>
    <w:p w14:paraId="72D3C29B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DD9C1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B9C180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4141063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69961F2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Prasata:</w:t>
      </w:r>
    </w:p>
    <w:p w14:paraId="754F708E" w14:textId="77777777" w:rsidR="007D7F90" w:rsidRPr="007D7F90" w:rsidRDefault="007D7F90" w:rsidP="002A2810">
      <w:pPr>
        <w:tabs>
          <w:tab w:val="left" w:pos="567"/>
        </w:tabs>
        <w:spacing w:after="0" w:line="240" w:lineRule="auto"/>
        <w:rPr>
          <w:rFonts w:ascii="Calibri" w:eastAsia="Times New Roman" w:hAnsi="Calibri" w:cs="Calibri"/>
          <w:i/>
          <w:color w:val="008000"/>
          <w:kern w:val="0"/>
          <w:szCs w:val="20"/>
          <w:lang w:eastAsia="cs-CZ"/>
          <w14:ligatures w14:val="non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D7F90" w:rsidRPr="007D7F90" w14:paraId="1502A808" w14:textId="77777777" w:rsidTr="00F77AE8">
        <w:tc>
          <w:tcPr>
            <w:tcW w:w="5000" w:type="pct"/>
          </w:tcPr>
          <w:p w14:paraId="039DEA4E" w14:textId="77777777" w:rsidR="007D7F90" w:rsidRPr="00695FAD" w:rsidRDefault="007D7F90" w:rsidP="002A2810">
            <w:pPr>
              <w:tabs>
                <w:tab w:val="left" w:pos="567"/>
              </w:tabs>
              <w:rPr>
                <w:sz w:val="22"/>
                <w:szCs w:val="22"/>
                <w:lang w:eastAsia="cs-CZ"/>
              </w:rPr>
            </w:pPr>
            <w:r w:rsidRPr="002212D9">
              <w:rPr>
                <w:lang w:eastAsia="cs-CZ"/>
              </w:rPr>
              <w:t>Vzácné</w:t>
            </w:r>
          </w:p>
          <w:p w14:paraId="5C326968" w14:textId="77777777" w:rsidR="007D7F90" w:rsidRPr="00695FAD" w:rsidRDefault="007D7F90" w:rsidP="002A2810">
            <w:pPr>
              <w:tabs>
                <w:tab w:val="left" w:pos="567"/>
              </w:tabs>
              <w:rPr>
                <w:i/>
                <w:color w:val="008000"/>
                <w:sz w:val="22"/>
                <w:szCs w:val="22"/>
                <w:lang w:eastAsia="cs-CZ"/>
              </w:rPr>
            </w:pPr>
            <w:r w:rsidRPr="002212D9">
              <w:rPr>
                <w:lang w:eastAsia="cs-CZ"/>
              </w:rPr>
              <w:t>(1 až 10 zvířat / 10 000 ošetřených zvířat):</w:t>
            </w:r>
          </w:p>
        </w:tc>
      </w:tr>
      <w:tr w:rsidR="007D7F90" w:rsidRPr="007D7F90" w14:paraId="0C987F3A" w14:textId="77777777" w:rsidTr="00F77AE8">
        <w:tc>
          <w:tcPr>
            <w:tcW w:w="5000" w:type="pct"/>
          </w:tcPr>
          <w:p w14:paraId="21F4E7F1" w14:textId="77777777" w:rsidR="007D7F90" w:rsidRPr="00695FAD" w:rsidRDefault="007D7F90" w:rsidP="007D7F90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</w:rPr>
            </w:pPr>
            <w:r w:rsidRPr="002212D9">
              <w:t>Podráždění konečníku, průjem</w:t>
            </w:r>
          </w:p>
          <w:p w14:paraId="4B72C265" w14:textId="77777777" w:rsidR="007D7F90" w:rsidRPr="00695FAD" w:rsidRDefault="007D7F90" w:rsidP="002A2810">
            <w:pPr>
              <w:tabs>
                <w:tab w:val="left" w:pos="567"/>
              </w:tabs>
              <w:rPr>
                <w:i/>
                <w:color w:val="008000"/>
                <w:sz w:val="22"/>
                <w:szCs w:val="22"/>
                <w:lang w:eastAsia="cs-CZ"/>
              </w:rPr>
            </w:pPr>
            <w:r w:rsidRPr="002212D9">
              <w:t>Lokální erytém (anální a perineální)</w:t>
            </w:r>
          </w:p>
        </w:tc>
      </w:tr>
      <w:tr w:rsidR="007D7F90" w:rsidRPr="007D7F90" w14:paraId="426E23C7" w14:textId="77777777" w:rsidTr="00F77AE8">
        <w:tc>
          <w:tcPr>
            <w:tcW w:w="5000" w:type="pct"/>
          </w:tcPr>
          <w:p w14:paraId="51558213" w14:textId="77777777" w:rsidR="007D7F90" w:rsidRPr="00695FAD" w:rsidRDefault="007D7F90" w:rsidP="002A2810">
            <w:pPr>
              <w:tabs>
                <w:tab w:val="left" w:pos="567"/>
              </w:tabs>
              <w:rPr>
                <w:sz w:val="22"/>
                <w:szCs w:val="22"/>
                <w:lang w:eastAsia="cs-CZ"/>
              </w:rPr>
            </w:pPr>
            <w:r w:rsidRPr="002212D9">
              <w:rPr>
                <w:lang w:eastAsia="cs-CZ"/>
              </w:rPr>
              <w:t>Velmi vzácné</w:t>
            </w:r>
          </w:p>
          <w:p w14:paraId="586C00F9" w14:textId="7E459979" w:rsidR="007D7F90" w:rsidRPr="00695FAD" w:rsidRDefault="007D7F90" w:rsidP="002A2810">
            <w:pPr>
              <w:tabs>
                <w:tab w:val="left" w:pos="567"/>
              </w:tabs>
              <w:rPr>
                <w:i/>
                <w:color w:val="008000"/>
                <w:sz w:val="22"/>
                <w:szCs w:val="22"/>
                <w:lang w:eastAsia="cs-CZ"/>
              </w:rPr>
            </w:pPr>
            <w:r w:rsidRPr="002212D9">
              <w:rPr>
                <w:lang w:eastAsia="cs-CZ"/>
              </w:rPr>
              <w:t>(&lt;1 zvíře / 10 000 ošetřených zvířat, včetně ojedinělých hlášení):</w:t>
            </w:r>
          </w:p>
        </w:tc>
      </w:tr>
      <w:tr w:rsidR="007D7F90" w:rsidRPr="007D7F90" w14:paraId="01142D73" w14:textId="77777777" w:rsidTr="00F77AE8">
        <w:tc>
          <w:tcPr>
            <w:tcW w:w="5000" w:type="pct"/>
          </w:tcPr>
          <w:p w14:paraId="165F6289" w14:textId="77777777" w:rsidR="007D7F90" w:rsidRPr="00695FAD" w:rsidRDefault="007D7F90" w:rsidP="007D7F90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</w:rPr>
            </w:pPr>
            <w:r w:rsidRPr="002212D9">
              <w:rPr>
                <w:iCs/>
              </w:rPr>
              <w:t>Zažívací potíže (průjem, zvracení)</w:t>
            </w:r>
          </w:p>
          <w:p w14:paraId="6453E20E" w14:textId="77777777" w:rsidR="007D7F90" w:rsidRPr="00695FAD" w:rsidRDefault="007D7F90" w:rsidP="002A2810">
            <w:pPr>
              <w:tabs>
                <w:tab w:val="left" w:pos="567"/>
              </w:tabs>
              <w:rPr>
                <w:i/>
                <w:color w:val="008000"/>
                <w:sz w:val="22"/>
                <w:szCs w:val="22"/>
                <w:lang w:eastAsia="cs-CZ"/>
              </w:rPr>
            </w:pPr>
            <w:r w:rsidRPr="002212D9">
              <w:rPr>
                <w:iCs/>
              </w:rPr>
              <w:t>Alergické reakce (alergické kožní reakce, anafylaxe)</w:t>
            </w:r>
          </w:p>
        </w:tc>
      </w:tr>
    </w:tbl>
    <w:p w14:paraId="7E2039A3" w14:textId="77777777" w:rsidR="007D7F90" w:rsidRPr="002A2810" w:rsidRDefault="007D7F90" w:rsidP="002A28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8000"/>
          <w:kern w:val="0"/>
          <w:szCs w:val="20"/>
          <w:lang w:eastAsia="cs-CZ"/>
          <w14:ligatures w14:val="none"/>
        </w:rPr>
      </w:pPr>
    </w:p>
    <w:p w14:paraId="38D3C9B9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informace, nebo prostřednictvím národního systému hlášení nežádoucích účinků: </w:t>
      </w:r>
    </w:p>
    <w:p w14:paraId="2FEE9D4B" w14:textId="77777777" w:rsidR="007D7F90" w:rsidRPr="007D7F90" w:rsidRDefault="007D7F90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70150CFA" w14:textId="77777777" w:rsidR="007D7F90" w:rsidRPr="007D7F90" w:rsidRDefault="007D7F90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Ústav pro státní kontrolu veterinárních biopreparátů a léčiv </w:t>
      </w:r>
    </w:p>
    <w:p w14:paraId="729FBEA4" w14:textId="61AC0A05" w:rsidR="007D7F90" w:rsidRPr="007D7F90" w:rsidRDefault="007D7F90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Hudcova 232/56a </w:t>
      </w:r>
    </w:p>
    <w:p w14:paraId="7561821A" w14:textId="77777777" w:rsidR="007D7F90" w:rsidRPr="007D7F90" w:rsidRDefault="007D7F90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621 00 Brno</w:t>
      </w:r>
    </w:p>
    <w:p w14:paraId="38C90845" w14:textId="051A65B5" w:rsidR="007D7F90" w:rsidRPr="007D7F90" w:rsidRDefault="00014401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E-m</w:t>
      </w:r>
      <w:r w:rsidR="007D7F90"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ail: </w:t>
      </w:r>
      <w:hyperlink r:id="rId10" w:history="1">
        <w:r w:rsidR="007D7F90" w:rsidRPr="007D7F90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134F1D67" w14:textId="77777777" w:rsidR="007D7F90" w:rsidRPr="007D7F90" w:rsidRDefault="007D7F90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Webové stránky: </w:t>
      </w:r>
      <w:hyperlink r:id="rId11" w:history="1">
        <w:r w:rsidRPr="007D7F90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http://www.uskvbl.cz/cs/farmakovigilance</w:t>
        </w:r>
      </w:hyperlink>
    </w:p>
    <w:p w14:paraId="5D27C631" w14:textId="77777777" w:rsidR="007D7F90" w:rsidRPr="007D7F90" w:rsidRDefault="007D7F90" w:rsidP="007D7F90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</w:p>
    <w:p w14:paraId="59EB3478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F48C44C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59F763F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88122D" w14:textId="3D1526FE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Podání v pitné vodě</w:t>
      </w:r>
      <w:r w:rsidRPr="007D7F90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>.</w:t>
      </w:r>
    </w:p>
    <w:p w14:paraId="7C2E002A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 xml:space="preserve"> </w:t>
      </w:r>
    </w:p>
    <w:p w14:paraId="0BC957D4" w14:textId="22CE897B" w:rsidR="007D7F90" w:rsidRPr="007D7F90" w:rsidRDefault="007D7F90" w:rsidP="002A2810">
      <w:pPr>
        <w:tabs>
          <w:tab w:val="left" w:pos="567"/>
        </w:tabs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Podávejte 10 mg amoxicilinu (ve formě trihydrátu) a 2,5 mg kyseliny klavulanové (ve formě draselné soli) na kilogram živé hmotnosti dvakrát denně, tj. </w:t>
      </w:r>
      <w:smartTag w:uri="urn:schemas-microsoft-com:office:smarttags" w:element="metricconverter">
        <w:smartTagPr>
          <w:attr w:name="ProductID" w:val="2 g"/>
        </w:smartTagPr>
        <w:r w:rsidRPr="007D7F90">
          <w:rPr>
            <w:rFonts w:ascii="Times New Roman" w:eastAsia="Times New Roman" w:hAnsi="Times New Roman" w:cs="Times New Roman"/>
            <w:bCs/>
            <w:kern w:val="0"/>
            <w14:ligatures w14:val="none"/>
          </w:rPr>
          <w:t>2 g</w:t>
        </w:r>
      </w:smartTag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9A577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veterinárního léčivého </w:t>
      </w:r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přípravku na </w:t>
      </w:r>
      <w:smartTag w:uri="urn:schemas-microsoft-com:office:smarttags" w:element="metricconverter">
        <w:smartTagPr>
          <w:attr w:name="ProductID" w:val="100 kg"/>
        </w:smartTagPr>
        <w:r w:rsidRPr="007D7F90">
          <w:rPr>
            <w:rFonts w:ascii="Times New Roman" w:eastAsia="Times New Roman" w:hAnsi="Times New Roman" w:cs="Times New Roman"/>
            <w:bCs/>
            <w:kern w:val="0"/>
            <w14:ligatures w14:val="none"/>
          </w:rPr>
          <w:t>100 kg</w:t>
        </w:r>
      </w:smartTag>
      <w:r w:rsidRPr="007D7F9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živé hmotnosti dvakrát denně.</w:t>
      </w:r>
      <w:r w:rsidRPr="007D7F9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Léčba trvá 5 dnů.</w:t>
      </w:r>
    </w:p>
    <w:p w14:paraId="463B0A33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</w:p>
    <w:p w14:paraId="62032A7B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Pro výpočet dávky podávané každých 12 hodin je možno použít následující vzorec:</w:t>
      </w:r>
    </w:p>
    <w:p w14:paraId="22DB8B6B" w14:textId="6F85A980" w:rsidR="00BD165B" w:rsidRDefault="007D7F90">
      <w:pPr>
        <w:tabs>
          <w:tab w:val="left" w:pos="567"/>
          <w:tab w:val="left" w:pos="972"/>
        </w:tabs>
        <w:spacing w:after="0" w:line="260" w:lineRule="exact"/>
        <w:rPr>
          <w:rFonts w:ascii="Times New Roman" w:eastAsia="Times New Roman" w:hAnsi="Times New Roman" w:cs="Times New Roman"/>
          <w:bCs/>
          <w:iCs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Počet prasat × průměrná živá hmotnost (kg) × </w:t>
      </w:r>
      <w:r w:rsidR="009A5776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dávka</w:t>
      </w:r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(</w:t>
      </w:r>
      <w:smartTag w:uri="urn:schemas-microsoft-com:office:smarttags" w:element="metricconverter">
        <w:smartTagPr>
          <w:attr w:name="ProductID" w:val="0,02 g"/>
        </w:smartTagPr>
        <w:r w:rsidRPr="007D7F90">
          <w:rPr>
            <w:rFonts w:ascii="Times New Roman" w:eastAsia="Times New Roman" w:hAnsi="Times New Roman" w:cs="Times New Roman"/>
            <w:bCs/>
            <w:iCs/>
            <w:kern w:val="0"/>
            <w14:ligatures w14:val="none"/>
          </w:rPr>
          <w:t>0,02 g</w:t>
        </w:r>
      </w:smartTag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</w:t>
      </w:r>
      <w:r w:rsidR="009A5776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veterinárního léčivého </w:t>
      </w:r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přípravku/kg živé hmotnosti) dvakrát denně.</w:t>
      </w:r>
      <w:r w:rsidRPr="007D7F90">
        <w:rPr>
          <w:rFonts w:ascii="Times New Roman" w:eastAsia="Times New Roman" w:hAnsi="Times New Roman" w:cs="Times New Roman"/>
          <w:bCs/>
          <w:iCs/>
          <w:color w:val="000000"/>
          <w:kern w:val="0"/>
          <w14:ligatures w14:val="none"/>
        </w:rPr>
        <w:t xml:space="preserve"> </w:t>
      </w:r>
    </w:p>
    <w:p w14:paraId="2E81965D" w14:textId="1E48FF26" w:rsidR="007D7F90" w:rsidRPr="007D7F90" w:rsidRDefault="007D7F90" w:rsidP="002A2810">
      <w:pPr>
        <w:tabs>
          <w:tab w:val="left" w:pos="567"/>
          <w:tab w:val="left" w:pos="972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Během období léčby přípravkem podávaným dvakrát denně </w:t>
      </w:r>
      <w:r w:rsidR="00BD165B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by měla být</w:t>
      </w:r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medikovaná</w:t>
      </w:r>
      <w:proofErr w:type="spellEnd"/>
      <w:r w:rsidRPr="007D7F9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voda jediným zdrojem pitné vody. </w:t>
      </w:r>
      <w:r w:rsidR="00BD165B">
        <w:rPr>
          <w:rFonts w:ascii="Times New Roman" w:eastAsia="Times New Roman" w:hAnsi="Times New Roman" w:cs="Times New Roman"/>
          <w:kern w:val="0"/>
          <w14:ligatures w14:val="none"/>
        </w:rPr>
        <w:t>Po spotřebování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vešker</w:t>
      </w:r>
      <w:r w:rsidR="00BD165B">
        <w:rPr>
          <w:rFonts w:ascii="Times New Roman" w:eastAsia="Times New Roman" w:hAnsi="Times New Roman" w:cs="Times New Roman"/>
          <w:kern w:val="0"/>
          <w14:ligatures w14:val="none"/>
        </w:rPr>
        <w:t>é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medikovan</w:t>
      </w:r>
      <w:r w:rsidR="00BD165B">
        <w:rPr>
          <w:rFonts w:ascii="Times New Roman" w:eastAsia="Times New Roman" w:hAnsi="Times New Roman" w:cs="Times New Roman"/>
          <w:kern w:val="0"/>
          <w14:ligatures w14:val="none"/>
        </w:rPr>
        <w:t>é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pitn</w:t>
      </w:r>
      <w:r w:rsidR="00BD165B">
        <w:rPr>
          <w:rFonts w:ascii="Times New Roman" w:eastAsia="Times New Roman" w:hAnsi="Times New Roman" w:cs="Times New Roman"/>
          <w:kern w:val="0"/>
          <w14:ligatures w14:val="none"/>
        </w:rPr>
        <w:t>é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 vod</w:t>
      </w:r>
      <w:r w:rsidR="00BD165B">
        <w:rPr>
          <w:rFonts w:ascii="Times New Roman" w:eastAsia="Times New Roman" w:hAnsi="Times New Roman" w:cs="Times New Roman"/>
          <w:kern w:val="0"/>
          <w14:ligatures w14:val="none"/>
        </w:rPr>
        <w:t xml:space="preserve">y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obnovte dodávku vody</w:t>
      </w:r>
      <w:r w:rsidR="00BD165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D165B" w:rsidRPr="007D7F90">
        <w:rPr>
          <w:rFonts w:ascii="Times New Roman" w:eastAsia="Times New Roman" w:hAnsi="Times New Roman" w:cs="Times New Roman"/>
          <w:kern w:val="0"/>
          <w14:ligatures w14:val="none"/>
        </w:rPr>
        <w:t>nemedikované</w:t>
      </w:r>
      <w:proofErr w:type="spellEnd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C7233EB" w14:textId="77777777" w:rsidR="007D7F90" w:rsidRPr="007D7F90" w:rsidRDefault="007D7F90" w:rsidP="002A2810">
      <w:pPr>
        <w:tabs>
          <w:tab w:val="left" w:pos="567"/>
          <w:tab w:val="left" w:pos="972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43E98D0" w14:textId="006A830F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Pro zajištění správného dávkování 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je třeba co nejpřesněji stanovit živou hmotnost</w:t>
      </w: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, aby se předešlo poddávkování. </w:t>
      </w:r>
    </w:p>
    <w:p w14:paraId="70792040" w14:textId="7C6A55FD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w:t>Příjem medikované pitné vody závisí na klinickém stavu zvířat stejně jako na počasí/teplotě.</w:t>
      </w:r>
      <w:r w:rsidRPr="007D7F90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 xml:space="preserve"> </w:t>
      </w:r>
      <w:bookmarkStart w:id="2" w:name="_Hlk178080113"/>
      <w:r w:rsidR="00FF2E2F" w:rsidRPr="00FF2E2F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t xml:space="preserve">Aby bylo zajištěno správné dávkování, měla by se odpovídajícím </w:t>
      </w:r>
      <w:bookmarkEnd w:id="2"/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způsobem upravit koncentrace</w:t>
      </w:r>
      <w:bookmarkStart w:id="3" w:name="_Hlk174369633"/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veterinárního léčivého </w:t>
      </w:r>
      <w:bookmarkEnd w:id="3"/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přípravku.</w:t>
      </w:r>
    </w:p>
    <w:p w14:paraId="71D73C65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6934E65A" w14:textId="2009440D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Před </w:t>
      </w:r>
      <w:r w:rsidR="004B1CD4">
        <w:rPr>
          <w:rFonts w:ascii="Times New Roman" w:eastAsia="Times New Roman" w:hAnsi="Times New Roman" w:cs="Times New Roman"/>
          <w:noProof/>
          <w:kern w:val="0"/>
          <w14:ligatures w14:val="none"/>
        </w:rPr>
        <w:t>podáním</w:t>
      </w:r>
      <w:r w:rsidR="004B1CD4"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připravte čerstvý roztok.</w:t>
      </w:r>
    </w:p>
    <w:p w14:paraId="2D75E7AF" w14:textId="1E845F39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Po </w:t>
      </w:r>
      <w:r w:rsidR="004B1CD4">
        <w:rPr>
          <w:rFonts w:ascii="Times New Roman" w:eastAsia="Times New Roman" w:hAnsi="Times New Roman" w:cs="Times New Roman"/>
          <w:noProof/>
          <w:kern w:val="0"/>
          <w14:ligatures w14:val="none"/>
        </w:rPr>
        <w:t>rozpuštění</w:t>
      </w:r>
      <w:r w:rsidR="004B1CD4"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se musí medikovaná pitná voda </w:t>
      </w:r>
      <w:r w:rsidR="00280E78">
        <w:rPr>
          <w:rFonts w:ascii="Times New Roman" w:eastAsia="Times New Roman" w:hAnsi="Times New Roman" w:cs="Times New Roman"/>
          <w:noProof/>
          <w:kern w:val="0"/>
          <w14:ligatures w14:val="none"/>
        </w:rPr>
        <w:t>spotřebovat</w:t>
      </w:r>
      <w:r w:rsidR="00280E78"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do 24 hodin.</w:t>
      </w:r>
    </w:p>
    <w:p w14:paraId="1F45E80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280D9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75E2CB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708A570A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3A1DE9" w14:textId="2E553350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Pro hromadnou medikaci dvakrát denně: Polovina vypočítané celkové denní dávky veterinárního léčivého přípravku se rozsype na hladinu vlažné vody (přibližně 20 °C) a míchá se, dokud se rovnoměrně nerozptýlí. Přidejte požadované množství vody, abyste dosáhli koncentrace 0,6</w:t>
      </w:r>
      <w:r w:rsidRPr="002A2810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3,0 g veterinárního léčivého přípravku na litr pitné vody, a míchejte 20 minut, dokud se nedosáhne úplného rozpuštění. </w:t>
      </w:r>
    </w:p>
    <w:p w14:paraId="7E9A301C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349269" w14:textId="159E4661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Podání medikované pitné vody by se mělo opakovat každých 12 hodin.</w:t>
      </w:r>
    </w:p>
    <w:p w14:paraId="07E1CA3F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188F5A" w14:textId="73FEA132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Nepodávejte </w:t>
      </w:r>
      <w:bookmarkStart w:id="4" w:name="_Hlk174369659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bookmarkEnd w:id="4"/>
      <w:r w:rsidRPr="007D7F90">
        <w:rPr>
          <w:rFonts w:ascii="Times New Roman" w:eastAsia="Times New Roman" w:hAnsi="Times New Roman" w:cs="Times New Roman"/>
          <w:kern w:val="0"/>
          <w14:ligatures w14:val="none"/>
        </w:rPr>
        <w:t>přípravek pomocí dávkovací pumpy (</w:t>
      </w:r>
      <w:r w:rsidR="00AE195C">
        <w:rPr>
          <w:rFonts w:ascii="Times New Roman" w:eastAsia="Times New Roman" w:hAnsi="Times New Roman" w:cs="Times New Roman"/>
          <w:kern w:val="0"/>
          <w14:ligatures w14:val="none"/>
        </w:rPr>
        <w:t xml:space="preserve">proporcionálního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dávkovače).</w:t>
      </w:r>
    </w:p>
    <w:p w14:paraId="55405FF0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Nepoužívejte současně vodní acidifikátor.</w:t>
      </w:r>
    </w:p>
    <w:p w14:paraId="21AD57ED" w14:textId="296C2985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Nepoužívejte veterinární léčivý přípravek v systémech </w:t>
      </w:r>
      <w:r w:rsidR="00AE195C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rozvodu vody </w:t>
      </w:r>
      <w:r w:rsidRPr="007D7F90">
        <w:rPr>
          <w:rFonts w:ascii="Times New Roman" w:eastAsia="Times New Roman" w:hAnsi="Times New Roman" w:cs="Times New Roman"/>
          <w:noProof/>
          <w:kern w:val="0"/>
          <w14:ligatures w14:val="none"/>
        </w:rPr>
        <w:t>obsahujících kov.</w:t>
      </w:r>
    </w:p>
    <w:p w14:paraId="1212DB7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87B33A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97AA248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60B07899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D0F7A9E" w14:textId="35819F4B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Maso: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1 den</w:t>
      </w:r>
      <w:r w:rsidRPr="007D7F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5DFF4F7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BC55B0E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D43122F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711D76B4" w14:textId="77777777" w:rsidR="007D7F90" w:rsidRPr="007D7F90" w:rsidRDefault="007D7F90" w:rsidP="007D7F9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5FCB3C" w14:textId="77777777" w:rsidR="007D7F90" w:rsidRPr="007D7F90" w:rsidRDefault="007D7F90" w:rsidP="007D7F9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00046962" w14:textId="77777777" w:rsidR="007D7F90" w:rsidRPr="007D7F90" w:rsidRDefault="007D7F90" w:rsidP="007D7F9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4B8B00" w14:textId="77777777" w:rsidR="007D7F90" w:rsidRPr="007D7F90" w:rsidRDefault="007D7F90" w:rsidP="007D7F9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Uchovávejte při teplotě do 25 °C. </w:t>
      </w:r>
    </w:p>
    <w:p w14:paraId="212053E6" w14:textId="582FC890" w:rsidR="007D7F90" w:rsidRPr="007D7F90" w:rsidRDefault="007D7F90" w:rsidP="007D7F9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Uchovávejte v dobře uzavřeném obalu, aby byl </w:t>
      </w:r>
      <w:r w:rsidR="0049517B">
        <w:rPr>
          <w:rFonts w:ascii="Times New Roman" w:eastAsia="Times New Roman" w:hAnsi="Times New Roman" w:cs="Times New Roman"/>
          <w:kern w:val="0"/>
          <w14:ligatures w14:val="none"/>
        </w:rPr>
        <w:t xml:space="preserve">přípravek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 xml:space="preserve">chráněn před vlhkostí. </w:t>
      </w:r>
    </w:p>
    <w:p w14:paraId="703F582C" w14:textId="77777777" w:rsidR="007D7F90" w:rsidRPr="007D7F90" w:rsidRDefault="007D7F90" w:rsidP="007D7F90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Uchovávejte v suchu.</w:t>
      </w:r>
    </w:p>
    <w:p w14:paraId="492683F9" w14:textId="28DC4959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použitelnosti uvedené na obalu po Exp. Doba použitelnosti končí posledním dnem v uvedeném měsíci.</w:t>
      </w:r>
    </w:p>
    <w:p w14:paraId="65A1C830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A89C66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Doba použitelnosti po prvním otevření vnitřního obalu: 7 dnů.</w:t>
      </w:r>
    </w:p>
    <w:p w14:paraId="628C7B7C" w14:textId="5745BF89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Doba použitelnosti po rozpuštění podle návodu: 24 hodin.</w:t>
      </w:r>
    </w:p>
    <w:p w14:paraId="426A34BD" w14:textId="25F69494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93BBE4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FF5CD1" w14:textId="77777777" w:rsidR="007D7F90" w:rsidRPr="007D7F90" w:rsidRDefault="007D7F90" w:rsidP="009F0CB0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5698B283" w14:textId="77777777" w:rsidR="007D7F90" w:rsidRPr="007D7F90" w:rsidRDefault="007D7F90" w:rsidP="009F0CB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B12AD1" w14:textId="77777777" w:rsidR="007D7F90" w:rsidRPr="007D7F90" w:rsidRDefault="007D7F90" w:rsidP="009F0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30C46872" w14:textId="77777777" w:rsidR="007D7F90" w:rsidRPr="007D7F90" w:rsidRDefault="007D7F90" w:rsidP="009F0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E7B30E" w14:textId="77777777" w:rsidR="007D7F90" w:rsidRPr="007D7F90" w:rsidRDefault="007D7F90" w:rsidP="009F0C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8CD1187" w14:textId="77777777" w:rsidR="007D7F90" w:rsidRPr="007D7F90" w:rsidRDefault="007D7F90" w:rsidP="009F0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26422E" w14:textId="77777777" w:rsidR="007D7F90" w:rsidRPr="007D7F90" w:rsidRDefault="007D7F90" w:rsidP="009F0C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O možnostech likvidace nepotřebných léčivých přípravků se poraďte s vaším veterinárním lékařem nebo lékárníkem.</w:t>
      </w:r>
    </w:p>
    <w:p w14:paraId="1CC5CC42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6B39C908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22E21592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lastRenderedPageBreak/>
        <w:t>13.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5662379D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A29A74" w14:textId="77777777" w:rsidR="007D7F90" w:rsidRPr="007D7F90" w:rsidRDefault="007D7F90" w:rsidP="002A281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Veterinární léčivý přípravek je vydáván pouze na předpis.</w:t>
      </w:r>
    </w:p>
    <w:p w14:paraId="680C2CDB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21A9CC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7BC197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5ABE867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393714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>96/035/13-C</w:t>
      </w:r>
    </w:p>
    <w:p w14:paraId="6002EEC7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8F3370" w14:textId="77777777" w:rsidR="007D7F90" w:rsidRPr="007D7F90" w:rsidRDefault="007D7F90" w:rsidP="002A281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Velikost balení </w:t>
      </w:r>
      <w:smartTag w:uri="urn:schemas-microsoft-com:office:smarttags" w:element="metricconverter">
        <w:smartTagPr>
          <w:attr w:name="ProductID" w:val="500 g"/>
        </w:smartTagPr>
        <w:r w:rsidRPr="007D7F90">
          <w:rPr>
            <w:rFonts w:ascii="Times New Roman" w:eastAsia="Calibri" w:hAnsi="Times New Roman" w:cs="Times New Roman"/>
            <w:kern w:val="0"/>
            <w14:ligatures w14:val="none"/>
          </w:rPr>
          <w:t>500 g</w:t>
        </w:r>
      </w:smartTag>
      <w:r w:rsidRPr="007D7F90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6FB5462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10064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88B50C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75967A74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988E4" w14:textId="28129559" w:rsidR="007D7F90" w:rsidRPr="007D7F90" w:rsidRDefault="00AA63A6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Duben 2025</w:t>
      </w:r>
    </w:p>
    <w:p w14:paraId="65657B93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42B410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7D7F90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2" w:history="1">
        <w:r w:rsidRPr="007D7F9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7D7F90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7026E60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514B4B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Podrobné informace o tomto veterinárním léčivém přípravku naleznete také v národní databázi (</w:t>
      </w:r>
      <w:hyperlink r:id="rId13" w:history="1">
        <w:r w:rsidRPr="007D7F90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14:ligatures w14:val="none"/>
          </w:rPr>
          <w:t>https://www.uskvbl.cz</w:t>
        </w:r>
      </w:hyperlink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). </w:t>
      </w:r>
    </w:p>
    <w:p w14:paraId="50C24959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84B1A6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A010BD" w14:textId="77777777" w:rsidR="007D7F90" w:rsidRPr="007D7F90" w:rsidRDefault="007D7F90" w:rsidP="007D7F9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D7F9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7D7F9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08AED790" w14:textId="77777777" w:rsidR="007D7F90" w:rsidRPr="007D7F90" w:rsidRDefault="007D7F90" w:rsidP="007D7F9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906BEE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</w:pPr>
      <w:bookmarkStart w:id="5" w:name="_Hlk73552578"/>
      <w:r w:rsidRPr="007D7F90">
        <w:rPr>
          <w:rFonts w:ascii="Times New Roman" w:eastAsia="Times New Roman" w:hAnsi="Times New Roman" w:cs="Times New Roman"/>
          <w:iCs/>
          <w:kern w:val="0"/>
          <w:szCs w:val="20"/>
          <w:u w:val="single"/>
          <w14:ligatures w14:val="none"/>
        </w:rPr>
        <w:t>Držitel rozhodnutí o registraci a kontaktní údaje pro hlášení podezření na nežádoucí účinky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5"/>
    <w:p w14:paraId="5D896147" w14:textId="77777777" w:rsidR="007D7F90" w:rsidRPr="007D7F90" w:rsidRDefault="007D7F90" w:rsidP="007D7F90">
      <w:pPr>
        <w:tabs>
          <w:tab w:val="left" w:pos="567"/>
        </w:tabs>
        <w:spacing w:after="0" w:line="260" w:lineRule="exact"/>
        <w:ind w:right="-318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  <w:t xml:space="preserve">Elanco GmbH, Heinz-Lohmann-Str. 4, 27472 </w:t>
      </w:r>
      <w:proofErr w:type="spellStart"/>
      <w:r w:rsidRPr="007D7F90"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  <w:t>Cuxhaven</w:t>
      </w:r>
      <w:proofErr w:type="spellEnd"/>
      <w:r w:rsidRPr="007D7F90"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  <w:t xml:space="preserve">, </w:t>
      </w:r>
      <w:r w:rsidRPr="007D7F90">
        <w:rPr>
          <w:rFonts w:ascii="Times New Roman" w:eastAsia="Times New Roman" w:hAnsi="Times New Roman" w:cs="Times New Roman"/>
          <w:kern w:val="0"/>
          <w:szCs w:val="20"/>
          <w:lang w:val="sl-SI"/>
          <w14:ligatures w14:val="none"/>
        </w:rPr>
        <w:t>Německo</w:t>
      </w:r>
    </w:p>
    <w:p w14:paraId="7A65B622" w14:textId="77777777" w:rsidR="007D7F90" w:rsidRPr="007D7F90" w:rsidRDefault="007D7F90" w:rsidP="007D7F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B093249" w14:textId="77777777" w:rsidR="007D7F90" w:rsidRPr="007D7F90" w:rsidRDefault="00F07D4A" w:rsidP="007D7F90">
      <w:pPr>
        <w:tabs>
          <w:tab w:val="left" w:pos="567"/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  <w:lang w:eastAsia="fr-FR"/>
          <w14:ligatures w14:val="none"/>
        </w:rPr>
      </w:pPr>
      <w:hyperlink r:id="rId14" w:history="1">
        <w:r w:rsidR="007D7F90" w:rsidRPr="007D7F90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:lang w:eastAsia="fr-FR"/>
            <w14:ligatures w14:val="none"/>
          </w:rPr>
          <w:t>PV.CZE@elancoah.com</w:t>
        </w:r>
      </w:hyperlink>
    </w:p>
    <w:p w14:paraId="1ADADEC8" w14:textId="77777777" w:rsidR="007D7F90" w:rsidRPr="007D7F90" w:rsidRDefault="007D7F90" w:rsidP="007D7F90">
      <w:pPr>
        <w:tabs>
          <w:tab w:val="left" w:pos="567"/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  <w:lang w:eastAsia="fr-FR"/>
          <w14:ligatures w14:val="none"/>
        </w:rPr>
      </w:pPr>
      <w:r w:rsidRPr="007D7F90">
        <w:rPr>
          <w:rFonts w:ascii="Times New Roman" w:eastAsia="Times New Roman" w:hAnsi="Times New Roman" w:cs="Times New Roman"/>
          <w:color w:val="000000"/>
          <w:kern w:val="0"/>
          <w:szCs w:val="20"/>
          <w:lang w:eastAsia="fr-FR"/>
          <w14:ligatures w14:val="none"/>
        </w:rPr>
        <w:t>+420228880231</w:t>
      </w:r>
    </w:p>
    <w:p w14:paraId="59A16457" w14:textId="77777777" w:rsidR="007D7F90" w:rsidRPr="007D7F90" w:rsidRDefault="007D7F90" w:rsidP="007D7F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F933499" w14:textId="77777777" w:rsidR="007D7F90" w:rsidRPr="007D7F90" w:rsidRDefault="007D7F90" w:rsidP="007D7F9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kern w:val="0"/>
          <w:szCs w:val="20"/>
          <w14:ligatures w14:val="none"/>
        </w:rPr>
      </w:pPr>
      <w:r w:rsidRPr="007D7F90">
        <w:rPr>
          <w:rFonts w:ascii="Times New Roman" w:eastAsia="Times New Roman" w:hAnsi="Times New Roman" w:cs="Times New Roman"/>
          <w:bCs/>
          <w:kern w:val="0"/>
          <w:szCs w:val="20"/>
          <w:u w:val="single"/>
          <w14:ligatures w14:val="none"/>
        </w:rPr>
        <w:t>Výrobce odpovědný za uvolnění šarže</w:t>
      </w:r>
      <w:r w:rsidRPr="007D7F90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D55A6FF" w14:textId="20F2981B" w:rsidR="007D7F90" w:rsidRPr="007D7F90" w:rsidRDefault="007D7F90" w:rsidP="007D7F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  <w:proofErr w:type="spellStart"/>
      <w:r w:rsidRPr="007D7F90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>Lek</w:t>
      </w:r>
      <w:proofErr w:type="spellEnd"/>
      <w:r w:rsidRPr="007D7F90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 xml:space="preserve"> </w:t>
      </w:r>
      <w:proofErr w:type="spellStart"/>
      <w:r w:rsidRPr="007D7F90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>Pharmaceuticals</w:t>
      </w:r>
      <w:proofErr w:type="spellEnd"/>
      <w:r w:rsidRPr="007D7F90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 xml:space="preserve"> d. d., </w:t>
      </w:r>
      <w:proofErr w:type="spellStart"/>
      <w:r w:rsidR="001C04A7" w:rsidRPr="001C04A7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>Penicillin</w:t>
      </w:r>
      <w:proofErr w:type="spellEnd"/>
      <w:r w:rsidR="001C04A7" w:rsidRPr="001C04A7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 xml:space="preserve"> </w:t>
      </w:r>
      <w:proofErr w:type="spellStart"/>
      <w:r w:rsidR="001C04A7" w:rsidRPr="001C04A7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>Production</w:t>
      </w:r>
      <w:proofErr w:type="spellEnd"/>
      <w:r w:rsidR="001C04A7" w:rsidRPr="001C04A7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 xml:space="preserve"> Plant, </w:t>
      </w:r>
      <w:proofErr w:type="spellStart"/>
      <w:r w:rsidRPr="007D7F90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>Perzonali</w:t>
      </w:r>
      <w:proofErr w:type="spellEnd"/>
      <w:r w:rsidRPr="007D7F90"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  <w:t xml:space="preserve"> 47, 2391 Prevalje, Slovinsko</w:t>
      </w:r>
    </w:p>
    <w:p w14:paraId="5570C72D" w14:textId="5583752C" w:rsidR="00B8739A" w:rsidRDefault="00B8739A"/>
    <w:sectPr w:rsidR="00B87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59E1" w14:textId="77777777" w:rsidR="00F07D4A" w:rsidRDefault="00F07D4A" w:rsidP="002B1B48">
      <w:pPr>
        <w:spacing w:after="0" w:line="240" w:lineRule="auto"/>
      </w:pPr>
      <w:r>
        <w:separator/>
      </w:r>
    </w:p>
  </w:endnote>
  <w:endnote w:type="continuationSeparator" w:id="0">
    <w:p w14:paraId="59841761" w14:textId="77777777" w:rsidR="00F07D4A" w:rsidRDefault="00F07D4A" w:rsidP="002B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87762" w14:textId="77777777" w:rsidR="00F07D4A" w:rsidRDefault="00F07D4A" w:rsidP="002B1B48">
      <w:pPr>
        <w:spacing w:after="0" w:line="240" w:lineRule="auto"/>
      </w:pPr>
      <w:r>
        <w:separator/>
      </w:r>
    </w:p>
  </w:footnote>
  <w:footnote w:type="continuationSeparator" w:id="0">
    <w:p w14:paraId="6C14F4B8" w14:textId="77777777" w:rsidR="00F07D4A" w:rsidRDefault="00F07D4A" w:rsidP="002B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658"/>
    <w:multiLevelType w:val="hybridMultilevel"/>
    <w:tmpl w:val="4210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7EB1"/>
    <w:multiLevelType w:val="multilevel"/>
    <w:tmpl w:val="2728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90"/>
    <w:rsid w:val="00014401"/>
    <w:rsid w:val="00030142"/>
    <w:rsid w:val="00031BDB"/>
    <w:rsid w:val="000C5961"/>
    <w:rsid w:val="001227F7"/>
    <w:rsid w:val="0013703A"/>
    <w:rsid w:val="001C04A7"/>
    <w:rsid w:val="001C30C1"/>
    <w:rsid w:val="002212D9"/>
    <w:rsid w:val="00230D03"/>
    <w:rsid w:val="00280E78"/>
    <w:rsid w:val="00287B00"/>
    <w:rsid w:val="002A2810"/>
    <w:rsid w:val="002B1B48"/>
    <w:rsid w:val="003218C8"/>
    <w:rsid w:val="00386130"/>
    <w:rsid w:val="003F1EF1"/>
    <w:rsid w:val="0040349B"/>
    <w:rsid w:val="00415D6B"/>
    <w:rsid w:val="00437141"/>
    <w:rsid w:val="00472DA2"/>
    <w:rsid w:val="0049517B"/>
    <w:rsid w:val="004B1CD4"/>
    <w:rsid w:val="004C664E"/>
    <w:rsid w:val="005174C4"/>
    <w:rsid w:val="00521766"/>
    <w:rsid w:val="0056428F"/>
    <w:rsid w:val="005A059E"/>
    <w:rsid w:val="005F2391"/>
    <w:rsid w:val="00625B70"/>
    <w:rsid w:val="006754E4"/>
    <w:rsid w:val="00695939"/>
    <w:rsid w:val="00695FAD"/>
    <w:rsid w:val="006A627F"/>
    <w:rsid w:val="006B7BDC"/>
    <w:rsid w:val="007378BF"/>
    <w:rsid w:val="007604C7"/>
    <w:rsid w:val="0076210C"/>
    <w:rsid w:val="00766A16"/>
    <w:rsid w:val="007A2A09"/>
    <w:rsid w:val="007D7F90"/>
    <w:rsid w:val="007E63E2"/>
    <w:rsid w:val="00811963"/>
    <w:rsid w:val="008E1196"/>
    <w:rsid w:val="008F7A62"/>
    <w:rsid w:val="00920143"/>
    <w:rsid w:val="00934764"/>
    <w:rsid w:val="00935DAF"/>
    <w:rsid w:val="00966266"/>
    <w:rsid w:val="009764BD"/>
    <w:rsid w:val="009A5776"/>
    <w:rsid w:val="009F0CB0"/>
    <w:rsid w:val="009F746D"/>
    <w:rsid w:val="00A81897"/>
    <w:rsid w:val="00AA63A6"/>
    <w:rsid w:val="00AB5AA5"/>
    <w:rsid w:val="00AE195C"/>
    <w:rsid w:val="00AE294F"/>
    <w:rsid w:val="00B8739A"/>
    <w:rsid w:val="00B87F6C"/>
    <w:rsid w:val="00BA617A"/>
    <w:rsid w:val="00BD165B"/>
    <w:rsid w:val="00BF57A9"/>
    <w:rsid w:val="00BF7226"/>
    <w:rsid w:val="00C74AFB"/>
    <w:rsid w:val="00CC09C9"/>
    <w:rsid w:val="00D54578"/>
    <w:rsid w:val="00D77E3D"/>
    <w:rsid w:val="00D94604"/>
    <w:rsid w:val="00DB291F"/>
    <w:rsid w:val="00DB40A8"/>
    <w:rsid w:val="00DF7638"/>
    <w:rsid w:val="00EA5855"/>
    <w:rsid w:val="00F07D4A"/>
    <w:rsid w:val="00F37D1D"/>
    <w:rsid w:val="00F4334A"/>
    <w:rsid w:val="00F92CB7"/>
    <w:rsid w:val="00FB78C7"/>
    <w:rsid w:val="00FD3287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201785"/>
  <w15:chartTrackingRefBased/>
  <w15:docId w15:val="{07B2619A-9950-473A-BFAF-74DF31B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7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7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7D7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7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7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F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F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7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7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7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7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7F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F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7F9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7D7F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B48"/>
  </w:style>
  <w:style w:type="paragraph" w:styleId="Zpat">
    <w:name w:val="footer"/>
    <w:basedOn w:val="Normln"/>
    <w:link w:val="ZpatChar"/>
    <w:uiPriority w:val="99"/>
    <w:unhideWhenUsed/>
    <w:rsid w:val="002B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V.CZE@elanco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E1A9E-114A-462C-9918-5EE53C2AB1AB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ABA38D27-6DF8-41C6-AD37-48F3E3A5A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44A52-24E1-4EBA-86B2-CAB2B3B5A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Nepejchalová Leona</cp:lastModifiedBy>
  <cp:revision>48</cp:revision>
  <cp:lastPrinted>2025-05-05T10:43:00Z</cp:lastPrinted>
  <dcterms:created xsi:type="dcterms:W3CDTF">2024-09-02T11:36:00Z</dcterms:created>
  <dcterms:modified xsi:type="dcterms:W3CDTF">2025-05-05T10:43:00Z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</Properties>
</file>