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940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B2A49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F61ED6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DC940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28B38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37D199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14B88E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9CEDD1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05259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07F97A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E8AE7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E78EC4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0E629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E86D2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9B0638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EE660B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1A562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67FD0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6377E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FB716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3AFEE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52708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2B418A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229331" w14:textId="55DFDEB2" w:rsidR="000F3A0B" w:rsidRPr="00C75973" w:rsidRDefault="00C75973" w:rsidP="00C75973">
      <w:pPr>
        <w:pStyle w:val="Style3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r w:rsidR="00EE0346" w:rsidRPr="00C75973">
        <w:rPr>
          <w:rFonts w:asciiTheme="majorBidi" w:hAnsiTheme="majorBidi" w:cstheme="majorBidi"/>
        </w:rPr>
        <w:t>PŘÍBALOVÁ INFORMACE</w:t>
      </w:r>
    </w:p>
    <w:p w14:paraId="03756E16" w14:textId="77777777" w:rsidR="000F3A0B" w:rsidRPr="00C75973" w:rsidRDefault="00EE0346" w:rsidP="00C75973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br w:type="page"/>
      </w:r>
      <w:r w:rsidRPr="00C75973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4B0CE6B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8FB9EB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8057FEA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1.</w:t>
      </w:r>
      <w:r w:rsidRPr="00C75973">
        <w:rPr>
          <w:rFonts w:asciiTheme="majorBidi" w:hAnsiTheme="majorBidi" w:cstheme="majorBidi"/>
        </w:rPr>
        <w:tab/>
        <w:t>Název veterinárního léčivého přípravku</w:t>
      </w:r>
    </w:p>
    <w:p w14:paraId="06092A4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A67EA4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Rimadyl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Palatable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20 mg tablety pro psy</w:t>
      </w:r>
    </w:p>
    <w:p w14:paraId="5B8E997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8A2651E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2.</w:t>
      </w:r>
      <w:r w:rsidRPr="00C75973">
        <w:rPr>
          <w:rFonts w:asciiTheme="majorBidi" w:hAnsiTheme="majorBidi" w:cstheme="majorBidi"/>
        </w:rPr>
        <w:tab/>
        <w:t>Složení</w:t>
      </w:r>
    </w:p>
    <w:p w14:paraId="590DDF2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437B2CB" w14:textId="50A2346C" w:rsidR="000F3A0B" w:rsidRPr="00C75973" w:rsidRDefault="00A65A1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Jedna tableta</w:t>
      </w:r>
      <w:r>
        <w:rPr>
          <w:rFonts w:asciiTheme="majorBidi" w:hAnsiTheme="majorBidi" w:cstheme="majorBidi"/>
          <w:szCs w:val="22"/>
        </w:rPr>
        <w:t xml:space="preserve"> </w:t>
      </w:r>
      <w:r w:rsidR="00EE0346" w:rsidRPr="00C75973">
        <w:rPr>
          <w:rFonts w:asciiTheme="majorBidi" w:hAnsiTheme="majorBidi" w:cstheme="majorBidi"/>
          <w:szCs w:val="22"/>
        </w:rPr>
        <w:t xml:space="preserve">obsahuje: </w:t>
      </w:r>
    </w:p>
    <w:p w14:paraId="67D2C95F" w14:textId="77777777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1C84211F" w14:textId="1F9F845A" w:rsidR="000F3A0B" w:rsidRDefault="00EE0346" w:rsidP="00C75973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C75973">
        <w:rPr>
          <w:rFonts w:asciiTheme="majorBidi" w:hAnsiTheme="majorBidi" w:cstheme="majorBidi"/>
          <w:b/>
          <w:szCs w:val="22"/>
        </w:rPr>
        <w:t>Léčivá látka:</w:t>
      </w:r>
    </w:p>
    <w:p w14:paraId="059AD0AC" w14:textId="77777777" w:rsidR="006349E0" w:rsidRPr="00C75973" w:rsidRDefault="006349E0" w:rsidP="00C75973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13F77369" w14:textId="0CDC7312" w:rsidR="000F3A0B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Carprofenum</w:t>
      </w:r>
      <w:proofErr w:type="spellEnd"/>
      <w:r w:rsidR="00E97181">
        <w:rPr>
          <w:rFonts w:asciiTheme="majorBidi" w:hAnsiTheme="majorBidi" w:cstheme="majorBidi"/>
          <w:szCs w:val="22"/>
        </w:rPr>
        <w:tab/>
      </w:r>
      <w:r w:rsidRPr="00C75973">
        <w:rPr>
          <w:rFonts w:asciiTheme="majorBidi" w:hAnsiTheme="majorBidi" w:cstheme="majorBidi"/>
          <w:szCs w:val="22"/>
        </w:rPr>
        <w:t xml:space="preserve">20 mg </w:t>
      </w:r>
    </w:p>
    <w:p w14:paraId="1D6AC18C" w14:textId="77777777" w:rsidR="007B3DDD" w:rsidRPr="00C75973" w:rsidRDefault="007B3DDD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1FBB8A44" w14:textId="77777777" w:rsidR="007B3DDD" w:rsidRPr="00F85F46" w:rsidRDefault="007B3DDD" w:rsidP="007B3DDD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5B4233F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D0A09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3.</w:t>
      </w:r>
      <w:r w:rsidRPr="00C75973">
        <w:rPr>
          <w:rFonts w:asciiTheme="majorBidi" w:hAnsiTheme="majorBidi" w:cstheme="majorBidi"/>
        </w:rPr>
        <w:tab/>
        <w:t>Cílové druhy zvířat</w:t>
      </w:r>
    </w:p>
    <w:p w14:paraId="7FAD7F1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DF29FEE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</w:p>
    <w:p w14:paraId="1074C63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E47402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4.</w:t>
      </w:r>
      <w:r w:rsidRPr="00C75973">
        <w:rPr>
          <w:rFonts w:asciiTheme="majorBidi" w:hAnsiTheme="majorBidi" w:cstheme="majorBidi"/>
        </w:rPr>
        <w:tab/>
        <w:t>Indikace pro použití</w:t>
      </w:r>
    </w:p>
    <w:p w14:paraId="594356A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74E07F" w14:textId="1F031D7A" w:rsidR="00352654" w:rsidRPr="00EC00B4" w:rsidRDefault="00EE0346" w:rsidP="0035265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Analgézie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a zmírnění zánětu při chronických </w:t>
      </w:r>
      <w:proofErr w:type="spellStart"/>
      <w:r w:rsidRPr="00C75973">
        <w:rPr>
          <w:rFonts w:asciiTheme="majorBidi" w:hAnsiTheme="majorBidi" w:cstheme="majorBidi"/>
          <w:szCs w:val="22"/>
        </w:rPr>
        <w:t>muskuloskeletárních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onemocněních, např. degenerační onemocnění kloubů. </w:t>
      </w:r>
      <w:r w:rsidR="00352654">
        <w:rPr>
          <w:rFonts w:asciiTheme="majorBidi" w:hAnsiTheme="majorBidi" w:cstheme="majorBidi"/>
          <w:szCs w:val="22"/>
        </w:rPr>
        <w:t>Veterinární léčivý přípravek</w:t>
      </w:r>
      <w:r w:rsidR="00352654" w:rsidRPr="00EC00B4">
        <w:rPr>
          <w:rFonts w:asciiTheme="majorBidi" w:hAnsiTheme="majorBidi" w:cstheme="majorBidi"/>
          <w:szCs w:val="22"/>
        </w:rPr>
        <w:t xml:space="preserve"> j</w:t>
      </w:r>
      <w:r w:rsidR="00352654">
        <w:rPr>
          <w:rFonts w:asciiTheme="majorBidi" w:hAnsiTheme="majorBidi" w:cstheme="majorBidi"/>
          <w:szCs w:val="22"/>
        </w:rPr>
        <w:t>e</w:t>
      </w:r>
      <w:r w:rsidR="00352654" w:rsidRPr="00EC00B4">
        <w:rPr>
          <w:rFonts w:asciiTheme="majorBidi" w:hAnsiTheme="majorBidi" w:cstheme="majorBidi"/>
          <w:szCs w:val="22"/>
        </w:rPr>
        <w:t xml:space="preserve"> též určen </w:t>
      </w:r>
      <w:r w:rsidR="00352654">
        <w:rPr>
          <w:rFonts w:asciiTheme="majorBidi" w:hAnsiTheme="majorBidi" w:cstheme="majorBidi"/>
          <w:szCs w:val="22"/>
        </w:rPr>
        <w:t>ke</w:t>
      </w:r>
      <w:r w:rsidR="00352654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p w14:paraId="7B406913" w14:textId="77777777" w:rsidR="000F3A0B" w:rsidRPr="00C75973" w:rsidRDefault="000F3A0B" w:rsidP="00352654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710BF88F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5.</w:t>
      </w:r>
      <w:r w:rsidRPr="00C75973">
        <w:rPr>
          <w:rFonts w:asciiTheme="majorBidi" w:hAnsiTheme="majorBidi" w:cstheme="majorBidi"/>
        </w:rPr>
        <w:tab/>
        <w:t>Kontraindikace</w:t>
      </w:r>
    </w:p>
    <w:p w14:paraId="734B6D1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1C0BF6" w14:textId="046AFFE0" w:rsidR="00352654" w:rsidRPr="00EC00B4" w:rsidRDefault="00EE0346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Čas eliminace nesteroidních antiflogistik včetně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je u koček delší než u psů a terapeutický index je užší. </w:t>
      </w:r>
      <w:r w:rsidR="00352654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352654">
        <w:rPr>
          <w:rFonts w:asciiTheme="majorBidi" w:hAnsiTheme="majorBidi" w:cstheme="majorBidi"/>
          <w:szCs w:val="22"/>
        </w:rPr>
        <w:t>tohoto veterinárního léčivého přípravku</w:t>
      </w:r>
      <w:r w:rsidR="00352654" w:rsidRPr="00EC00B4">
        <w:rPr>
          <w:rFonts w:asciiTheme="majorBidi" w:hAnsiTheme="majorBidi" w:cstheme="majorBidi"/>
          <w:szCs w:val="22"/>
        </w:rPr>
        <w:t xml:space="preserve"> u koček je </w:t>
      </w:r>
      <w:r w:rsidR="00352654">
        <w:rPr>
          <w:rFonts w:asciiTheme="majorBidi" w:hAnsiTheme="majorBidi" w:cstheme="majorBidi"/>
          <w:szCs w:val="22"/>
        </w:rPr>
        <w:t>jeho</w:t>
      </w:r>
      <w:r w:rsidR="00352654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352654">
        <w:rPr>
          <w:rFonts w:asciiTheme="majorBidi" w:hAnsiTheme="majorBidi" w:cstheme="majorBidi"/>
          <w:szCs w:val="22"/>
        </w:rPr>
        <w:t>áno</w:t>
      </w:r>
      <w:r w:rsidR="00352654" w:rsidRPr="00EC00B4">
        <w:rPr>
          <w:rFonts w:asciiTheme="majorBidi" w:hAnsiTheme="majorBidi" w:cstheme="majorBidi"/>
          <w:szCs w:val="22"/>
        </w:rPr>
        <w:t>.</w:t>
      </w:r>
    </w:p>
    <w:p w14:paraId="7503B53B" w14:textId="77777777" w:rsidR="00352654" w:rsidRPr="00EC00B4" w:rsidRDefault="00352654" w:rsidP="00352654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2A4C829C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p w14:paraId="3ACFA7E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155E1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6.</w:t>
      </w:r>
      <w:r w:rsidRPr="00C75973">
        <w:rPr>
          <w:rFonts w:asciiTheme="majorBidi" w:hAnsiTheme="majorBidi" w:cstheme="majorBidi"/>
        </w:rPr>
        <w:tab/>
        <w:t>Zvláštní upozornění</w:t>
      </w:r>
    </w:p>
    <w:p w14:paraId="5FC77B5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D36A10" w14:textId="0C46E115" w:rsidR="000F3A0B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C75973">
        <w:rPr>
          <w:rFonts w:asciiTheme="majorBidi" w:hAnsiTheme="majorBidi" w:cstheme="majorBidi"/>
          <w:bCs/>
          <w:szCs w:val="22"/>
          <w:u w:val="single"/>
        </w:rPr>
        <w:t>Zvláštní upozornění:</w:t>
      </w:r>
    </w:p>
    <w:p w14:paraId="2892F5A9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</w:t>
      </w:r>
      <w:r>
        <w:rPr>
          <w:rFonts w:asciiTheme="majorBidi" w:hAnsiTheme="majorBidi" w:cstheme="majorBidi"/>
          <w:szCs w:val="22"/>
        </w:rPr>
        <w:t>,</w:t>
      </w:r>
      <w:r w:rsidRPr="00EC00B4">
        <w:rPr>
          <w:rFonts w:asciiTheme="majorBidi" w:hAnsiTheme="majorBidi" w:cstheme="majorBidi"/>
          <w:szCs w:val="22"/>
        </w:rPr>
        <w:t xml:space="preserve"> než je doporučené, kontaktujte veterinárního lékaře.</w:t>
      </w:r>
    </w:p>
    <w:p w14:paraId="28E7288A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70B0F4C" w14:textId="77777777" w:rsidR="00352654" w:rsidRPr="0020560F" w:rsidRDefault="00352654" w:rsidP="00352654">
      <w:pPr>
        <w:tabs>
          <w:tab w:val="clear" w:pos="567"/>
        </w:tabs>
        <w:spacing w:line="240" w:lineRule="auto"/>
      </w:pPr>
      <w:r w:rsidRPr="0020560F">
        <w:rPr>
          <w:u w:val="single"/>
        </w:rPr>
        <w:t>Zvláštní opatření pro bezpečné použití u cílových druhů zvířat</w:t>
      </w:r>
      <w:r w:rsidRPr="0020560F">
        <w:t>:</w:t>
      </w:r>
    </w:p>
    <w:p w14:paraId="6916924B" w14:textId="77777777" w:rsidR="001F3783" w:rsidRPr="00C75973" w:rsidRDefault="001F3783" w:rsidP="001F378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Nepřekračovat doporučené dávky.</w:t>
      </w:r>
    </w:p>
    <w:p w14:paraId="5B933899" w14:textId="77777777" w:rsidR="00DC3617" w:rsidRPr="00EC00B4" w:rsidRDefault="00DC3617" w:rsidP="00DC361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p w14:paraId="65EC94E1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40186F81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047A73B2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p w14:paraId="5097FF7B" w14:textId="77777777" w:rsidR="00DC3617" w:rsidRPr="00EC00B4" w:rsidRDefault="00DC3617" w:rsidP="00DC3617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</w:t>
      </w:r>
      <w:r w:rsidRPr="00EC00B4">
        <w:rPr>
          <w:rFonts w:asciiTheme="majorBidi" w:hAnsiTheme="majorBidi" w:cstheme="majorBidi"/>
          <w:szCs w:val="22"/>
        </w:rPr>
        <w:t>:</w:t>
      </w:r>
    </w:p>
    <w:p w14:paraId="7230E680" w14:textId="77777777" w:rsidR="00DC3617" w:rsidRPr="00EC00B4" w:rsidRDefault="00DC3617" w:rsidP="00DC3617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AF2129" w14:textId="7EF58D43" w:rsidR="00DC3617" w:rsidRPr="00C75973" w:rsidRDefault="00DC3617" w:rsidP="0087398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p w14:paraId="1FFDAD58" w14:textId="2287C0E2" w:rsidR="007E727A" w:rsidRPr="00C75973" w:rsidRDefault="007E727A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8280924" w14:textId="77777777" w:rsidR="007E727A" w:rsidRPr="004203D4" w:rsidRDefault="007E727A" w:rsidP="007E727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5DB80FAD" w14:textId="77777777" w:rsidR="007E727A" w:rsidRPr="00C75973" w:rsidRDefault="007E727A" w:rsidP="007E727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276FF8F5" w14:textId="77777777" w:rsidR="00135E78" w:rsidRPr="00145347" w:rsidRDefault="00135E78" w:rsidP="00135E78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26D52343" w14:textId="77777777" w:rsidR="007E727A" w:rsidRDefault="007E727A" w:rsidP="007E727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ACA7338" w14:textId="7C280858" w:rsidR="007E727A" w:rsidRPr="004203D4" w:rsidRDefault="007E727A" w:rsidP="007E727A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23B31AFD" w14:textId="77777777" w:rsidR="007E727A" w:rsidRPr="00F85F46" w:rsidRDefault="007E727A" w:rsidP="007E727A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Neexistuje žádné specifické </w:t>
      </w:r>
      <w:proofErr w:type="spellStart"/>
      <w:r w:rsidRPr="00F85F46">
        <w:rPr>
          <w:rFonts w:asciiTheme="majorBidi" w:hAnsiTheme="majorBidi" w:cstheme="majorBidi"/>
          <w:szCs w:val="22"/>
        </w:rPr>
        <w:t>antidotum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při předávkování </w:t>
      </w:r>
      <w:proofErr w:type="spellStart"/>
      <w:r w:rsidRPr="00F85F46">
        <w:rPr>
          <w:rFonts w:asciiTheme="majorBidi" w:hAnsiTheme="majorBidi" w:cstheme="majorBidi"/>
          <w:szCs w:val="22"/>
        </w:rPr>
        <w:t>karprofenem</w:t>
      </w:r>
      <w:proofErr w:type="spellEnd"/>
      <w:r w:rsidRPr="00F85F46">
        <w:rPr>
          <w:rFonts w:asciiTheme="majorBidi" w:hAnsiTheme="majorBidi" w:cstheme="majorBidi"/>
          <w:szCs w:val="22"/>
        </w:rPr>
        <w:t>; postupuje se podle všeobecných zásad podpůrné terapie při předávkování NSAID.</w:t>
      </w:r>
    </w:p>
    <w:p w14:paraId="291F281D" w14:textId="77777777" w:rsidR="007E727A" w:rsidRPr="00085FAE" w:rsidRDefault="007E727A" w:rsidP="007E727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03378A" w14:textId="59166F73" w:rsidR="00352654" w:rsidRPr="00EC00B4" w:rsidRDefault="007E727A" w:rsidP="00352654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4203D4">
        <w:rPr>
          <w:szCs w:val="22"/>
          <w:u w:val="single"/>
        </w:rPr>
        <w:t xml:space="preserve">Interakce s jinými léčivými přípravky a další formy </w:t>
      </w:r>
      <w:proofErr w:type="spellStart"/>
      <w:r w:rsidRPr="004203D4">
        <w:rPr>
          <w:szCs w:val="22"/>
          <w:u w:val="single"/>
        </w:rPr>
        <w:t>interakce</w:t>
      </w:r>
      <w:r w:rsidRPr="004203D4">
        <w:t>:</w:t>
      </w:r>
      <w:r w:rsidR="00352654" w:rsidRPr="00EC00B4">
        <w:rPr>
          <w:rFonts w:asciiTheme="majorBidi" w:hAnsiTheme="majorBidi" w:cstheme="majorBidi"/>
          <w:szCs w:val="22"/>
        </w:rPr>
        <w:t>U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 w:rsidR="00352654">
        <w:rPr>
          <w:rFonts w:asciiTheme="majorBidi" w:hAnsiTheme="majorBidi" w:cstheme="majorBidi"/>
          <w:szCs w:val="22"/>
        </w:rPr>
        <w:t>ými látkami</w:t>
      </w:r>
      <w:r w:rsidR="00352654" w:rsidRPr="00EC00B4">
        <w:rPr>
          <w:rFonts w:asciiTheme="majorBidi" w:hAnsiTheme="majorBidi" w:cstheme="majorBidi"/>
          <w:szCs w:val="22"/>
        </w:rPr>
        <w:t xml:space="preserve"> významně ovlivněn</w:t>
      </w:r>
      <w:r w:rsidR="00352654">
        <w:rPr>
          <w:rFonts w:asciiTheme="majorBidi" w:hAnsiTheme="majorBidi" w:cstheme="majorBidi"/>
          <w:szCs w:val="22"/>
        </w:rPr>
        <w:t>a</w:t>
      </w:r>
      <w:r w:rsidR="00352654"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imipramin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meperidin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Karprofen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warfarin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 w:rsidR="00352654">
        <w:rPr>
          <w:rFonts w:asciiTheme="majorBidi" w:hAnsiTheme="majorBidi" w:cstheme="majorBidi"/>
          <w:szCs w:val="22"/>
        </w:rPr>
        <w:t>bílkovi</w:t>
      </w:r>
      <w:r w:rsidR="00352654" w:rsidRPr="00EC00B4">
        <w:rPr>
          <w:rFonts w:asciiTheme="majorBidi" w:hAnsiTheme="majorBidi" w:cstheme="majorBidi"/>
          <w:szCs w:val="22"/>
        </w:rPr>
        <w:t>ny. Mohou být použit</w:t>
      </w:r>
      <w:r w:rsidR="00352654">
        <w:rPr>
          <w:rFonts w:asciiTheme="majorBidi" w:hAnsiTheme="majorBidi" w:cstheme="majorBidi"/>
          <w:szCs w:val="22"/>
        </w:rPr>
        <w:t>y</w:t>
      </w:r>
      <w:r w:rsidR="00352654"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 w:rsidR="00352654">
        <w:rPr>
          <w:rFonts w:asciiTheme="majorBidi" w:hAnsiTheme="majorBidi" w:cstheme="majorBidi"/>
          <w:szCs w:val="22"/>
        </w:rPr>
        <w:t>pečlivě sledován</w:t>
      </w:r>
      <w:r w:rsidR="00352654" w:rsidRPr="00EC00B4">
        <w:rPr>
          <w:rFonts w:asciiTheme="majorBidi" w:hAnsiTheme="majorBidi" w:cstheme="majorBidi"/>
          <w:szCs w:val="22"/>
        </w:rPr>
        <w:t xml:space="preserve">, protože bylo </w:t>
      </w:r>
      <w:r w:rsidR="00352654">
        <w:rPr>
          <w:rFonts w:asciiTheme="majorBidi" w:hAnsiTheme="majorBidi" w:cstheme="majorBidi"/>
          <w:szCs w:val="22"/>
        </w:rPr>
        <w:t>pr</w:t>
      </w:r>
      <w:r w:rsidR="00352654"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p w14:paraId="7AC64372" w14:textId="2150AA94" w:rsidR="007E727A" w:rsidRPr="00B22FC6" w:rsidRDefault="00352654" w:rsidP="007E727A">
      <w:pPr>
        <w:ind w:left="709" w:hanging="709"/>
        <w:jc w:val="both"/>
        <w:rPr>
          <w:b/>
          <w:bCs/>
          <w:szCs w:val="22"/>
        </w:rPr>
      </w:pPr>
      <w:r w:rsidRPr="00F85F46" w:rsidDel="00352654">
        <w:rPr>
          <w:rFonts w:asciiTheme="majorBidi" w:hAnsiTheme="majorBidi" w:cstheme="majorBidi"/>
          <w:szCs w:val="22"/>
        </w:rPr>
        <w:t xml:space="preserve"> </w:t>
      </w:r>
    </w:p>
    <w:p w14:paraId="2316534B" w14:textId="77777777" w:rsidR="007E727A" w:rsidRPr="004203D4" w:rsidRDefault="007E727A" w:rsidP="007E727A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2A8626DC" w14:textId="5745A162" w:rsidR="007E727A" w:rsidRPr="00085FAE" w:rsidRDefault="007E727A" w:rsidP="007E727A">
      <w:pPr>
        <w:ind w:left="709" w:hanging="709"/>
        <w:jc w:val="both"/>
        <w:rPr>
          <w:szCs w:val="22"/>
        </w:rPr>
      </w:pPr>
      <w:r w:rsidRPr="004203D4">
        <w:t>Nejsou známy.</w:t>
      </w:r>
    </w:p>
    <w:p w14:paraId="5A06345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1250C2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7.</w:t>
      </w:r>
      <w:r w:rsidRPr="00C75973">
        <w:rPr>
          <w:rFonts w:asciiTheme="majorBidi" w:hAnsiTheme="majorBidi" w:cstheme="majorBidi"/>
        </w:rPr>
        <w:tab/>
        <w:t>Nežádoucí účinky</w:t>
      </w:r>
    </w:p>
    <w:p w14:paraId="48B0FEF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9311C92" w14:textId="2EACC2CA" w:rsidR="000F3A0B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  <w:r w:rsidR="003A5EFD">
        <w:rPr>
          <w:rFonts w:asciiTheme="majorBidi" w:hAnsiTheme="majorBidi" w:cstheme="majorBidi"/>
          <w:szCs w:val="22"/>
        </w:rPr>
        <w:t>:</w:t>
      </w:r>
    </w:p>
    <w:p w14:paraId="065EB46D" w14:textId="77777777" w:rsidR="003A5EFD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3A5EFD" w:rsidRPr="00B41D57" w14:paraId="533B2C23" w14:textId="77777777" w:rsidTr="00F607F2">
        <w:tc>
          <w:tcPr>
            <w:tcW w:w="2344" w:type="pct"/>
          </w:tcPr>
          <w:p w14:paraId="7A3C7251" w14:textId="77777777" w:rsidR="003A5EFD" w:rsidRPr="00B41D57" w:rsidRDefault="003A5EFD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7BFA7A85" w14:textId="77777777" w:rsidR="003A5EFD" w:rsidRPr="00B41D57" w:rsidRDefault="003A5EFD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352654" w:rsidRPr="00B41D57" w14:paraId="27FAFCD3" w14:textId="77777777" w:rsidTr="00F607F2">
        <w:tc>
          <w:tcPr>
            <w:tcW w:w="2344" w:type="pct"/>
          </w:tcPr>
          <w:p w14:paraId="2019233E" w14:textId="4AF3A286" w:rsidR="00352654" w:rsidRPr="00B41D57" w:rsidRDefault="00352654" w:rsidP="0035265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7E7CEEE6" w14:textId="77777777" w:rsidR="00352654" w:rsidRDefault="00352654" w:rsidP="003526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19E5EFB5" w14:textId="77777777" w:rsidR="00352654" w:rsidRDefault="00352654" w:rsidP="00352654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2E30FA31" w14:textId="189E5236" w:rsidR="00352654" w:rsidRPr="00B41D57" w:rsidRDefault="00352654" w:rsidP="003526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62C1E804" w14:textId="3CE8FD95" w:rsidR="003A5EFD" w:rsidRPr="000609EB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4F6674">
        <w:rPr>
          <w:rFonts w:asciiTheme="majorBidi" w:hAnsiTheme="majorBidi" w:cstheme="majorBidi"/>
          <w:szCs w:val="22"/>
        </w:rPr>
        <w:t>Hlášené jako i</w:t>
      </w:r>
      <w:r w:rsidR="004F6674" w:rsidRPr="000609EB">
        <w:rPr>
          <w:rFonts w:asciiTheme="majorBidi" w:hAnsiTheme="majorBidi" w:cstheme="majorBidi"/>
          <w:szCs w:val="22"/>
        </w:rPr>
        <w:t>diosynkratick</w:t>
      </w:r>
      <w:r w:rsidR="004F6674">
        <w:rPr>
          <w:rFonts w:asciiTheme="majorBidi" w:hAnsiTheme="majorBidi" w:cstheme="majorBidi"/>
          <w:szCs w:val="22"/>
        </w:rPr>
        <w:t>ý</w:t>
      </w:r>
      <w:r w:rsidR="004F6674" w:rsidRPr="000609EB">
        <w:rPr>
          <w:rFonts w:asciiTheme="majorBidi" w:hAnsiTheme="majorBidi" w:cstheme="majorBidi"/>
          <w:szCs w:val="22"/>
        </w:rPr>
        <w:t xml:space="preserve"> </w:t>
      </w:r>
      <w:r w:rsidR="004F6674">
        <w:rPr>
          <w:rFonts w:asciiTheme="majorBidi" w:hAnsiTheme="majorBidi" w:cstheme="majorBidi"/>
          <w:szCs w:val="22"/>
        </w:rPr>
        <w:t>nežádoucí účinek.</w:t>
      </w:r>
    </w:p>
    <w:p w14:paraId="43EED897" w14:textId="77777777" w:rsidR="003A5EFD" w:rsidRPr="000609EB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3CF7EB5A" w14:textId="375E6C05" w:rsidR="003A5EFD" w:rsidRPr="00C75973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EA2E9E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0051D486" w14:textId="77777777" w:rsidR="003A5EFD" w:rsidRPr="00F30757" w:rsidRDefault="003A5EFD" w:rsidP="00C75973">
      <w:pPr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34E98BC9" w14:textId="7A889F08" w:rsidR="00352654" w:rsidRDefault="00EE0346" w:rsidP="003848EC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03025">
        <w:rPr>
          <w:rFonts w:asciiTheme="majorBidi" w:hAnsiTheme="majorBidi" w:cstheme="majorBidi"/>
          <w:szCs w:val="22"/>
        </w:rPr>
        <w:t>i</w:t>
      </w:r>
      <w:r w:rsidRPr="00C75973">
        <w:rPr>
          <w:rFonts w:asciiTheme="majorBidi" w:hAnsiTheme="majorBidi" w:cstheme="majorBidi"/>
          <w:szCs w:val="22"/>
        </w:rPr>
        <w:t xml:space="preserve"> rozhodnutí o registraci s využitím kontaktních údajů uvedených na konci této příbalové informace nebo prostřednictvím národního systému hlášení nežádoucích účinků: </w:t>
      </w:r>
    </w:p>
    <w:p w14:paraId="06BAFA8B" w14:textId="501446B6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4E2A4CEF" w14:textId="77777777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 xml:space="preserve">Hudcova 232/56 a </w:t>
      </w:r>
    </w:p>
    <w:p w14:paraId="47D64DA2" w14:textId="77777777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036D0D68" w14:textId="77777777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>E-mail: adr@uskvbl.cz</w:t>
      </w:r>
    </w:p>
    <w:p w14:paraId="09A80230" w14:textId="77777777" w:rsidR="003848EC" w:rsidRPr="004F54BD" w:rsidRDefault="003848EC" w:rsidP="003848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5642D390" w14:textId="6649E71F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3AED966E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8.</w:t>
      </w:r>
      <w:r w:rsidRPr="00C75973">
        <w:rPr>
          <w:rFonts w:asciiTheme="majorBidi" w:hAnsiTheme="majorBidi" w:cstheme="majorBidi"/>
        </w:rPr>
        <w:tab/>
        <w:t>Dávkování pro každý druh, cesty a způsob podání</w:t>
      </w:r>
    </w:p>
    <w:p w14:paraId="47B0C91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3D3E469" w14:textId="77777777" w:rsidR="00352654" w:rsidRDefault="00EE0346" w:rsidP="00C75973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Perorální podání. </w:t>
      </w:r>
    </w:p>
    <w:p w14:paraId="641F23A3" w14:textId="7EA4656C" w:rsidR="000F3A0B" w:rsidRPr="00C75973" w:rsidRDefault="00EE0346" w:rsidP="00C75973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Rimadyl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Palatable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386FB99C" w14:textId="447D9A99" w:rsidR="000F3A0B" w:rsidRPr="00C75973" w:rsidRDefault="00EE0346" w:rsidP="00C75973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Počáteční denní dávka 2 až 4 mg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/ kg ž.hm. se může podat naráz nebo se může rozdělit na dvě stejné dávky. V závislosti na klinické odezvě může být po 7 dnech táto dávka redukovaná na 2 mg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/ kg ž.hm. / den, podaná v jediné denní dávce.</w:t>
      </w:r>
      <w:r w:rsidR="00DC3617"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3130664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17F12D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9.</w:t>
      </w:r>
      <w:r w:rsidRPr="00C75973">
        <w:rPr>
          <w:rFonts w:asciiTheme="majorBidi" w:hAnsiTheme="majorBidi" w:cstheme="majorBidi"/>
        </w:rPr>
        <w:tab/>
        <w:t>Informace o správném podávání</w:t>
      </w:r>
    </w:p>
    <w:p w14:paraId="1A8C3839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0559357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Žádné.</w:t>
      </w:r>
    </w:p>
    <w:p w14:paraId="728572E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496FAD1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10.</w:t>
      </w:r>
      <w:r w:rsidRPr="00C75973">
        <w:rPr>
          <w:rFonts w:asciiTheme="majorBidi" w:hAnsiTheme="majorBidi" w:cstheme="majorBidi"/>
        </w:rPr>
        <w:tab/>
        <w:t>Ochranné lhůty</w:t>
      </w:r>
    </w:p>
    <w:p w14:paraId="2F20DC3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6210265" w14:textId="2BDF8DF6" w:rsidR="00C767E8" w:rsidRPr="00C75973" w:rsidRDefault="00C767E8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601830B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164726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11.</w:t>
      </w:r>
      <w:r w:rsidRPr="00C75973">
        <w:rPr>
          <w:rFonts w:asciiTheme="majorBidi" w:hAnsiTheme="majorBidi" w:cstheme="majorBidi"/>
        </w:rPr>
        <w:tab/>
        <w:t>Zvláštní opatření pro uchovávání</w:t>
      </w:r>
    </w:p>
    <w:p w14:paraId="4585BD5F" w14:textId="77777777" w:rsidR="000F3A0B" w:rsidRPr="00C75973" w:rsidRDefault="000F3A0B" w:rsidP="00C7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6BECB31" w14:textId="77777777" w:rsidR="000F3A0B" w:rsidRPr="00C75973" w:rsidRDefault="00EE0346" w:rsidP="00C7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Uchovávejte mimo dohled a dosah dětí.</w:t>
      </w:r>
    </w:p>
    <w:p w14:paraId="3A799743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Uchovávejte při teplotě do 25 </w:t>
      </w:r>
      <w:r w:rsidRPr="00C75973">
        <w:rPr>
          <w:rFonts w:asciiTheme="majorBidi" w:hAnsiTheme="majorBidi" w:cstheme="majorBidi"/>
          <w:szCs w:val="22"/>
        </w:rPr>
        <w:sym w:font="Symbol" w:char="F0B0"/>
      </w:r>
      <w:r w:rsidRPr="00C75973">
        <w:rPr>
          <w:rFonts w:asciiTheme="majorBidi" w:hAnsiTheme="majorBidi" w:cstheme="majorBidi"/>
          <w:szCs w:val="22"/>
        </w:rPr>
        <w:t>C.</w:t>
      </w:r>
    </w:p>
    <w:p w14:paraId="65ACC865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Chraňte před světlem.</w:t>
      </w:r>
    </w:p>
    <w:p w14:paraId="3090A97A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Uchovávejte v suchu.</w:t>
      </w:r>
    </w:p>
    <w:p w14:paraId="38C27E8B" w14:textId="77777777" w:rsidR="000F3A0B" w:rsidRDefault="000F3A0B" w:rsidP="00C75973">
      <w:pPr>
        <w:spacing w:line="240" w:lineRule="auto"/>
        <w:ind w:right="-2"/>
        <w:rPr>
          <w:rFonts w:asciiTheme="majorBidi" w:hAnsiTheme="majorBidi" w:cstheme="majorBidi"/>
          <w:szCs w:val="22"/>
        </w:rPr>
      </w:pPr>
    </w:p>
    <w:p w14:paraId="6A675B4B" w14:textId="77777777" w:rsidR="00226A98" w:rsidRPr="00C75973" w:rsidRDefault="00226A98" w:rsidP="00226A9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59DD1826" w14:textId="77777777" w:rsidR="00200446" w:rsidRDefault="00EE0346" w:rsidP="00200446">
      <w:pPr>
        <w:spacing w:line="240" w:lineRule="auto"/>
        <w:rPr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Nepoužívejte </w:t>
      </w:r>
      <w:r w:rsidR="008E4230" w:rsidRPr="00C75973">
        <w:rPr>
          <w:rFonts w:asciiTheme="majorBidi" w:hAnsiTheme="majorBidi" w:cstheme="majorBidi"/>
          <w:szCs w:val="22"/>
        </w:rPr>
        <w:t xml:space="preserve">tento veterinární léčivý přípravek </w:t>
      </w:r>
      <w:r w:rsidRPr="00C75973">
        <w:rPr>
          <w:rFonts w:asciiTheme="majorBidi" w:hAnsiTheme="majorBidi" w:cstheme="majorBidi"/>
          <w:szCs w:val="22"/>
        </w:rPr>
        <w:t xml:space="preserve">po uplynutí doby použitelnosti uvedené na </w:t>
      </w:r>
      <w:r w:rsidR="00200446">
        <w:rPr>
          <w:szCs w:val="22"/>
        </w:rPr>
        <w:t>etiketě po Exp.</w:t>
      </w:r>
    </w:p>
    <w:p w14:paraId="4314E015" w14:textId="77777777" w:rsidR="000F3A0B" w:rsidRPr="00C75973" w:rsidRDefault="000F3A0B" w:rsidP="00F30757">
      <w:pPr>
        <w:spacing w:line="240" w:lineRule="auto"/>
        <w:ind w:right="-2"/>
        <w:rPr>
          <w:rFonts w:asciiTheme="majorBidi" w:hAnsiTheme="majorBidi" w:cstheme="majorBidi"/>
          <w:szCs w:val="22"/>
        </w:rPr>
      </w:pPr>
    </w:p>
    <w:p w14:paraId="12E566BD" w14:textId="77777777" w:rsidR="000F3A0B" w:rsidRPr="00C75973" w:rsidRDefault="00EE0346" w:rsidP="0028295D">
      <w:pPr>
        <w:pStyle w:val="Style1"/>
        <w:keepNext/>
        <w:jc w:val="both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12.</w:t>
      </w:r>
      <w:r w:rsidRPr="00C75973">
        <w:rPr>
          <w:rFonts w:asciiTheme="majorBidi" w:hAnsiTheme="majorBidi" w:cstheme="majorBidi"/>
        </w:rPr>
        <w:tab/>
        <w:t>Zvláštní opatření pro likvidaci</w:t>
      </w:r>
    </w:p>
    <w:p w14:paraId="05A323BA" w14:textId="77777777" w:rsidR="000F3A0B" w:rsidRPr="00C75973" w:rsidRDefault="000F3A0B" w:rsidP="0028295D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E9E397C" w14:textId="71C9A93C" w:rsidR="000F3A0B" w:rsidRDefault="00EE0346" w:rsidP="0028295D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67CD9BC9" w14:textId="77777777" w:rsidR="0028295D" w:rsidRPr="00C75973" w:rsidRDefault="0028295D" w:rsidP="0028295D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4F22276" w14:textId="55DE689A" w:rsidR="000F3A0B" w:rsidRDefault="00EE0346" w:rsidP="0028295D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05FBC14" w14:textId="77777777" w:rsidR="0028295D" w:rsidRPr="00C75973" w:rsidRDefault="0028295D" w:rsidP="0028295D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CC42148" w14:textId="60ABBDB9" w:rsidR="000F3A0B" w:rsidRPr="00C75973" w:rsidRDefault="00EE0346" w:rsidP="0028295D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  <w:szCs w:val="22"/>
          <w:highlight w:val="lightGray"/>
        </w:rPr>
      </w:pPr>
      <w:r w:rsidRPr="00C75973">
        <w:rPr>
          <w:rFonts w:asciiTheme="majorBidi" w:hAnsiTheme="majorBidi" w:cstheme="majorBidi"/>
          <w:szCs w:val="22"/>
        </w:rPr>
        <w:t>O možnostech likvidace nepotřebných léčivých přípravků se poraďte s vaším veterinárním lékařem nebo</w:t>
      </w:r>
      <w:r w:rsidR="00D63BA1"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>lékárníkem.</w:t>
      </w:r>
    </w:p>
    <w:p w14:paraId="1B3DAC6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280B14A7" w14:textId="77777777" w:rsidR="000F3A0B" w:rsidRPr="00C75973" w:rsidRDefault="00EE0346" w:rsidP="00C75973">
      <w:pPr>
        <w:pStyle w:val="Style1"/>
        <w:keepNext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13.</w:t>
      </w:r>
      <w:r w:rsidRPr="00C75973">
        <w:rPr>
          <w:rFonts w:asciiTheme="majorBidi" w:hAnsiTheme="majorBidi" w:cstheme="majorBidi"/>
        </w:rPr>
        <w:tab/>
        <w:t>Klasifikace veterinárních léčivých přípravků</w:t>
      </w:r>
    </w:p>
    <w:p w14:paraId="4C24177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A53767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00AEFED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7408A0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14.</w:t>
      </w:r>
      <w:r w:rsidRPr="00C75973">
        <w:rPr>
          <w:rFonts w:asciiTheme="majorBidi" w:hAnsiTheme="majorBidi" w:cstheme="majorBidi"/>
        </w:rPr>
        <w:tab/>
        <w:t>Registrační čísla a velikosti balení</w:t>
      </w:r>
    </w:p>
    <w:p w14:paraId="027BBFA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73A987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C75973">
        <w:rPr>
          <w:rFonts w:asciiTheme="majorBidi" w:hAnsiTheme="majorBidi" w:cstheme="majorBidi"/>
          <w:caps/>
          <w:szCs w:val="22"/>
        </w:rPr>
        <w:t>96/024/03-C</w:t>
      </w:r>
    </w:p>
    <w:p w14:paraId="503B8DA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30C4C0" w14:textId="77777777" w:rsidR="000F3A0B" w:rsidRPr="00C75973" w:rsidRDefault="00EE0346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C75973">
          <w:rPr>
            <w:rFonts w:asciiTheme="majorBidi" w:hAnsiTheme="majorBidi" w:cstheme="majorBidi"/>
            <w:szCs w:val="22"/>
          </w:rPr>
          <w:t>100 a</w:t>
        </w:r>
      </w:smartTag>
      <w:r w:rsidRPr="00C75973">
        <w:rPr>
          <w:rFonts w:asciiTheme="majorBidi" w:hAnsiTheme="majorBidi" w:cstheme="majorBidi"/>
          <w:szCs w:val="22"/>
        </w:rPr>
        <w:t xml:space="preserve"> 180 tablet</w:t>
      </w:r>
    </w:p>
    <w:p w14:paraId="10F8DEFB" w14:textId="77777777" w:rsidR="000F3A0B" w:rsidRPr="00C75973" w:rsidRDefault="000F3A0B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368F05DF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Na trhu nemusí být všechny velikosti balení.</w:t>
      </w:r>
    </w:p>
    <w:p w14:paraId="7F1BF45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E7AAE0F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15.</w:t>
      </w:r>
      <w:r w:rsidRPr="00C75973">
        <w:rPr>
          <w:rFonts w:asciiTheme="majorBidi" w:hAnsiTheme="majorBidi" w:cstheme="majorBidi"/>
        </w:rPr>
        <w:tab/>
        <w:t>Datum poslední revize příbalové informace</w:t>
      </w:r>
    </w:p>
    <w:p w14:paraId="737475A6" w14:textId="77777777" w:rsidR="000F3A0B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5A90891" w14:textId="7832F5A0" w:rsidR="001E7484" w:rsidRPr="00B22FC6" w:rsidRDefault="003D498B" w:rsidP="001E7484">
      <w:pPr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A57A16">
        <w:rPr>
          <w:szCs w:val="22"/>
        </w:rPr>
        <w:t>2</w:t>
      </w:r>
      <w:r>
        <w:rPr>
          <w:szCs w:val="22"/>
        </w:rPr>
        <w:t>/2025</w:t>
      </w:r>
    </w:p>
    <w:p w14:paraId="70BAAAD1" w14:textId="77777777" w:rsidR="001E7484" w:rsidRDefault="001E7484" w:rsidP="001E7484">
      <w:pPr>
        <w:tabs>
          <w:tab w:val="clear" w:pos="567"/>
        </w:tabs>
        <w:spacing w:line="240" w:lineRule="auto"/>
        <w:rPr>
          <w:szCs w:val="22"/>
        </w:rPr>
      </w:pPr>
    </w:p>
    <w:p w14:paraId="443815C7" w14:textId="77777777" w:rsidR="001E7484" w:rsidRDefault="001E7484" w:rsidP="001E7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Podrobné informace o tomto veterinárním léčivém přípravku jsou k dispozici v databázi přípravků Unie 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36A844E4" w14:textId="77777777" w:rsidR="001E7484" w:rsidRDefault="001E7484" w:rsidP="001E7484">
      <w:pPr>
        <w:tabs>
          <w:tab w:val="clear" w:pos="567"/>
        </w:tabs>
        <w:spacing w:line="240" w:lineRule="auto"/>
        <w:rPr>
          <w:szCs w:val="22"/>
        </w:rPr>
      </w:pPr>
    </w:p>
    <w:p w14:paraId="7067B13F" w14:textId="77777777" w:rsidR="001E7484" w:rsidRPr="004203D4" w:rsidRDefault="001E7484" w:rsidP="001E7484">
      <w:pPr>
        <w:ind w:right="-1"/>
        <w:jc w:val="both"/>
        <w:rPr>
          <w:szCs w:val="22"/>
        </w:rPr>
      </w:pPr>
      <w:r w:rsidRPr="004203D4">
        <w:rPr>
          <w:szCs w:val="22"/>
        </w:rPr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55D2596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BD17F2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16.</w:t>
      </w:r>
      <w:r w:rsidRPr="00C75973">
        <w:rPr>
          <w:rFonts w:asciiTheme="majorBidi" w:hAnsiTheme="majorBidi" w:cstheme="majorBidi"/>
        </w:rPr>
        <w:tab/>
        <w:t>Kontaktní údaje</w:t>
      </w:r>
    </w:p>
    <w:p w14:paraId="4E4C499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FB14722" w14:textId="17A2A0D0" w:rsidR="000F3A0B" w:rsidRPr="00C75973" w:rsidRDefault="00EE0346" w:rsidP="00C75973">
      <w:pPr>
        <w:spacing w:line="240" w:lineRule="auto"/>
        <w:rPr>
          <w:rFonts w:asciiTheme="majorBidi" w:hAnsiTheme="majorBidi" w:cstheme="majorBidi"/>
          <w:iCs/>
          <w:szCs w:val="22"/>
        </w:rPr>
      </w:pPr>
      <w:r w:rsidRPr="00C75973">
        <w:rPr>
          <w:rFonts w:asciiTheme="majorBidi" w:hAnsiTheme="majorBidi" w:cstheme="majorBidi"/>
          <w:iCs/>
          <w:szCs w:val="22"/>
          <w:u w:val="single"/>
        </w:rPr>
        <w:t>Držitel rozhodnutí o registraci</w:t>
      </w:r>
      <w:r w:rsidR="002D6583" w:rsidRPr="002D6583">
        <w:rPr>
          <w:iCs/>
          <w:szCs w:val="22"/>
          <w:u w:val="single"/>
        </w:rPr>
        <w:t xml:space="preserve"> </w:t>
      </w:r>
      <w:r w:rsidR="002D6583" w:rsidRPr="00B41D57">
        <w:rPr>
          <w:iCs/>
          <w:szCs w:val="22"/>
          <w:u w:val="single"/>
        </w:rPr>
        <w:t>a kontaktní údaje pro hlášení podezření na nežádoucí účinky</w:t>
      </w:r>
      <w:r w:rsidR="002D6583">
        <w:rPr>
          <w:iCs/>
          <w:szCs w:val="22"/>
          <w:u w:val="single"/>
        </w:rPr>
        <w:t>:</w:t>
      </w:r>
      <w:r w:rsidRPr="00C75973">
        <w:rPr>
          <w:rFonts w:asciiTheme="majorBidi" w:hAnsiTheme="majorBidi" w:cstheme="majorBidi"/>
          <w:iCs/>
          <w:szCs w:val="22"/>
        </w:rPr>
        <w:t xml:space="preserve"> </w:t>
      </w:r>
    </w:p>
    <w:p w14:paraId="794EB9A4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Zoetis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Česká republika, s.r.o.</w:t>
      </w:r>
    </w:p>
    <w:p w14:paraId="550EFA82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náměstí 14. října 642/17</w:t>
      </w:r>
    </w:p>
    <w:p w14:paraId="17DEBA55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150 00 Praha 5</w:t>
      </w:r>
    </w:p>
    <w:p w14:paraId="2F02C330" w14:textId="59B1D548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Česká republika </w:t>
      </w:r>
    </w:p>
    <w:p w14:paraId="284FE82F" w14:textId="6CA12A7D" w:rsidR="00E97181" w:rsidRPr="00C75973" w:rsidRDefault="00E97181" w:rsidP="00E97181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Tel: +420 257 101 111</w:t>
      </w:r>
    </w:p>
    <w:p w14:paraId="1806C821" w14:textId="77777777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57385C99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bCs/>
          <w:szCs w:val="22"/>
          <w:u w:val="single"/>
        </w:rPr>
        <w:t>Výrobce odpovědný za uvolnění šarže</w:t>
      </w:r>
      <w:r w:rsidRPr="00C75973">
        <w:rPr>
          <w:rFonts w:asciiTheme="majorBidi" w:hAnsiTheme="majorBidi" w:cstheme="majorBidi"/>
          <w:szCs w:val="22"/>
        </w:rPr>
        <w:t xml:space="preserve">: </w:t>
      </w:r>
    </w:p>
    <w:p w14:paraId="3F5CA2BB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Zoetis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Belgium</w:t>
      </w:r>
      <w:proofErr w:type="spellEnd"/>
    </w:p>
    <w:p w14:paraId="09545F29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Rue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Laid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Burniat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1</w:t>
      </w:r>
    </w:p>
    <w:p w14:paraId="1DE0E4EE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B-1348 </w:t>
      </w:r>
      <w:proofErr w:type="spellStart"/>
      <w:r w:rsidRPr="00C75973">
        <w:rPr>
          <w:rFonts w:asciiTheme="majorBidi" w:hAnsiTheme="majorBidi" w:cstheme="majorBidi"/>
          <w:szCs w:val="22"/>
        </w:rPr>
        <w:t>Louvain</w:t>
      </w:r>
      <w:proofErr w:type="spellEnd"/>
      <w:r w:rsidRPr="00C75973">
        <w:rPr>
          <w:rFonts w:asciiTheme="majorBidi" w:hAnsiTheme="majorBidi" w:cstheme="majorBidi"/>
          <w:szCs w:val="22"/>
        </w:rPr>
        <w:t>-</w:t>
      </w:r>
      <w:r w:rsidR="00E97181">
        <w:rPr>
          <w:rFonts w:asciiTheme="majorBidi" w:hAnsiTheme="majorBidi" w:cstheme="majorBidi"/>
          <w:szCs w:val="22"/>
        </w:rPr>
        <w:t>L</w:t>
      </w:r>
      <w:r w:rsidRPr="00C75973">
        <w:rPr>
          <w:rFonts w:asciiTheme="majorBidi" w:hAnsiTheme="majorBidi" w:cstheme="majorBidi"/>
          <w:szCs w:val="22"/>
        </w:rPr>
        <w:t>a-</w:t>
      </w:r>
      <w:proofErr w:type="spellStart"/>
      <w:r w:rsidRPr="00C75973">
        <w:rPr>
          <w:rFonts w:asciiTheme="majorBidi" w:hAnsiTheme="majorBidi" w:cstheme="majorBidi"/>
          <w:szCs w:val="22"/>
        </w:rPr>
        <w:t>Neuve</w:t>
      </w:r>
      <w:proofErr w:type="spellEnd"/>
    </w:p>
    <w:p w14:paraId="284545C8" w14:textId="1BEFB489" w:rsidR="000F3A0B" w:rsidRPr="00C75973" w:rsidRDefault="00EE0346" w:rsidP="00C75973">
      <w:pPr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C75973">
        <w:rPr>
          <w:rFonts w:asciiTheme="majorBidi" w:hAnsiTheme="majorBidi" w:cstheme="majorBidi"/>
          <w:szCs w:val="22"/>
        </w:rPr>
        <w:t>Belgie</w:t>
      </w:r>
    </w:p>
    <w:p w14:paraId="0E17FFE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C05E63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17.</w:t>
      </w:r>
      <w:r w:rsidRPr="00C75973">
        <w:rPr>
          <w:rFonts w:asciiTheme="majorBidi" w:hAnsiTheme="majorBidi" w:cstheme="majorBidi"/>
        </w:rPr>
        <w:tab/>
        <w:t>Další informace</w:t>
      </w:r>
    </w:p>
    <w:p w14:paraId="73F1DB4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8AD91B4" w14:textId="77777777" w:rsidR="000F3A0B" w:rsidRPr="00C75973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Karprofen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neprokázal žádný nežádoucí vliv na kloubní chrupavku psů po opakované léčebné dávce během 8 týdnů. Navíc, terapeutické koncentrace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ukázaly </w:t>
      </w:r>
      <w:r w:rsidRPr="00C75973">
        <w:rPr>
          <w:rFonts w:asciiTheme="majorBidi" w:hAnsiTheme="majorBidi" w:cstheme="majorBidi"/>
          <w:i/>
          <w:szCs w:val="22"/>
        </w:rPr>
        <w:t>in vitro</w:t>
      </w:r>
      <w:r w:rsidRPr="00C75973">
        <w:rPr>
          <w:rFonts w:asciiTheme="majorBidi" w:hAnsiTheme="majorBidi" w:cstheme="majorBidi"/>
          <w:szCs w:val="22"/>
        </w:rPr>
        <w:t xml:space="preserve"> nárůst syntézy </w:t>
      </w:r>
      <w:proofErr w:type="spellStart"/>
      <w:r w:rsidRPr="00C75973">
        <w:rPr>
          <w:rFonts w:asciiTheme="majorBidi" w:hAnsiTheme="majorBidi" w:cstheme="majorBidi"/>
          <w:szCs w:val="22"/>
        </w:rPr>
        <w:t>glykosaminoglykanů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(GAG) v chondrocytech získaných ze psí kloubní chrupavky.</w:t>
      </w:r>
    </w:p>
    <w:p w14:paraId="57B9EC02" w14:textId="489FEA49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Stimulace syntézy GAG sníží rozdíl mezi podílem degenerace a regenerace kloubní matrix, což má za následek zpomalení procesu ztráty chrupavky.</w:t>
      </w:r>
      <w:bookmarkStart w:id="0" w:name="_GoBack"/>
      <w:bookmarkEnd w:id="0"/>
    </w:p>
    <w:p w14:paraId="525A159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0F3A0B" w:rsidRPr="00C75973" w:rsidSect="00C24127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68B5B" w16cex:dateUtc="2024-10-01T1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E0E43" w14:textId="77777777" w:rsidR="0024454A" w:rsidRDefault="0024454A">
      <w:pPr>
        <w:spacing w:line="240" w:lineRule="auto"/>
      </w:pPr>
      <w:r>
        <w:separator/>
      </w:r>
    </w:p>
  </w:endnote>
  <w:endnote w:type="continuationSeparator" w:id="0">
    <w:p w14:paraId="0394E4B1" w14:textId="77777777" w:rsidR="0024454A" w:rsidRDefault="00244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58FD" w14:textId="77777777" w:rsidR="000F3A0B" w:rsidRDefault="00EE03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3CDA" w14:textId="77777777" w:rsidR="000F3A0B" w:rsidRDefault="00EE03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3581" w14:textId="77777777" w:rsidR="0024454A" w:rsidRDefault="0024454A">
      <w:pPr>
        <w:spacing w:line="240" w:lineRule="auto"/>
      </w:pPr>
      <w:r>
        <w:separator/>
      </w:r>
    </w:p>
  </w:footnote>
  <w:footnote w:type="continuationSeparator" w:id="0">
    <w:p w14:paraId="3D9B0865" w14:textId="77777777" w:rsidR="0024454A" w:rsidRDefault="00244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D057" w14:textId="77777777" w:rsidR="00DA6ED1" w:rsidRDefault="00DA6E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F3A0B"/>
    <w:rsid w:val="00003025"/>
    <w:rsid w:val="000037DA"/>
    <w:rsid w:val="00035384"/>
    <w:rsid w:val="0004554F"/>
    <w:rsid w:val="000C1AEB"/>
    <w:rsid w:val="000F3A0B"/>
    <w:rsid w:val="00123BB2"/>
    <w:rsid w:val="00132A12"/>
    <w:rsid w:val="00135E78"/>
    <w:rsid w:val="00154FAD"/>
    <w:rsid w:val="001569ED"/>
    <w:rsid w:val="00164ABD"/>
    <w:rsid w:val="001754C8"/>
    <w:rsid w:val="001B3A47"/>
    <w:rsid w:val="001C207E"/>
    <w:rsid w:val="001E7484"/>
    <w:rsid w:val="001F3783"/>
    <w:rsid w:val="00200446"/>
    <w:rsid w:val="00226A98"/>
    <w:rsid w:val="00230B74"/>
    <w:rsid w:val="0024454A"/>
    <w:rsid w:val="00251FE6"/>
    <w:rsid w:val="00262F3C"/>
    <w:rsid w:val="00270991"/>
    <w:rsid w:val="0028295D"/>
    <w:rsid w:val="002841BC"/>
    <w:rsid w:val="002D6583"/>
    <w:rsid w:val="00333290"/>
    <w:rsid w:val="00352654"/>
    <w:rsid w:val="00380AC3"/>
    <w:rsid w:val="003848EC"/>
    <w:rsid w:val="003A5EFD"/>
    <w:rsid w:val="003D498B"/>
    <w:rsid w:val="003E5BE6"/>
    <w:rsid w:val="004813D6"/>
    <w:rsid w:val="004815AA"/>
    <w:rsid w:val="004A5674"/>
    <w:rsid w:val="004D3D9D"/>
    <w:rsid w:val="004D5301"/>
    <w:rsid w:val="004E76A9"/>
    <w:rsid w:val="004F6674"/>
    <w:rsid w:val="00542B81"/>
    <w:rsid w:val="005807C5"/>
    <w:rsid w:val="00596F12"/>
    <w:rsid w:val="005E6D72"/>
    <w:rsid w:val="006349E0"/>
    <w:rsid w:val="00684294"/>
    <w:rsid w:val="006E43AD"/>
    <w:rsid w:val="00711A41"/>
    <w:rsid w:val="0072363B"/>
    <w:rsid w:val="00724056"/>
    <w:rsid w:val="007554F4"/>
    <w:rsid w:val="007658F2"/>
    <w:rsid w:val="007B3DDD"/>
    <w:rsid w:val="007E727A"/>
    <w:rsid w:val="007E7F5E"/>
    <w:rsid w:val="008171A1"/>
    <w:rsid w:val="008526DC"/>
    <w:rsid w:val="00866B06"/>
    <w:rsid w:val="0087398D"/>
    <w:rsid w:val="008D097A"/>
    <w:rsid w:val="008E4230"/>
    <w:rsid w:val="008E6E21"/>
    <w:rsid w:val="00906406"/>
    <w:rsid w:val="00914895"/>
    <w:rsid w:val="009604BA"/>
    <w:rsid w:val="00966AA9"/>
    <w:rsid w:val="009F1346"/>
    <w:rsid w:val="00A57A16"/>
    <w:rsid w:val="00A65A16"/>
    <w:rsid w:val="00AB2032"/>
    <w:rsid w:val="00AC6EE2"/>
    <w:rsid w:val="00AE6801"/>
    <w:rsid w:val="00B25354"/>
    <w:rsid w:val="00B33A5E"/>
    <w:rsid w:val="00B43358"/>
    <w:rsid w:val="00B47DEA"/>
    <w:rsid w:val="00B87147"/>
    <w:rsid w:val="00B873F5"/>
    <w:rsid w:val="00C24127"/>
    <w:rsid w:val="00C24E9F"/>
    <w:rsid w:val="00C34983"/>
    <w:rsid w:val="00C579AB"/>
    <w:rsid w:val="00C75973"/>
    <w:rsid w:val="00C767E8"/>
    <w:rsid w:val="00D13C06"/>
    <w:rsid w:val="00D24763"/>
    <w:rsid w:val="00D40A10"/>
    <w:rsid w:val="00D42061"/>
    <w:rsid w:val="00D63BA1"/>
    <w:rsid w:val="00D92907"/>
    <w:rsid w:val="00DA6ED1"/>
    <w:rsid w:val="00DC3617"/>
    <w:rsid w:val="00DF7F13"/>
    <w:rsid w:val="00E037CB"/>
    <w:rsid w:val="00E328CC"/>
    <w:rsid w:val="00E37AEF"/>
    <w:rsid w:val="00E40723"/>
    <w:rsid w:val="00E62CEE"/>
    <w:rsid w:val="00E71254"/>
    <w:rsid w:val="00E97181"/>
    <w:rsid w:val="00EA2E9E"/>
    <w:rsid w:val="00EC60A1"/>
    <w:rsid w:val="00EC659A"/>
    <w:rsid w:val="00ED7DDE"/>
    <w:rsid w:val="00EE0346"/>
    <w:rsid w:val="00F04FFF"/>
    <w:rsid w:val="00F30757"/>
    <w:rsid w:val="00F5570C"/>
    <w:rsid w:val="00F8604A"/>
    <w:rsid w:val="00FB1925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4BDC9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B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164AB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DA6ED1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1D97-877B-4279-95AB-CCF9E4B9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Nepejchalová Leona</cp:lastModifiedBy>
  <cp:revision>23</cp:revision>
  <cp:lastPrinted>2025-02-06T17:03:00Z</cp:lastPrinted>
  <dcterms:created xsi:type="dcterms:W3CDTF">2024-10-15T09:21:00Z</dcterms:created>
  <dcterms:modified xsi:type="dcterms:W3CDTF">2025-02-06T17:03:00Z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