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0BDB" w14:textId="2ACF7C55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0F4EB1F8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590E2FAA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0476BEC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F03E413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73516E3D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5FF02FD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73225BE1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082BBAE2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0AD1232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5A9FD471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40A5C972" w14:textId="165439ED" w:rsidR="00A325C8" w:rsidRPr="00B21873" w:rsidRDefault="00B21873" w:rsidP="00B21873">
      <w:pPr>
        <w:tabs>
          <w:tab w:val="clear" w:pos="567"/>
          <w:tab w:val="left" w:pos="5385"/>
        </w:tabs>
        <w:spacing w:line="240" w:lineRule="auto"/>
        <w:rPr>
          <w:szCs w:val="22"/>
        </w:rPr>
      </w:pPr>
      <w:r w:rsidRPr="00B21873">
        <w:rPr>
          <w:szCs w:val="22"/>
        </w:rPr>
        <w:tab/>
      </w:r>
    </w:p>
    <w:p w14:paraId="332DDE73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01BBB8EC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9B1F2BB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5AB99DDE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DEA2564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3AA93BB4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09644215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6647E35D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6EEA486A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2CE8FE59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01726F48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1E23D38E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5F77C37B" w14:textId="3E43403C" w:rsidR="00A325C8" w:rsidRPr="00B21873" w:rsidRDefault="00B21873" w:rsidP="00660EFB">
      <w:pPr>
        <w:pStyle w:val="Style3"/>
        <w:numPr>
          <w:ilvl w:val="0"/>
          <w:numId w:val="0"/>
        </w:numPr>
      </w:pPr>
      <w:r>
        <w:t xml:space="preserve">B. </w:t>
      </w:r>
      <w:r w:rsidR="00A325C8" w:rsidRPr="00B21873">
        <w:t>PŘÍBALOVÁ INFORMACE</w:t>
      </w:r>
    </w:p>
    <w:p w14:paraId="1093234F" w14:textId="77777777" w:rsidR="00A325C8" w:rsidRPr="00B21873" w:rsidRDefault="00A325C8" w:rsidP="00B2187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21873">
        <w:rPr>
          <w:szCs w:val="22"/>
        </w:rPr>
        <w:br w:type="page"/>
      </w:r>
      <w:r w:rsidRPr="00B21873">
        <w:rPr>
          <w:b/>
          <w:szCs w:val="22"/>
        </w:rPr>
        <w:lastRenderedPageBreak/>
        <w:t>PŘÍBALOVÁ INFORMACE</w:t>
      </w:r>
    </w:p>
    <w:p w14:paraId="77BE52C8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5B7AAEA0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8A2697" w14:textId="77777777" w:rsidR="00A325C8" w:rsidRPr="00B21873" w:rsidRDefault="00A325C8" w:rsidP="00B21873">
      <w:pPr>
        <w:pStyle w:val="Style1"/>
        <w:jc w:val="both"/>
      </w:pPr>
      <w:bookmarkStart w:id="1" w:name="_Hlk127278274"/>
      <w:r w:rsidRPr="00B21873">
        <w:rPr>
          <w:highlight w:val="lightGray"/>
        </w:rPr>
        <w:t>1.</w:t>
      </w:r>
      <w:r w:rsidRPr="00B21873">
        <w:tab/>
        <w:t>Název veterinárního léčivého přípravku</w:t>
      </w:r>
    </w:p>
    <w:bookmarkEnd w:id="1"/>
    <w:p w14:paraId="2AF72900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1D9B26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KETOFEN 10 % (w/v) injekční roztok</w:t>
      </w:r>
    </w:p>
    <w:p w14:paraId="231D12E2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6A314F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F268EE" w14:textId="77777777" w:rsidR="00A325C8" w:rsidRPr="00B21873" w:rsidRDefault="00A325C8" w:rsidP="00B21873">
      <w:pPr>
        <w:pStyle w:val="Style1"/>
        <w:jc w:val="both"/>
      </w:pPr>
      <w:bookmarkStart w:id="2" w:name="_Hlk127278284"/>
      <w:r w:rsidRPr="00B21873">
        <w:rPr>
          <w:highlight w:val="lightGray"/>
        </w:rPr>
        <w:t>2.</w:t>
      </w:r>
      <w:r w:rsidRPr="00B21873">
        <w:tab/>
        <w:t>Složení</w:t>
      </w:r>
    </w:p>
    <w:bookmarkEnd w:id="2"/>
    <w:p w14:paraId="37B06C5F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2EEB361" w14:textId="438EDF43" w:rsidR="00CC3CA4" w:rsidRPr="00B21873" w:rsidRDefault="00CC3CA4" w:rsidP="00B21873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B21873">
        <w:rPr>
          <w:sz w:val="22"/>
          <w:szCs w:val="22"/>
        </w:rPr>
        <w:t>Každý ml obsahuje:</w:t>
      </w:r>
    </w:p>
    <w:p w14:paraId="1A644298" w14:textId="77777777" w:rsidR="00CC3CA4" w:rsidRPr="00B21873" w:rsidRDefault="00CC3CA4" w:rsidP="00B21873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135B7719" w14:textId="77777777" w:rsidR="00CC3CA4" w:rsidRPr="00B21873" w:rsidRDefault="00CC3CA4" w:rsidP="00B21873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  <w:r w:rsidRPr="00B21873">
        <w:rPr>
          <w:b/>
          <w:sz w:val="22"/>
          <w:szCs w:val="22"/>
        </w:rPr>
        <w:t>Léčivá látka:</w:t>
      </w:r>
    </w:p>
    <w:p w14:paraId="36F4B534" w14:textId="77777777" w:rsidR="00CC3CA4" w:rsidRPr="00B21873" w:rsidRDefault="00CC3CA4" w:rsidP="00B21873">
      <w:pPr>
        <w:pStyle w:val="Seznam"/>
        <w:widowControl/>
        <w:ind w:left="0" w:firstLine="0"/>
        <w:jc w:val="both"/>
        <w:rPr>
          <w:sz w:val="22"/>
          <w:szCs w:val="22"/>
        </w:rPr>
      </w:pPr>
      <w:proofErr w:type="spellStart"/>
      <w:r w:rsidRPr="00B21873">
        <w:rPr>
          <w:sz w:val="22"/>
          <w:szCs w:val="22"/>
        </w:rPr>
        <w:t>Ketoprofenum</w:t>
      </w:r>
      <w:proofErr w:type="spellEnd"/>
      <w:r w:rsidRPr="00B21873">
        <w:rPr>
          <w:sz w:val="22"/>
          <w:szCs w:val="22"/>
        </w:rPr>
        <w:t xml:space="preserve"> ………………………………… 100 mg</w:t>
      </w:r>
    </w:p>
    <w:p w14:paraId="64D84B6E" w14:textId="77777777" w:rsidR="00CC3CA4" w:rsidRPr="00B21873" w:rsidRDefault="00CC3CA4" w:rsidP="00B21873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58D295FF" w14:textId="77777777" w:rsidR="00CC3CA4" w:rsidRPr="00B21873" w:rsidRDefault="00CC3CA4" w:rsidP="00B21873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  <w:r w:rsidRPr="00B21873">
        <w:rPr>
          <w:b/>
          <w:sz w:val="22"/>
          <w:szCs w:val="22"/>
        </w:rPr>
        <w:t>Pomocné látky:</w:t>
      </w:r>
    </w:p>
    <w:p w14:paraId="21D14C14" w14:textId="77777777" w:rsidR="00CC3CA4" w:rsidRPr="00B21873" w:rsidRDefault="00CC3CA4" w:rsidP="00B21873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B21873">
        <w:rPr>
          <w:sz w:val="22"/>
          <w:szCs w:val="22"/>
        </w:rPr>
        <w:t>Benzyl alkohol (E 1519) ……………………… 10 mg</w:t>
      </w:r>
    </w:p>
    <w:p w14:paraId="75605914" w14:textId="77777777" w:rsidR="00CC3CA4" w:rsidRPr="00B21873" w:rsidRDefault="00CC3CA4" w:rsidP="00B21873">
      <w:pPr>
        <w:spacing w:line="240" w:lineRule="auto"/>
        <w:jc w:val="both"/>
        <w:rPr>
          <w:b/>
          <w:szCs w:val="22"/>
        </w:rPr>
      </w:pPr>
    </w:p>
    <w:p w14:paraId="063A404C" w14:textId="0C464EDA" w:rsidR="00A325C8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Čirý bezbarvý roztok.</w:t>
      </w:r>
    </w:p>
    <w:p w14:paraId="096CB45C" w14:textId="77777777" w:rsidR="00CC3CA4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CA028F" w14:textId="77777777" w:rsidR="00CC3CA4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C1578A" w14:textId="77777777" w:rsidR="00A325C8" w:rsidRPr="00B21873" w:rsidRDefault="00A325C8" w:rsidP="00B21873">
      <w:pPr>
        <w:pStyle w:val="Style1"/>
        <w:jc w:val="both"/>
      </w:pPr>
      <w:bookmarkStart w:id="3" w:name="_Hlk127278301"/>
      <w:r w:rsidRPr="00B21873">
        <w:rPr>
          <w:highlight w:val="lightGray"/>
        </w:rPr>
        <w:t>3.</w:t>
      </w:r>
      <w:r w:rsidRPr="00B21873">
        <w:tab/>
        <w:t>Cílové druhy zvířat</w:t>
      </w:r>
    </w:p>
    <w:bookmarkEnd w:id="3"/>
    <w:p w14:paraId="2B47F7E4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C768BD" w14:textId="77777777" w:rsidR="00CC3CA4" w:rsidRPr="00B21873" w:rsidRDefault="00CC3CA4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Skot, koně, prasata.</w:t>
      </w:r>
    </w:p>
    <w:p w14:paraId="02FDA67F" w14:textId="35040042" w:rsidR="00A325C8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8AC23C" w14:textId="77777777" w:rsidR="00B21873" w:rsidRPr="00B21873" w:rsidRDefault="00B21873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9003F" w14:textId="77777777" w:rsidR="00A325C8" w:rsidRPr="00B21873" w:rsidRDefault="00A325C8" w:rsidP="00B21873">
      <w:pPr>
        <w:pStyle w:val="Style1"/>
        <w:jc w:val="both"/>
      </w:pPr>
      <w:bookmarkStart w:id="4" w:name="_Hlk127278314"/>
      <w:r w:rsidRPr="00B21873">
        <w:rPr>
          <w:highlight w:val="lightGray"/>
        </w:rPr>
        <w:t>4.</w:t>
      </w:r>
      <w:r w:rsidRPr="00B21873">
        <w:tab/>
        <w:t>Indikace pro použití</w:t>
      </w:r>
    </w:p>
    <w:bookmarkEnd w:id="4"/>
    <w:p w14:paraId="20BB4DE1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D46449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Skot</w:t>
      </w:r>
    </w:p>
    <w:p w14:paraId="01180509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- protizánětlivá a antipyretická léčba při respiratorních infekcích v kombinaci s vhodnou antibiotickou léčbou, pokud je potřebné</w:t>
      </w:r>
    </w:p>
    <w:p w14:paraId="1185ECCF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- protizánětlivá, analgetická a antipyretická léčba edému mléčné žlázy a podpůrná léčba akutních klinických mastitid v kombinaci s vhodnou antibiotickou léčbou, pokud je potřebné</w:t>
      </w:r>
    </w:p>
    <w:p w14:paraId="59DA8010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- protizánětlivá, analgetická a antipyretická léčba při </w:t>
      </w:r>
      <w:proofErr w:type="spellStart"/>
      <w:r w:rsidRPr="00B21873">
        <w:rPr>
          <w:szCs w:val="22"/>
        </w:rPr>
        <w:t>muskuloskeletárních</w:t>
      </w:r>
      <w:proofErr w:type="spellEnd"/>
      <w:r w:rsidRPr="00B21873">
        <w:rPr>
          <w:szCs w:val="22"/>
        </w:rPr>
        <w:t xml:space="preserve"> onemocněních (např. podpůrná léčba poporodní parézy, kulhání, artritidy – podpůrná léčba, traumatizující zranění, dystokie)</w:t>
      </w:r>
    </w:p>
    <w:p w14:paraId="2E6FDA5D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1418FD33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Koně</w:t>
      </w:r>
    </w:p>
    <w:p w14:paraId="1DB65815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- protizánětlivá a analgetická léčba zánětlivých příznaků </w:t>
      </w:r>
      <w:proofErr w:type="spellStart"/>
      <w:r w:rsidRPr="00B21873">
        <w:rPr>
          <w:szCs w:val="22"/>
        </w:rPr>
        <w:t>osteoartikulárního</w:t>
      </w:r>
      <w:proofErr w:type="spellEnd"/>
      <w:r w:rsidRPr="00B21873">
        <w:rPr>
          <w:szCs w:val="22"/>
        </w:rPr>
        <w:t xml:space="preserve"> a </w:t>
      </w:r>
      <w:proofErr w:type="spellStart"/>
      <w:r w:rsidRPr="00B21873">
        <w:rPr>
          <w:szCs w:val="22"/>
        </w:rPr>
        <w:t>muskuloskeletálního</w:t>
      </w:r>
      <w:proofErr w:type="spellEnd"/>
      <w:r w:rsidRPr="00B21873">
        <w:rPr>
          <w:szCs w:val="22"/>
        </w:rPr>
        <w:t xml:space="preserve"> systému – zejména kulhání traumatického původu, artróza, artritida, osteitida, zánět střelkové kosti, tendinitida, bursitida. </w:t>
      </w:r>
      <w:proofErr w:type="spellStart"/>
      <w:r w:rsidRPr="00B21873">
        <w:rPr>
          <w:szCs w:val="22"/>
        </w:rPr>
        <w:t>Laminitida</w:t>
      </w:r>
      <w:proofErr w:type="spellEnd"/>
      <w:r w:rsidRPr="00B21873">
        <w:rPr>
          <w:szCs w:val="22"/>
        </w:rPr>
        <w:t xml:space="preserve">, </w:t>
      </w:r>
      <w:proofErr w:type="spellStart"/>
      <w:r w:rsidRPr="00B21873">
        <w:rPr>
          <w:szCs w:val="22"/>
        </w:rPr>
        <w:t>myositida</w:t>
      </w:r>
      <w:proofErr w:type="spellEnd"/>
      <w:r w:rsidRPr="00B21873">
        <w:rPr>
          <w:szCs w:val="22"/>
        </w:rPr>
        <w:t xml:space="preserve">, záněty po chirurgickém ošetření. </w:t>
      </w:r>
    </w:p>
    <w:p w14:paraId="775DED33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- symptomatická léčba kolikových stavů. Symptomatická léčba horečky.</w:t>
      </w:r>
    </w:p>
    <w:p w14:paraId="6961B9FB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6528C725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Prasata</w:t>
      </w:r>
    </w:p>
    <w:p w14:paraId="686CC509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- léčba zánětlivých procesů – syndrom MMA (mastitis, metritis, agalakcie), respiratorní infekce, v kombinaci s vhodnou antibiotickou léčbou, pokud je potřebné. Symptomatická léčba horečky.</w:t>
      </w:r>
    </w:p>
    <w:p w14:paraId="4CA764D0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F07B5" w14:textId="77777777" w:rsidR="00CC3CA4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D3629E" w14:textId="77777777" w:rsidR="00A325C8" w:rsidRPr="00B21873" w:rsidRDefault="00A325C8" w:rsidP="00B21873">
      <w:pPr>
        <w:pStyle w:val="Style1"/>
        <w:jc w:val="both"/>
      </w:pPr>
      <w:bookmarkStart w:id="5" w:name="_Hlk127278330"/>
      <w:r w:rsidRPr="00B21873">
        <w:rPr>
          <w:highlight w:val="lightGray"/>
        </w:rPr>
        <w:t>5.</w:t>
      </w:r>
      <w:r w:rsidRPr="00B21873">
        <w:tab/>
        <w:t>Kontraindikace</w:t>
      </w:r>
    </w:p>
    <w:bookmarkEnd w:id="5"/>
    <w:p w14:paraId="647B262E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EE07" w14:textId="77777777" w:rsidR="00CC3CA4" w:rsidRPr="00B21873" w:rsidRDefault="00CC3CA4" w:rsidP="00B218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21873">
        <w:rPr>
          <w:szCs w:val="22"/>
        </w:rPr>
        <w:t>Nepoužívat u zvířat s narušenou funkcí jater, srdce nebo ledvin.</w:t>
      </w:r>
    </w:p>
    <w:p w14:paraId="3B8F3F29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Nepodávat zvířatům s gastroduodenálním vředem, hemorrhagickými syndromy a dyskrazií krve.</w:t>
      </w:r>
    </w:p>
    <w:p w14:paraId="0176DFB7" w14:textId="7777777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Nepodávat současně s ostatními NSAID, diuretiky a antikoagulanty.</w:t>
      </w:r>
    </w:p>
    <w:p w14:paraId="48711E76" w14:textId="3FD01897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Nepoužívat v případech přecitlivělosti na léčivou látku nebo na některou z pomocných látek.</w:t>
      </w:r>
    </w:p>
    <w:p w14:paraId="6374AA4B" w14:textId="2D4C268F" w:rsidR="00A325C8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Nepodávat </w:t>
      </w:r>
      <w:r w:rsidR="00042683">
        <w:rPr>
          <w:szCs w:val="22"/>
        </w:rPr>
        <w:t>břez</w:t>
      </w:r>
      <w:r w:rsidR="00042683" w:rsidRPr="00B21873">
        <w:rPr>
          <w:szCs w:val="22"/>
        </w:rPr>
        <w:t xml:space="preserve">ím </w:t>
      </w:r>
      <w:r w:rsidRPr="00B21873">
        <w:rPr>
          <w:szCs w:val="22"/>
        </w:rPr>
        <w:t>klisnám.</w:t>
      </w:r>
    </w:p>
    <w:p w14:paraId="2C104A99" w14:textId="77777777" w:rsidR="00B21873" w:rsidRDefault="00B21873" w:rsidP="00B21873">
      <w:pPr>
        <w:pStyle w:val="Style1"/>
        <w:jc w:val="both"/>
        <w:rPr>
          <w:highlight w:val="lightGray"/>
        </w:rPr>
      </w:pPr>
      <w:bookmarkStart w:id="6" w:name="_Hlk127278343"/>
    </w:p>
    <w:p w14:paraId="0DB5FB8E" w14:textId="674A64F7" w:rsidR="00A325C8" w:rsidRPr="00B21873" w:rsidRDefault="00A325C8" w:rsidP="00B21873">
      <w:pPr>
        <w:pStyle w:val="Style1"/>
        <w:jc w:val="both"/>
      </w:pPr>
      <w:r w:rsidRPr="00B21873">
        <w:rPr>
          <w:highlight w:val="lightGray"/>
        </w:rPr>
        <w:lastRenderedPageBreak/>
        <w:t>6.</w:t>
      </w:r>
      <w:r w:rsidRPr="00B21873">
        <w:tab/>
        <w:t>Zvláštní upozornění</w:t>
      </w:r>
    </w:p>
    <w:bookmarkEnd w:id="6"/>
    <w:p w14:paraId="1980372D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szCs w:val="22"/>
        </w:rPr>
      </w:pPr>
    </w:p>
    <w:p w14:paraId="3CAE6272" w14:textId="64E99794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7278415"/>
      <w:r w:rsidRPr="00B21873">
        <w:rPr>
          <w:szCs w:val="22"/>
          <w:u w:val="single"/>
        </w:rPr>
        <w:t>Zvláštní opatření pro bezpečné použití u cílových druhů zvířat</w:t>
      </w:r>
      <w:r w:rsidRPr="00B21873">
        <w:rPr>
          <w:szCs w:val="22"/>
        </w:rPr>
        <w:t>:</w:t>
      </w:r>
      <w:bookmarkEnd w:id="7"/>
    </w:p>
    <w:p w14:paraId="2AD80CF7" w14:textId="4AB0883A" w:rsidR="00CC3CA4" w:rsidRPr="00B21873" w:rsidRDefault="00CC3CA4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Nedoporučuje se používat veterinární léčivý přípravek u hříbat mladších 15 dnů. Použití u zvířat mladších 6 týdnů nebo u starých zvířat může znamenat další riziko. Pokud takovému použití nelze předejít, bude možná nutné snížení dávky a zvýšená péče. Nepoužívejte u zvířat dehydratovaných </w:t>
      </w:r>
      <w:r w:rsidR="00B21873" w:rsidRPr="00B21873">
        <w:rPr>
          <w:szCs w:val="22"/>
        </w:rPr>
        <w:t>a</w:t>
      </w:r>
      <w:r w:rsidR="00B21873">
        <w:rPr>
          <w:szCs w:val="22"/>
        </w:rPr>
        <w:t> </w:t>
      </w:r>
      <w:r w:rsidRPr="00B21873">
        <w:rPr>
          <w:szCs w:val="22"/>
        </w:rPr>
        <w:t xml:space="preserve">zvířat s nízkým krevním tlakem, je u nich riziko zvýšené renální toxicity. </w:t>
      </w:r>
    </w:p>
    <w:p w14:paraId="09037ED7" w14:textId="3D762EB5" w:rsidR="00A325C8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Nepodávejte intraarteriálně. Nepřekračujte uvedené dávky a délku léčby.</w:t>
      </w:r>
    </w:p>
    <w:p w14:paraId="5FC982B8" w14:textId="77777777" w:rsidR="00CC3CA4" w:rsidRPr="00B21873" w:rsidRDefault="00CC3CA4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25C642" w14:textId="743FCB85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7278444"/>
      <w:r w:rsidRPr="00B21873">
        <w:rPr>
          <w:szCs w:val="22"/>
          <w:u w:val="single"/>
        </w:rPr>
        <w:t>Zvláštní opatření pro osobu, která podává veterinární léčivý přípravek zvířatům</w:t>
      </w:r>
      <w:r w:rsidRPr="00B21873">
        <w:rPr>
          <w:szCs w:val="22"/>
        </w:rPr>
        <w:t>:</w:t>
      </w:r>
      <w:bookmarkEnd w:id="8"/>
    </w:p>
    <w:p w14:paraId="7E4BE77A" w14:textId="77777777" w:rsidR="00CC3CA4" w:rsidRPr="00B21873" w:rsidRDefault="00CC3CA4" w:rsidP="00B21873">
      <w:pPr>
        <w:tabs>
          <w:tab w:val="left" w:pos="709"/>
          <w:tab w:val="left" w:pos="4536"/>
          <w:tab w:val="left" w:pos="5103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Vyhýbejte se kontaktu veterinárního léčivého přípravku s očima a kůží. Pokud dojde k náhodnému kontaktu, je třeba potřísněné místo okamžitě omýt vodou.</w:t>
      </w:r>
    </w:p>
    <w:p w14:paraId="40FC2057" w14:textId="7167063D" w:rsidR="00CC3CA4" w:rsidRPr="00B21873" w:rsidRDefault="00CC3CA4" w:rsidP="00B218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21873">
        <w:rPr>
          <w:szCs w:val="22"/>
        </w:rPr>
        <w:t>V případě náhodného sebepoškození injekčně podaným přípravkem vyhledejte ihned lékařskou pomoc a ukažte příbalovou informaci nebo etiketu praktickému lékaři.</w:t>
      </w:r>
    </w:p>
    <w:p w14:paraId="5233CF1B" w14:textId="23718E89" w:rsidR="00A325C8" w:rsidRPr="00B21873" w:rsidRDefault="00CC3CA4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Po použití přípravku si umyjte ruce.</w:t>
      </w:r>
    </w:p>
    <w:p w14:paraId="2A85C92C" w14:textId="77777777" w:rsidR="00CC3CA4" w:rsidRPr="00B21873" w:rsidRDefault="00CC3CA4" w:rsidP="00B21873">
      <w:pPr>
        <w:spacing w:line="240" w:lineRule="auto"/>
        <w:jc w:val="both"/>
        <w:rPr>
          <w:szCs w:val="22"/>
          <w:u w:val="single"/>
        </w:rPr>
      </w:pPr>
    </w:p>
    <w:p w14:paraId="40806584" w14:textId="2FEF84BC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9" w:name="_Hlk127278457"/>
      <w:r w:rsidRPr="00B21873">
        <w:rPr>
          <w:szCs w:val="22"/>
          <w:u w:val="single"/>
        </w:rPr>
        <w:t>Březost a laktace</w:t>
      </w:r>
      <w:r w:rsidRPr="00B21873">
        <w:rPr>
          <w:szCs w:val="22"/>
        </w:rPr>
        <w:t>:</w:t>
      </w:r>
      <w:bookmarkEnd w:id="9"/>
    </w:p>
    <w:p w14:paraId="19EFA350" w14:textId="4CCD029B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Laboratorní studie u potkanů a u králíků</w:t>
      </w:r>
      <w:r w:rsidRPr="00B21873" w:rsidDel="007D7C5B">
        <w:rPr>
          <w:szCs w:val="22"/>
        </w:rPr>
        <w:t xml:space="preserve"> </w:t>
      </w:r>
      <w:r w:rsidRPr="00B21873">
        <w:rPr>
          <w:szCs w:val="22"/>
        </w:rPr>
        <w:t>nepodaly důkaz o teratogenním nebo embryotoxickém účinku.</w:t>
      </w:r>
    </w:p>
    <w:p w14:paraId="19590669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Přípravek lze použít během březosti a laktace u prasnic a krav.</w:t>
      </w:r>
    </w:p>
    <w:p w14:paraId="18C35258" w14:textId="6FE9D676" w:rsidR="00A325C8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Nepoužívejte u </w:t>
      </w:r>
      <w:r w:rsidR="00042683">
        <w:rPr>
          <w:szCs w:val="22"/>
        </w:rPr>
        <w:t>břez</w:t>
      </w:r>
      <w:r w:rsidR="00042683" w:rsidRPr="00B21873">
        <w:rPr>
          <w:szCs w:val="22"/>
        </w:rPr>
        <w:t xml:space="preserve">ích </w:t>
      </w:r>
      <w:r w:rsidRPr="00B21873">
        <w:rPr>
          <w:szCs w:val="22"/>
        </w:rPr>
        <w:t>klisen, viz bod „Kontraindikace“.</w:t>
      </w:r>
    </w:p>
    <w:p w14:paraId="18466F6E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911D80" w14:textId="65D7C3B8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Hlk161520993"/>
      <w:r w:rsidRPr="00B21873">
        <w:rPr>
          <w:szCs w:val="22"/>
          <w:u w:val="single"/>
        </w:rPr>
        <w:t>Interakce s </w:t>
      </w:r>
      <w:bookmarkStart w:id="11" w:name="_Hlk127278477"/>
      <w:r w:rsidRPr="00B21873">
        <w:rPr>
          <w:szCs w:val="22"/>
          <w:u w:val="single"/>
        </w:rPr>
        <w:t>jinými</w:t>
      </w:r>
      <w:bookmarkEnd w:id="11"/>
      <w:r w:rsidRPr="00B21873">
        <w:rPr>
          <w:szCs w:val="22"/>
          <w:u w:val="single"/>
        </w:rPr>
        <w:t xml:space="preserve"> léčivými přípravky a další formy interakce</w:t>
      </w:r>
      <w:r w:rsidRPr="00B21873">
        <w:rPr>
          <w:szCs w:val="22"/>
        </w:rPr>
        <w:t>:</w:t>
      </w:r>
      <w:bookmarkEnd w:id="10"/>
    </w:p>
    <w:p w14:paraId="7A4B7BBB" w14:textId="78D56B1E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Veterinární léčivý přípravek nesmí být podáván současně s jinými nesteroidními antiflogistiky (NSAID) ani během 24 hodin od jejich podání, diuretiky a antikoagulanty. Některé NSAID se silně váží na plazmatické bílkoviny a může odtud vytěsňovat jiné léky nebo být vytěsněn jinými léčivy se silnou vazbou na bílkoviny, což může vést k toxickým účinkům. </w:t>
      </w:r>
    </w:p>
    <w:p w14:paraId="6CFC9343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Nepodávejte současně nefrotoxické látky.</w:t>
      </w:r>
    </w:p>
    <w:p w14:paraId="131DF27D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A48F85" w14:textId="4D7C5E3B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2" w:name="_Hlk161521003"/>
      <w:r w:rsidRPr="00B21873">
        <w:rPr>
          <w:szCs w:val="22"/>
          <w:u w:val="single"/>
        </w:rPr>
        <w:t>Předávkování</w:t>
      </w:r>
      <w:r w:rsidRPr="00B21873">
        <w:rPr>
          <w:szCs w:val="22"/>
        </w:rPr>
        <w:t>:</w:t>
      </w:r>
      <w:bookmarkEnd w:id="12"/>
    </w:p>
    <w:p w14:paraId="080D21F9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V doporučené dávce nezpůsobuje nežádoucí reakce.</w:t>
      </w:r>
    </w:p>
    <w:p w14:paraId="1A22BB4F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A2C3CA" w14:textId="53B961D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127278498"/>
      <w:bookmarkStart w:id="14" w:name="_Hlk161521011"/>
      <w:r w:rsidRPr="00B21873">
        <w:rPr>
          <w:szCs w:val="22"/>
          <w:u w:val="single"/>
        </w:rPr>
        <w:t>Hlavní</w:t>
      </w:r>
      <w:bookmarkEnd w:id="13"/>
      <w:r w:rsidRPr="00B21873">
        <w:rPr>
          <w:szCs w:val="22"/>
          <w:u w:val="single"/>
        </w:rPr>
        <w:t xml:space="preserve"> inkompatibility</w:t>
      </w:r>
      <w:r w:rsidRPr="00B21873">
        <w:rPr>
          <w:szCs w:val="22"/>
        </w:rPr>
        <w:t>:</w:t>
      </w:r>
      <w:bookmarkEnd w:id="14"/>
    </w:p>
    <w:p w14:paraId="23B3666A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363DE118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F11ED8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394F77" w14:textId="77777777" w:rsidR="00A325C8" w:rsidRPr="00B21873" w:rsidRDefault="00A325C8" w:rsidP="00B21873">
      <w:pPr>
        <w:pStyle w:val="Style1"/>
        <w:jc w:val="both"/>
      </w:pPr>
      <w:bookmarkStart w:id="15" w:name="_Hlk161521020"/>
      <w:r w:rsidRPr="00B21873">
        <w:rPr>
          <w:highlight w:val="lightGray"/>
        </w:rPr>
        <w:t>7.</w:t>
      </w:r>
      <w:r w:rsidRPr="00B21873">
        <w:tab/>
        <w:t>Nežádoucí účinky</w:t>
      </w:r>
    </w:p>
    <w:bookmarkEnd w:id="15"/>
    <w:p w14:paraId="48AA399C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5BAFC51" w14:textId="77777777" w:rsidR="00641C5D" w:rsidRPr="00B21873" w:rsidRDefault="00641C5D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Skot, koně, prasata:</w:t>
      </w:r>
    </w:p>
    <w:p w14:paraId="616E722F" w14:textId="77777777" w:rsidR="00641C5D" w:rsidRPr="00B21873" w:rsidRDefault="00641C5D" w:rsidP="00B21873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641C5D" w:rsidRPr="00B21873" w14:paraId="32AE90C7" w14:textId="77777777" w:rsidTr="00B21873">
        <w:trPr>
          <w:trHeight w:val="923"/>
        </w:trPr>
        <w:tc>
          <w:tcPr>
            <w:tcW w:w="1957" w:type="pct"/>
          </w:tcPr>
          <w:p w14:paraId="651F6F35" w14:textId="77777777" w:rsidR="00641C5D" w:rsidRPr="00B21873" w:rsidRDefault="00641C5D" w:rsidP="00B21873">
            <w:pPr>
              <w:spacing w:line="240" w:lineRule="auto"/>
              <w:rPr>
                <w:szCs w:val="22"/>
              </w:rPr>
            </w:pPr>
            <w:r w:rsidRPr="00B21873">
              <w:rPr>
                <w:szCs w:val="22"/>
              </w:rPr>
              <w:t>Velmi vzácné</w:t>
            </w:r>
          </w:p>
          <w:p w14:paraId="01FA20F2" w14:textId="77777777" w:rsidR="00641C5D" w:rsidRPr="00B21873" w:rsidRDefault="00641C5D" w:rsidP="00B21873">
            <w:pPr>
              <w:spacing w:line="240" w:lineRule="auto"/>
              <w:rPr>
                <w:szCs w:val="22"/>
              </w:rPr>
            </w:pPr>
            <w:r w:rsidRPr="00B21873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3CE8B79" w14:textId="77777777" w:rsidR="00641C5D" w:rsidRPr="00B21873" w:rsidRDefault="00641C5D" w:rsidP="00B21873">
            <w:pPr>
              <w:spacing w:line="240" w:lineRule="auto"/>
              <w:rPr>
                <w:szCs w:val="22"/>
              </w:rPr>
            </w:pPr>
            <w:r w:rsidRPr="00B21873">
              <w:rPr>
                <w:szCs w:val="22"/>
              </w:rPr>
              <w:t>Individuální poškození gastrointestinálního traktu</w:t>
            </w:r>
          </w:p>
          <w:p w14:paraId="55C99D90" w14:textId="2E7B60A6" w:rsidR="00641C5D" w:rsidRPr="00B21873" w:rsidRDefault="00641C5D" w:rsidP="00B21873">
            <w:pPr>
              <w:spacing w:line="240" w:lineRule="auto"/>
              <w:rPr>
                <w:iCs/>
                <w:szCs w:val="22"/>
              </w:rPr>
            </w:pPr>
            <w:r w:rsidRPr="00B21873">
              <w:rPr>
                <w:szCs w:val="22"/>
              </w:rPr>
              <w:t>Renální intoleranc</w:t>
            </w:r>
            <w:r w:rsidR="001B5699">
              <w:rPr>
                <w:szCs w:val="22"/>
              </w:rPr>
              <w:t>e</w:t>
            </w:r>
          </w:p>
        </w:tc>
      </w:tr>
    </w:tbl>
    <w:p w14:paraId="16E9910E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4E4E92" w14:textId="44F737B7" w:rsidR="00A325C8" w:rsidRPr="00B21873" w:rsidRDefault="00A325C8" w:rsidP="00B21873">
      <w:pPr>
        <w:spacing w:line="240" w:lineRule="auto"/>
        <w:jc w:val="both"/>
        <w:rPr>
          <w:szCs w:val="22"/>
        </w:rPr>
      </w:pPr>
      <w:bookmarkStart w:id="16" w:name="_Hlk127278522"/>
      <w:bookmarkStart w:id="17" w:name="_Hlk161521033"/>
      <w:r w:rsidRPr="00B21873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B5699">
        <w:rPr>
          <w:szCs w:val="22"/>
        </w:rPr>
        <w:t>i</w:t>
      </w:r>
      <w:r w:rsidRPr="00B21873">
        <w:rPr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  <w:bookmarkEnd w:id="16"/>
      <w:r w:rsidR="00641C5D" w:rsidRPr="00B21873">
        <w:rPr>
          <w:szCs w:val="22"/>
        </w:rPr>
        <w:t xml:space="preserve"> </w:t>
      </w:r>
    </w:p>
    <w:p w14:paraId="2D0339E5" w14:textId="77777777" w:rsidR="001B5699" w:rsidRDefault="001B5699" w:rsidP="00B21873">
      <w:pPr>
        <w:spacing w:line="240" w:lineRule="auto"/>
        <w:jc w:val="both"/>
        <w:rPr>
          <w:szCs w:val="22"/>
        </w:rPr>
      </w:pPr>
      <w:bookmarkStart w:id="18" w:name="_Hlk138314501"/>
    </w:p>
    <w:p w14:paraId="3A290471" w14:textId="2438AAF5" w:rsidR="00A325C8" w:rsidRPr="00B21873" w:rsidRDefault="00A325C8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Ústav pro státní kontrolu veterinárních biopreparátů a léčiv </w:t>
      </w:r>
    </w:p>
    <w:p w14:paraId="529C2EE1" w14:textId="6FD0C534" w:rsidR="00A325C8" w:rsidRPr="00B21873" w:rsidRDefault="00A325C8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Hudcova 232/56</w:t>
      </w:r>
      <w:r w:rsidR="001B5699">
        <w:rPr>
          <w:szCs w:val="22"/>
        </w:rPr>
        <w:t xml:space="preserve"> </w:t>
      </w:r>
      <w:r w:rsidRPr="00B21873">
        <w:rPr>
          <w:szCs w:val="22"/>
        </w:rPr>
        <w:t xml:space="preserve">a </w:t>
      </w:r>
    </w:p>
    <w:p w14:paraId="4CBF40AF" w14:textId="77777777" w:rsidR="00A325C8" w:rsidRPr="00B21873" w:rsidRDefault="00A325C8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621 00 Brno</w:t>
      </w:r>
    </w:p>
    <w:p w14:paraId="60215655" w14:textId="4E3798CB" w:rsidR="00A325C8" w:rsidRPr="00B21873" w:rsidRDefault="001B5699" w:rsidP="00B21873">
      <w:pPr>
        <w:spacing w:line="240" w:lineRule="auto"/>
        <w:jc w:val="both"/>
        <w:rPr>
          <w:szCs w:val="22"/>
        </w:rPr>
      </w:pPr>
      <w:r>
        <w:rPr>
          <w:szCs w:val="22"/>
        </w:rPr>
        <w:t>E-m</w:t>
      </w:r>
      <w:r w:rsidR="00A325C8" w:rsidRPr="00B21873">
        <w:rPr>
          <w:szCs w:val="22"/>
        </w:rPr>
        <w:t>ail: adr@uskvbl.cz</w:t>
      </w:r>
    </w:p>
    <w:p w14:paraId="79F9F622" w14:textId="77777777" w:rsidR="00A325C8" w:rsidRPr="00B21873" w:rsidRDefault="00A325C8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lastRenderedPageBreak/>
        <w:t xml:space="preserve">Webové stránky: </w:t>
      </w:r>
      <w:hyperlink r:id="rId7" w:history="1">
        <w:r w:rsidRPr="00B21873">
          <w:rPr>
            <w:rStyle w:val="Hypertextovodkaz"/>
            <w:szCs w:val="22"/>
          </w:rPr>
          <w:t>http://www.uskvbl.cz/cs/farmakovigilance</w:t>
        </w:r>
      </w:hyperlink>
    </w:p>
    <w:bookmarkEnd w:id="17"/>
    <w:bookmarkEnd w:id="18"/>
    <w:p w14:paraId="05646ED7" w14:textId="77777777" w:rsidR="00A325C8" w:rsidRPr="00B21873" w:rsidRDefault="00A325C8" w:rsidP="00B21873">
      <w:pPr>
        <w:spacing w:line="240" w:lineRule="auto"/>
        <w:rPr>
          <w:szCs w:val="22"/>
        </w:rPr>
      </w:pPr>
    </w:p>
    <w:p w14:paraId="311B535D" w14:textId="77777777" w:rsidR="00A325C8" w:rsidRPr="00B21873" w:rsidRDefault="00A325C8" w:rsidP="00B21873">
      <w:pPr>
        <w:pStyle w:val="Style1"/>
        <w:jc w:val="both"/>
      </w:pPr>
      <w:bookmarkStart w:id="19" w:name="_Hlk127278557"/>
      <w:r w:rsidRPr="00B21873">
        <w:rPr>
          <w:highlight w:val="lightGray"/>
        </w:rPr>
        <w:t>8.</w:t>
      </w:r>
      <w:r w:rsidRPr="00B21873">
        <w:tab/>
        <w:t>Dávkování pro každý druh, cesty a způsob podání</w:t>
      </w:r>
    </w:p>
    <w:bookmarkEnd w:id="19"/>
    <w:p w14:paraId="0059E70A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9C6019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  <w:u w:val="single"/>
        </w:rPr>
        <w:t>Skot:</w:t>
      </w:r>
      <w:r w:rsidRPr="00B21873">
        <w:rPr>
          <w:szCs w:val="22"/>
        </w:rPr>
        <w:t xml:space="preserve"> </w:t>
      </w:r>
    </w:p>
    <w:p w14:paraId="061F5D6D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Hluboko intramuskulárně nebo intravenózní podání.</w:t>
      </w:r>
    </w:p>
    <w:p w14:paraId="7C4FD6DE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3 mg léčivé látky na kg ž.hm., denně po dobu 1-3 dnů po sobě, hluboko intramuskulárně nebo intravenózně, tj. 3 ml přípravku na </w:t>
      </w:r>
      <w:smartTag w:uri="urn:schemas-microsoft-com:office:smarttags" w:element="metricconverter">
        <w:smartTagPr>
          <w:attr w:name="ProductID" w:val="100 kg"/>
        </w:smartTagPr>
        <w:r w:rsidRPr="00B21873">
          <w:rPr>
            <w:szCs w:val="22"/>
          </w:rPr>
          <w:t>100 kg</w:t>
        </w:r>
      </w:smartTag>
      <w:r w:rsidRPr="00B21873">
        <w:rPr>
          <w:szCs w:val="22"/>
        </w:rPr>
        <w:t xml:space="preserve"> ž.hm.</w:t>
      </w:r>
    </w:p>
    <w:p w14:paraId="1DF2EC4D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  <w:u w:val="single"/>
        </w:rPr>
        <w:t>Koně:</w:t>
      </w:r>
      <w:r w:rsidRPr="00B21873">
        <w:rPr>
          <w:szCs w:val="22"/>
        </w:rPr>
        <w:t xml:space="preserve"> </w:t>
      </w:r>
    </w:p>
    <w:p w14:paraId="0B5FFDF3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Intravenózní podání</w:t>
      </w:r>
    </w:p>
    <w:p w14:paraId="7C9DFAB0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2,2 mg léčivé látky na kg ž.hm., denně po dobu 3-5 dnů po sobě, intravenózní podání, tj. 1 ml přípravku na </w:t>
      </w:r>
      <w:smartTag w:uri="urn:schemas-microsoft-com:office:smarttags" w:element="metricconverter">
        <w:smartTagPr>
          <w:attr w:name="ProductID" w:val="45 kg"/>
        </w:smartTagPr>
        <w:r w:rsidRPr="00B21873">
          <w:rPr>
            <w:szCs w:val="22"/>
          </w:rPr>
          <w:t>45 kg</w:t>
        </w:r>
      </w:smartTag>
      <w:r w:rsidRPr="00B21873">
        <w:rPr>
          <w:szCs w:val="22"/>
        </w:rPr>
        <w:t xml:space="preserve"> ž.hm.</w:t>
      </w:r>
    </w:p>
    <w:p w14:paraId="53A7209B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  <w:u w:val="single"/>
        </w:rPr>
        <w:t>Prasata:</w:t>
      </w:r>
      <w:r w:rsidRPr="00B21873">
        <w:rPr>
          <w:szCs w:val="22"/>
        </w:rPr>
        <w:t xml:space="preserve"> </w:t>
      </w:r>
    </w:p>
    <w:p w14:paraId="4D9ABF16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Intramuskulární podání. </w:t>
      </w:r>
    </w:p>
    <w:p w14:paraId="44A19498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3 mg léčivé látky na kg ž.hm., tj. 3 ml přípravku na </w:t>
      </w:r>
      <w:smartTag w:uri="urn:schemas-microsoft-com:office:smarttags" w:element="metricconverter">
        <w:smartTagPr>
          <w:attr w:name="ProductID" w:val="100 kg"/>
        </w:smartTagPr>
        <w:r w:rsidRPr="00B21873">
          <w:rPr>
            <w:szCs w:val="22"/>
          </w:rPr>
          <w:t>100 kg</w:t>
        </w:r>
      </w:smartTag>
      <w:r w:rsidRPr="00B21873">
        <w:rPr>
          <w:szCs w:val="22"/>
        </w:rPr>
        <w:t xml:space="preserve"> ž.hm. intramuskulárně.</w:t>
      </w:r>
    </w:p>
    <w:p w14:paraId="14010C5B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816C4B" w14:textId="77777777" w:rsidR="00641C5D" w:rsidRPr="00B21873" w:rsidRDefault="00641C5D" w:rsidP="00B21873">
      <w:pPr>
        <w:spacing w:line="240" w:lineRule="auto"/>
        <w:jc w:val="both"/>
        <w:rPr>
          <w:b/>
          <w:szCs w:val="22"/>
        </w:rPr>
      </w:pPr>
      <w:r w:rsidRPr="00B21873">
        <w:rPr>
          <w:szCs w:val="22"/>
        </w:rPr>
        <w:t>Nepropichujte zátku více než 45krát. Při léčbě velkých skupin zvířat najednou, použijte automatické dávkovací zařízení.</w:t>
      </w:r>
    </w:p>
    <w:p w14:paraId="311B78B7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A4ECB3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43A880" w14:textId="77777777" w:rsidR="00A325C8" w:rsidRPr="00B21873" w:rsidRDefault="00A325C8" w:rsidP="00B21873">
      <w:pPr>
        <w:pStyle w:val="Style1"/>
        <w:jc w:val="both"/>
      </w:pPr>
      <w:bookmarkStart w:id="20" w:name="_Hlk127278568"/>
      <w:r w:rsidRPr="00B21873">
        <w:rPr>
          <w:highlight w:val="lightGray"/>
        </w:rPr>
        <w:t>9.</w:t>
      </w:r>
      <w:r w:rsidRPr="00B21873">
        <w:tab/>
        <w:t>Informace o správném podávání</w:t>
      </w:r>
    </w:p>
    <w:bookmarkEnd w:id="20"/>
    <w:p w14:paraId="49A3E323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473EF3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D46BFDA" w14:textId="77777777" w:rsidR="00A325C8" w:rsidRPr="00B21873" w:rsidRDefault="00A325C8" w:rsidP="00B21873">
      <w:pPr>
        <w:pStyle w:val="Style1"/>
        <w:jc w:val="both"/>
      </w:pPr>
      <w:bookmarkStart w:id="21" w:name="_Hlk127278575"/>
      <w:r w:rsidRPr="00B21873">
        <w:rPr>
          <w:highlight w:val="lightGray"/>
        </w:rPr>
        <w:t>10.</w:t>
      </w:r>
      <w:r w:rsidRPr="00B21873">
        <w:tab/>
        <w:t>Ochranné lhůty</w:t>
      </w:r>
    </w:p>
    <w:bookmarkEnd w:id="21"/>
    <w:p w14:paraId="7E3AE449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F0349A9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  <w:u w:val="single"/>
        </w:rPr>
        <w:t>Skot</w:t>
      </w:r>
      <w:r w:rsidRPr="00B21873">
        <w:rPr>
          <w:szCs w:val="22"/>
        </w:rPr>
        <w:t>: maso: po intramuskulární podání: 4 dny            </w:t>
      </w:r>
    </w:p>
    <w:p w14:paraId="4C2DBA53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                    po intravenózním podání: 1 den </w:t>
      </w:r>
    </w:p>
    <w:p w14:paraId="1151EB81" w14:textId="5AD182AC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         mléko: </w:t>
      </w:r>
      <w:r w:rsidR="008F3D05">
        <w:rPr>
          <w:szCs w:val="22"/>
        </w:rPr>
        <w:t>B</w:t>
      </w:r>
      <w:r w:rsidRPr="00B21873">
        <w:rPr>
          <w:szCs w:val="22"/>
        </w:rPr>
        <w:t>ez ochranných lhůt</w:t>
      </w:r>
      <w:r w:rsidR="00594F18">
        <w:rPr>
          <w:szCs w:val="22"/>
        </w:rPr>
        <w:t>.</w:t>
      </w:r>
    </w:p>
    <w:p w14:paraId="0EC4762E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  <w:u w:val="single"/>
        </w:rPr>
        <w:t>Prasata</w:t>
      </w:r>
      <w:r w:rsidRPr="00B21873">
        <w:rPr>
          <w:szCs w:val="22"/>
        </w:rPr>
        <w:t>: maso: 4 dny</w:t>
      </w:r>
    </w:p>
    <w:p w14:paraId="21F66CAC" w14:textId="77777777" w:rsidR="00641C5D" w:rsidRPr="00B21873" w:rsidRDefault="00641C5D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  <w:u w:val="single"/>
        </w:rPr>
        <w:t>Koně</w:t>
      </w:r>
      <w:r w:rsidRPr="00B21873">
        <w:rPr>
          <w:szCs w:val="22"/>
        </w:rPr>
        <w:t xml:space="preserve">: maso: 1 den </w:t>
      </w:r>
    </w:p>
    <w:p w14:paraId="3454B969" w14:textId="328EE544" w:rsidR="00A325C8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Nepoužívat u klisen, jejichž mléko je určeno pro lidsk</w:t>
      </w:r>
      <w:r w:rsidR="00594F18">
        <w:rPr>
          <w:szCs w:val="22"/>
        </w:rPr>
        <w:t>ou spotřebu</w:t>
      </w:r>
      <w:r w:rsidRPr="00B21873">
        <w:rPr>
          <w:szCs w:val="22"/>
        </w:rPr>
        <w:t>.</w:t>
      </w:r>
    </w:p>
    <w:p w14:paraId="37A819BD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CB3F0F" w14:textId="77777777" w:rsidR="00641C5D" w:rsidRPr="00B21873" w:rsidRDefault="00641C5D" w:rsidP="00B2187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159B269" w14:textId="77777777" w:rsidR="00A325C8" w:rsidRPr="00B21873" w:rsidRDefault="00A325C8" w:rsidP="00B21873">
      <w:pPr>
        <w:pStyle w:val="Style1"/>
        <w:jc w:val="both"/>
      </w:pPr>
      <w:bookmarkStart w:id="22" w:name="_Hlk127278587"/>
      <w:r w:rsidRPr="00B21873">
        <w:rPr>
          <w:highlight w:val="lightGray"/>
        </w:rPr>
        <w:t>11.</w:t>
      </w:r>
      <w:r w:rsidRPr="00B21873">
        <w:tab/>
        <w:t>Zvláštní opatření pro uchovávání</w:t>
      </w:r>
    </w:p>
    <w:bookmarkEnd w:id="22"/>
    <w:p w14:paraId="591E21A3" w14:textId="77777777" w:rsidR="00A325C8" w:rsidRPr="00B21873" w:rsidRDefault="00A325C8" w:rsidP="00B2187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3FD4C98" w14:textId="77777777" w:rsidR="00A325C8" w:rsidRPr="00B21873" w:rsidRDefault="00A325C8" w:rsidP="00B2187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Uchovávejte mimo dohled a dosah dětí.</w:t>
      </w:r>
    </w:p>
    <w:p w14:paraId="57705003" w14:textId="77777777" w:rsidR="00A325C8" w:rsidRPr="00B21873" w:rsidRDefault="00A325C8" w:rsidP="00B2187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C9CBC8F" w14:textId="77777777" w:rsidR="00641C5D" w:rsidRPr="00B21873" w:rsidRDefault="00641C5D" w:rsidP="00B21873">
      <w:pPr>
        <w:pStyle w:val="Seznam"/>
        <w:widowControl/>
        <w:tabs>
          <w:tab w:val="left" w:pos="709"/>
        </w:tabs>
        <w:jc w:val="both"/>
        <w:rPr>
          <w:sz w:val="22"/>
          <w:szCs w:val="22"/>
        </w:rPr>
      </w:pPr>
      <w:r w:rsidRPr="00B21873">
        <w:rPr>
          <w:sz w:val="22"/>
          <w:szCs w:val="22"/>
        </w:rPr>
        <w:t>Uchovávejte při teplotě do 25 °C.</w:t>
      </w:r>
    </w:p>
    <w:p w14:paraId="43FA791D" w14:textId="77777777" w:rsidR="00641C5D" w:rsidRPr="00B21873" w:rsidRDefault="00641C5D" w:rsidP="00B21873">
      <w:pPr>
        <w:pStyle w:val="Seznam"/>
        <w:widowControl/>
        <w:tabs>
          <w:tab w:val="left" w:pos="709"/>
        </w:tabs>
        <w:ind w:left="0" w:firstLine="1"/>
        <w:jc w:val="both"/>
        <w:rPr>
          <w:sz w:val="22"/>
          <w:szCs w:val="22"/>
        </w:rPr>
      </w:pPr>
      <w:r w:rsidRPr="00B21873">
        <w:rPr>
          <w:sz w:val="22"/>
          <w:szCs w:val="22"/>
        </w:rPr>
        <w:t>Vícevrstvá plastová injekční lahvička: Uchovávejte injekční lahvičku v krabičce, aby byla chráněna před světlem.</w:t>
      </w:r>
    </w:p>
    <w:p w14:paraId="7B052C17" w14:textId="2EFE20F2" w:rsidR="00641C5D" w:rsidRPr="00B21873" w:rsidRDefault="00641C5D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Nepoužívejte tento veterinární léčivý přípravek po uplynutí doby použitelnosti uvedené na etiketě po Exp. Doba použitelnosti končí posledním dnem v uvedeném měsíci.</w:t>
      </w:r>
    </w:p>
    <w:p w14:paraId="10797767" w14:textId="77777777" w:rsidR="00641C5D" w:rsidRPr="00B21873" w:rsidRDefault="00641C5D" w:rsidP="00B21873">
      <w:pPr>
        <w:spacing w:line="240" w:lineRule="auto"/>
        <w:jc w:val="both"/>
        <w:rPr>
          <w:szCs w:val="22"/>
        </w:rPr>
      </w:pPr>
    </w:p>
    <w:p w14:paraId="075C042E" w14:textId="1EE66670" w:rsidR="00641C5D" w:rsidRPr="00B21873" w:rsidRDefault="00641C5D" w:rsidP="00B2187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Doba použitelnosti po prvním otevření vnitřního obalu: 28 dní.</w:t>
      </w:r>
    </w:p>
    <w:p w14:paraId="28D8EE83" w14:textId="400355C6" w:rsidR="00A325C8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FE56E2" w14:textId="77777777" w:rsidR="00B21873" w:rsidRPr="00B21873" w:rsidRDefault="00B21873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42CE5E" w14:textId="77777777" w:rsidR="00A325C8" w:rsidRPr="00B21873" w:rsidRDefault="00A325C8" w:rsidP="00B21873">
      <w:pPr>
        <w:pStyle w:val="Style1"/>
        <w:keepNext/>
        <w:jc w:val="both"/>
      </w:pPr>
      <w:bookmarkStart w:id="23" w:name="_Hlk127278598"/>
      <w:r w:rsidRPr="00B21873">
        <w:rPr>
          <w:highlight w:val="lightGray"/>
        </w:rPr>
        <w:t>12.</w:t>
      </w:r>
      <w:r w:rsidRPr="00B21873">
        <w:tab/>
        <w:t>Zvláštní opatření pro likvidaci</w:t>
      </w:r>
    </w:p>
    <w:bookmarkEnd w:id="23"/>
    <w:p w14:paraId="0EF3A2A9" w14:textId="77777777" w:rsidR="00A325C8" w:rsidRPr="00B21873" w:rsidRDefault="00A325C8" w:rsidP="00B2187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3B3F98F" w14:textId="446AFBE4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4" w:name="_Hlk127278608"/>
      <w:r w:rsidRPr="00B21873">
        <w:rPr>
          <w:szCs w:val="22"/>
        </w:rPr>
        <w:t>Léčivé přípravky se nesmí likvidovat prostřednictvím odpadní vody či domovního odpadu.</w:t>
      </w:r>
    </w:p>
    <w:bookmarkEnd w:id="24"/>
    <w:p w14:paraId="1A79C213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0DD1CE" w14:textId="77777777" w:rsidR="00A325C8" w:rsidRPr="00B21873" w:rsidRDefault="00A325C8" w:rsidP="00B21873">
      <w:pPr>
        <w:spacing w:line="240" w:lineRule="auto"/>
        <w:jc w:val="both"/>
        <w:rPr>
          <w:szCs w:val="22"/>
        </w:rPr>
      </w:pPr>
      <w:bookmarkStart w:id="25" w:name="_Hlk127278625"/>
      <w:bookmarkStart w:id="26" w:name="_Hlk161521153"/>
      <w:r w:rsidRPr="00B21873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5"/>
    <w:p w14:paraId="7A369530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064BF9" w14:textId="679357A2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7" w:name="_Hlk127346742"/>
      <w:r w:rsidRPr="00B21873">
        <w:rPr>
          <w:szCs w:val="22"/>
        </w:rPr>
        <w:lastRenderedPageBreak/>
        <w:t>O možnostech likvidace nepotřebných léčivých přípravků se poraďte s vaším veterinárním lékařem nebo lékárníkem</w:t>
      </w:r>
      <w:bookmarkEnd w:id="27"/>
      <w:r w:rsidRPr="00B21873">
        <w:rPr>
          <w:szCs w:val="22"/>
        </w:rPr>
        <w:t>.</w:t>
      </w:r>
      <w:bookmarkEnd w:id="26"/>
    </w:p>
    <w:p w14:paraId="5B9D5AE9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EB5731D" w14:textId="77777777" w:rsidR="00A325C8" w:rsidRPr="00B21873" w:rsidRDefault="00A325C8" w:rsidP="00B2187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20DEA8A" w14:textId="77777777" w:rsidR="00A325C8" w:rsidRPr="00B21873" w:rsidRDefault="00A325C8" w:rsidP="00B21873">
      <w:pPr>
        <w:pStyle w:val="Style1"/>
        <w:jc w:val="both"/>
      </w:pPr>
      <w:bookmarkStart w:id="28" w:name="_Hlk127278636"/>
      <w:bookmarkStart w:id="29" w:name="_Hlk161521194"/>
      <w:r w:rsidRPr="00B21873">
        <w:rPr>
          <w:highlight w:val="lightGray"/>
        </w:rPr>
        <w:t>13.</w:t>
      </w:r>
      <w:r w:rsidRPr="00B21873">
        <w:tab/>
        <w:t>Klasifikace veterinárních léčivých přípravků</w:t>
      </w:r>
    </w:p>
    <w:bookmarkEnd w:id="28"/>
    <w:p w14:paraId="7AEB8326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1352E6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Veterinární léčivý přípravek je vydáván pouze na předpis.</w:t>
      </w:r>
    </w:p>
    <w:p w14:paraId="58601267" w14:textId="77777777" w:rsidR="00A325C8" w:rsidRPr="00B21873" w:rsidRDefault="00A325C8" w:rsidP="00B21873">
      <w:pPr>
        <w:pStyle w:val="Style1"/>
        <w:jc w:val="both"/>
        <w:rPr>
          <w:highlight w:val="lightGray"/>
        </w:rPr>
      </w:pPr>
      <w:bookmarkStart w:id="30" w:name="_Hlk127278644"/>
    </w:p>
    <w:p w14:paraId="190FF29D" w14:textId="77777777" w:rsidR="00B21873" w:rsidRDefault="00B21873" w:rsidP="00B21873">
      <w:pPr>
        <w:pStyle w:val="Style1"/>
        <w:jc w:val="both"/>
        <w:rPr>
          <w:highlight w:val="lightGray"/>
        </w:rPr>
      </w:pPr>
    </w:p>
    <w:p w14:paraId="78AED2E1" w14:textId="355500E4" w:rsidR="00A325C8" w:rsidRPr="00B21873" w:rsidRDefault="00A325C8" w:rsidP="00B21873">
      <w:pPr>
        <w:pStyle w:val="Style1"/>
        <w:jc w:val="both"/>
      </w:pPr>
      <w:r w:rsidRPr="00B21873">
        <w:rPr>
          <w:highlight w:val="lightGray"/>
        </w:rPr>
        <w:t>14.</w:t>
      </w:r>
      <w:r w:rsidRPr="00B21873">
        <w:tab/>
        <w:t>Registrační čísla a velikosti balení</w:t>
      </w:r>
    </w:p>
    <w:bookmarkEnd w:id="30"/>
    <w:p w14:paraId="65DCFD4B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63CC20" w14:textId="719AB1C4" w:rsidR="002F6992" w:rsidRPr="00B21873" w:rsidRDefault="002F6992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96/1336/97-C</w:t>
      </w:r>
    </w:p>
    <w:p w14:paraId="4BE403DD" w14:textId="77777777" w:rsidR="002F6992" w:rsidRPr="00B21873" w:rsidRDefault="002F6992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81A31D" w14:textId="77777777" w:rsidR="002F6992" w:rsidRPr="00B21873" w:rsidRDefault="002F6992" w:rsidP="00B21873">
      <w:pPr>
        <w:pStyle w:val="Seznam"/>
        <w:widowControl/>
        <w:jc w:val="both"/>
        <w:rPr>
          <w:sz w:val="22"/>
          <w:szCs w:val="22"/>
        </w:rPr>
      </w:pPr>
      <w:r w:rsidRPr="00B21873">
        <w:rPr>
          <w:sz w:val="22"/>
          <w:szCs w:val="22"/>
        </w:rPr>
        <w:t xml:space="preserve">Velikosti balení: </w:t>
      </w:r>
    </w:p>
    <w:p w14:paraId="595B3705" w14:textId="77777777" w:rsidR="002F6992" w:rsidRPr="00B21873" w:rsidRDefault="002F6992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50, 100 a 250ml injekční lahvičky z hnědého skla typu II s </w:t>
      </w:r>
      <w:proofErr w:type="spellStart"/>
      <w:r w:rsidRPr="00B21873">
        <w:rPr>
          <w:szCs w:val="22"/>
        </w:rPr>
        <w:t>chlorobutylovou</w:t>
      </w:r>
      <w:proofErr w:type="spellEnd"/>
      <w:r w:rsidRPr="00B21873">
        <w:rPr>
          <w:szCs w:val="22"/>
        </w:rPr>
        <w:t xml:space="preserve"> zátkou. </w:t>
      </w:r>
    </w:p>
    <w:p w14:paraId="1B5AB075" w14:textId="77777777" w:rsidR="002F6992" w:rsidRPr="00B21873" w:rsidRDefault="002F6992" w:rsidP="00B21873">
      <w:pPr>
        <w:tabs>
          <w:tab w:val="left" w:pos="709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50, 100 a 250ml injekční lahvičky z jantarového vícevrstvého plastu (polypropylen/pojivo/</w:t>
      </w:r>
      <w:proofErr w:type="spellStart"/>
      <w:r w:rsidRPr="00B21873">
        <w:rPr>
          <w:szCs w:val="22"/>
        </w:rPr>
        <w:t>ethylen</w:t>
      </w:r>
      <w:proofErr w:type="spellEnd"/>
      <w:r w:rsidRPr="00B21873">
        <w:rPr>
          <w:szCs w:val="22"/>
        </w:rPr>
        <w:t xml:space="preserve"> vinil alkohol/pojivo/polypropylen) s </w:t>
      </w:r>
      <w:proofErr w:type="spellStart"/>
      <w:r w:rsidRPr="00B21873">
        <w:rPr>
          <w:szCs w:val="22"/>
        </w:rPr>
        <w:t>bromobutylovou</w:t>
      </w:r>
      <w:proofErr w:type="spellEnd"/>
      <w:r w:rsidRPr="00B21873">
        <w:rPr>
          <w:szCs w:val="22"/>
        </w:rPr>
        <w:t xml:space="preserve"> zátkou.</w:t>
      </w:r>
    </w:p>
    <w:p w14:paraId="013032BA" w14:textId="77777777" w:rsidR="002F6992" w:rsidRPr="00B21873" w:rsidRDefault="002F6992" w:rsidP="00B21873">
      <w:pPr>
        <w:tabs>
          <w:tab w:val="left" w:pos="709"/>
        </w:tabs>
        <w:spacing w:line="240" w:lineRule="auto"/>
        <w:jc w:val="both"/>
        <w:rPr>
          <w:szCs w:val="22"/>
        </w:rPr>
      </w:pPr>
    </w:p>
    <w:p w14:paraId="76CF306C" w14:textId="406E86F2" w:rsidR="002F6992" w:rsidRPr="00B21873" w:rsidRDefault="002F6992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Papírová krabička s 1 injekční lahvičkou.</w:t>
      </w:r>
    </w:p>
    <w:p w14:paraId="6DD3F600" w14:textId="77777777" w:rsidR="002F6992" w:rsidRPr="00B21873" w:rsidRDefault="002F6992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EE1450" w14:textId="1E7BC6C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Na trhu nemusí být všechny velikosti balení.</w:t>
      </w:r>
    </w:p>
    <w:p w14:paraId="6D8E3ABE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708AA1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8302D9" w14:textId="77777777" w:rsidR="00A325C8" w:rsidRPr="00B21873" w:rsidRDefault="00A325C8" w:rsidP="00B21873">
      <w:pPr>
        <w:pStyle w:val="Style1"/>
        <w:jc w:val="both"/>
      </w:pPr>
      <w:bookmarkStart w:id="31" w:name="_Hlk127278656"/>
      <w:r w:rsidRPr="00B21873">
        <w:rPr>
          <w:highlight w:val="lightGray"/>
        </w:rPr>
        <w:t>15.</w:t>
      </w:r>
      <w:r w:rsidRPr="00B21873">
        <w:tab/>
        <w:t>Datum poslední revize příbalové informace</w:t>
      </w:r>
    </w:p>
    <w:bookmarkEnd w:id="29"/>
    <w:bookmarkEnd w:id="31"/>
    <w:p w14:paraId="79114028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D72C27" w14:textId="6095368E" w:rsidR="00A325C8" w:rsidRPr="00B21873" w:rsidRDefault="00C177C5" w:rsidP="00B21873">
      <w:pPr>
        <w:spacing w:line="240" w:lineRule="auto"/>
        <w:jc w:val="both"/>
        <w:rPr>
          <w:szCs w:val="22"/>
        </w:rPr>
      </w:pPr>
      <w:r>
        <w:rPr>
          <w:szCs w:val="22"/>
        </w:rPr>
        <w:t>01</w:t>
      </w:r>
      <w:r w:rsidR="00B21873">
        <w:rPr>
          <w:szCs w:val="22"/>
        </w:rPr>
        <w:t>/202</w:t>
      </w:r>
      <w:r>
        <w:rPr>
          <w:szCs w:val="22"/>
        </w:rPr>
        <w:t>5</w:t>
      </w:r>
    </w:p>
    <w:p w14:paraId="0C47D6E1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0B1FA0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2" w:name="_Hlk127278666"/>
      <w:r w:rsidRPr="00B21873">
        <w:rPr>
          <w:szCs w:val="22"/>
        </w:rPr>
        <w:t xml:space="preserve">Podrobné informace o tomto veterinárním léčivém přípravku jsou k dispozici v databázi přípravků Unie </w:t>
      </w:r>
      <w:r w:rsidRPr="00660EFB">
        <w:rPr>
          <w:szCs w:val="22"/>
        </w:rPr>
        <w:t>(</w:t>
      </w:r>
      <w:hyperlink r:id="rId8" w:history="1">
        <w:r w:rsidRPr="00660EFB">
          <w:rPr>
            <w:rStyle w:val="Hypertextovodkaz"/>
            <w:color w:val="auto"/>
            <w:szCs w:val="22"/>
            <w:u w:val="none"/>
          </w:rPr>
          <w:t>https://medicines.health.europa.eu/veterinary</w:t>
        </w:r>
      </w:hyperlink>
      <w:r w:rsidRPr="00660EFB">
        <w:rPr>
          <w:szCs w:val="22"/>
        </w:rPr>
        <w:t>).</w:t>
      </w:r>
    </w:p>
    <w:p w14:paraId="34C90535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D9920E" w14:textId="1AF7D011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1873">
        <w:rPr>
          <w:szCs w:val="22"/>
        </w:rPr>
        <w:t>Podrobné informace o tomto veterinárním léčivém přípravku naleznete také v národní databázi (https://www.uskvbl.cz).</w:t>
      </w:r>
    </w:p>
    <w:bookmarkEnd w:id="32"/>
    <w:p w14:paraId="1BC4E7B9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A665E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360CE7" w14:textId="77777777" w:rsidR="00A325C8" w:rsidRPr="00B21873" w:rsidRDefault="00A325C8" w:rsidP="00B21873">
      <w:pPr>
        <w:pStyle w:val="Style1"/>
        <w:jc w:val="both"/>
      </w:pPr>
      <w:bookmarkStart w:id="33" w:name="_Hlk127278677"/>
      <w:bookmarkStart w:id="34" w:name="_Hlk161521298"/>
      <w:bookmarkStart w:id="35" w:name="_Hlk161520664"/>
      <w:r w:rsidRPr="00B21873">
        <w:rPr>
          <w:highlight w:val="lightGray"/>
        </w:rPr>
        <w:t>16.</w:t>
      </w:r>
      <w:r w:rsidRPr="00B21873">
        <w:tab/>
        <w:t>Kontaktní údaje</w:t>
      </w:r>
    </w:p>
    <w:bookmarkEnd w:id="33"/>
    <w:p w14:paraId="3499AAFF" w14:textId="77777777" w:rsidR="00A325C8" w:rsidRPr="00B21873" w:rsidRDefault="00A325C8" w:rsidP="00B2187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41D182" w14:textId="63804F5A" w:rsidR="00A325C8" w:rsidRPr="00B21873" w:rsidRDefault="00A325C8" w:rsidP="00B21873">
      <w:pPr>
        <w:spacing w:line="240" w:lineRule="auto"/>
        <w:jc w:val="both"/>
        <w:rPr>
          <w:szCs w:val="22"/>
        </w:rPr>
      </w:pPr>
      <w:bookmarkStart w:id="36" w:name="_Hlk161520690"/>
      <w:bookmarkStart w:id="37" w:name="_Hlk73552578"/>
      <w:r w:rsidRPr="00B21873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21873">
        <w:rPr>
          <w:szCs w:val="22"/>
        </w:rPr>
        <w:t>:</w:t>
      </w:r>
      <w:bookmarkEnd w:id="36"/>
    </w:p>
    <w:p w14:paraId="631D0832" w14:textId="77777777" w:rsidR="002F6992" w:rsidRPr="00B21873" w:rsidRDefault="002F6992" w:rsidP="00B21873">
      <w:pPr>
        <w:spacing w:line="240" w:lineRule="auto"/>
        <w:jc w:val="both"/>
        <w:rPr>
          <w:szCs w:val="22"/>
        </w:rPr>
      </w:pPr>
      <w:proofErr w:type="spellStart"/>
      <w:r w:rsidRPr="00B21873">
        <w:rPr>
          <w:szCs w:val="22"/>
        </w:rPr>
        <w:t>Ceva</w:t>
      </w:r>
      <w:proofErr w:type="spellEnd"/>
      <w:r w:rsidRPr="00B21873">
        <w:rPr>
          <w:szCs w:val="22"/>
        </w:rPr>
        <w:t xml:space="preserve"> </w:t>
      </w:r>
      <w:proofErr w:type="spellStart"/>
      <w:r w:rsidRPr="00B21873">
        <w:rPr>
          <w:szCs w:val="22"/>
        </w:rPr>
        <w:t>Santé</w:t>
      </w:r>
      <w:proofErr w:type="spellEnd"/>
      <w:r w:rsidRPr="00B21873">
        <w:rPr>
          <w:szCs w:val="22"/>
        </w:rPr>
        <w:t xml:space="preserve"> Animale, 10, </w:t>
      </w:r>
      <w:proofErr w:type="spellStart"/>
      <w:r w:rsidRPr="00B21873">
        <w:rPr>
          <w:szCs w:val="22"/>
        </w:rPr>
        <w:t>av</w:t>
      </w:r>
      <w:proofErr w:type="spellEnd"/>
      <w:r w:rsidRPr="00B21873">
        <w:rPr>
          <w:szCs w:val="22"/>
        </w:rPr>
        <w:t xml:space="preserve">. de La </w:t>
      </w:r>
      <w:proofErr w:type="spellStart"/>
      <w:r w:rsidRPr="00B21873">
        <w:rPr>
          <w:szCs w:val="22"/>
        </w:rPr>
        <w:t>Ballastière</w:t>
      </w:r>
      <w:proofErr w:type="spellEnd"/>
      <w:r w:rsidRPr="00B21873">
        <w:rPr>
          <w:szCs w:val="22"/>
        </w:rPr>
        <w:t xml:space="preserve">, 33500 </w:t>
      </w:r>
      <w:proofErr w:type="spellStart"/>
      <w:r w:rsidRPr="00B21873">
        <w:rPr>
          <w:szCs w:val="22"/>
        </w:rPr>
        <w:t>Libourne</w:t>
      </w:r>
      <w:proofErr w:type="spellEnd"/>
      <w:r w:rsidRPr="00B21873">
        <w:rPr>
          <w:szCs w:val="22"/>
        </w:rPr>
        <w:t>, Francie</w:t>
      </w:r>
    </w:p>
    <w:p w14:paraId="260F1410" w14:textId="77777777" w:rsidR="00A325C8" w:rsidRPr="00B21873" w:rsidRDefault="00A325C8" w:rsidP="00B21873">
      <w:pPr>
        <w:spacing w:line="240" w:lineRule="auto"/>
        <w:jc w:val="both"/>
        <w:rPr>
          <w:szCs w:val="22"/>
        </w:rPr>
      </w:pPr>
      <w:bookmarkStart w:id="38" w:name="_Hlk161520717"/>
      <w:bookmarkEnd w:id="37"/>
      <w:r w:rsidRPr="00B21873">
        <w:rPr>
          <w:szCs w:val="22"/>
        </w:rPr>
        <w:t xml:space="preserve">Email: </w:t>
      </w:r>
      <w:hyperlink r:id="rId9" w:history="1">
        <w:r w:rsidRPr="00B21873">
          <w:rPr>
            <w:rStyle w:val="Hypertextovodkaz"/>
            <w:szCs w:val="22"/>
            <w:lang w:val="fr-FR"/>
          </w:rPr>
          <w:t>pharmacovigilance@ceva.com</w:t>
        </w:r>
      </w:hyperlink>
      <w:bookmarkEnd w:id="38"/>
      <w:r w:rsidRPr="00B21873">
        <w:rPr>
          <w:szCs w:val="22"/>
          <w:lang w:val="fr-FR"/>
        </w:rPr>
        <w:t xml:space="preserve"> , </w:t>
      </w:r>
      <w:hyperlink r:id="rId10" w:history="1">
        <w:r w:rsidRPr="00B21873">
          <w:rPr>
            <w:rStyle w:val="Hypertextovodkaz"/>
            <w:szCs w:val="22"/>
          </w:rPr>
          <w:t>ceva@ceva-ah.sk</w:t>
        </w:r>
      </w:hyperlink>
      <w:r w:rsidRPr="00B21873">
        <w:rPr>
          <w:szCs w:val="22"/>
        </w:rPr>
        <w:t xml:space="preserve"> </w:t>
      </w:r>
      <w:r w:rsidRPr="00B21873">
        <w:rPr>
          <w:b/>
          <w:szCs w:val="22"/>
        </w:rPr>
        <w:t xml:space="preserve">  </w:t>
      </w:r>
    </w:p>
    <w:p w14:paraId="2B816741" w14:textId="77777777" w:rsidR="00A325C8" w:rsidRPr="00B21873" w:rsidRDefault="00A325C8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>Tel: 00 800 35 22 11 51 </w:t>
      </w:r>
    </w:p>
    <w:bookmarkEnd w:id="34"/>
    <w:p w14:paraId="1E63005B" w14:textId="77777777" w:rsidR="00A325C8" w:rsidRPr="00B21873" w:rsidRDefault="00A325C8" w:rsidP="00B21873">
      <w:pPr>
        <w:spacing w:line="240" w:lineRule="auto"/>
        <w:jc w:val="both"/>
        <w:rPr>
          <w:bCs/>
          <w:szCs w:val="22"/>
          <w:u w:val="single"/>
        </w:rPr>
      </w:pPr>
    </w:p>
    <w:p w14:paraId="5711716F" w14:textId="77777777" w:rsidR="00A325C8" w:rsidRPr="00B21873" w:rsidRDefault="00A325C8" w:rsidP="00B21873">
      <w:pPr>
        <w:spacing w:line="240" w:lineRule="auto"/>
        <w:jc w:val="both"/>
        <w:rPr>
          <w:bCs/>
          <w:szCs w:val="22"/>
        </w:rPr>
      </w:pPr>
      <w:r w:rsidRPr="00B21873">
        <w:rPr>
          <w:bCs/>
          <w:szCs w:val="22"/>
          <w:u w:val="single"/>
        </w:rPr>
        <w:t>Výrobce odpovědný za uvolnění šarže</w:t>
      </w:r>
      <w:r w:rsidRPr="00B21873">
        <w:rPr>
          <w:szCs w:val="22"/>
        </w:rPr>
        <w:t>:</w:t>
      </w:r>
    </w:p>
    <w:bookmarkEnd w:id="35"/>
    <w:p w14:paraId="2C3EE820" w14:textId="77777777" w:rsidR="002F6992" w:rsidRPr="00B21873" w:rsidRDefault="002F6992" w:rsidP="00B21873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proofErr w:type="spellStart"/>
      <w:r w:rsidRPr="00B21873">
        <w:rPr>
          <w:rFonts w:eastAsia="Calibri"/>
          <w:szCs w:val="22"/>
        </w:rPr>
        <w:t>Ceva</w:t>
      </w:r>
      <w:proofErr w:type="spellEnd"/>
      <w:r w:rsidRPr="00B21873">
        <w:rPr>
          <w:rFonts w:eastAsia="Calibri"/>
          <w:szCs w:val="22"/>
        </w:rPr>
        <w:t xml:space="preserve"> </w:t>
      </w:r>
      <w:proofErr w:type="spellStart"/>
      <w:r w:rsidRPr="00B21873">
        <w:rPr>
          <w:rFonts w:eastAsia="Calibri"/>
          <w:szCs w:val="22"/>
        </w:rPr>
        <w:t>Santé</w:t>
      </w:r>
      <w:proofErr w:type="spellEnd"/>
      <w:r w:rsidRPr="00B21873">
        <w:rPr>
          <w:rFonts w:eastAsia="Calibri"/>
          <w:szCs w:val="22"/>
        </w:rPr>
        <w:t xml:space="preserve"> Animale,10, </w:t>
      </w:r>
      <w:proofErr w:type="spellStart"/>
      <w:r w:rsidRPr="00B21873">
        <w:rPr>
          <w:rFonts w:eastAsia="Calibri"/>
          <w:szCs w:val="22"/>
        </w:rPr>
        <w:t>av</w:t>
      </w:r>
      <w:proofErr w:type="spellEnd"/>
      <w:r w:rsidRPr="00B21873">
        <w:rPr>
          <w:rFonts w:eastAsia="Calibri"/>
          <w:szCs w:val="22"/>
        </w:rPr>
        <w:t xml:space="preserve">. de La Ballastière,33500 </w:t>
      </w:r>
      <w:proofErr w:type="spellStart"/>
      <w:r w:rsidRPr="00B21873">
        <w:rPr>
          <w:rFonts w:eastAsia="Calibri"/>
          <w:szCs w:val="22"/>
        </w:rPr>
        <w:t>Libourne</w:t>
      </w:r>
      <w:proofErr w:type="spellEnd"/>
      <w:r w:rsidRPr="00B21873">
        <w:rPr>
          <w:rFonts w:eastAsia="Calibri"/>
          <w:szCs w:val="22"/>
        </w:rPr>
        <w:t>, Francie</w:t>
      </w:r>
    </w:p>
    <w:p w14:paraId="0437CC3F" w14:textId="77777777" w:rsidR="002F6992" w:rsidRPr="00B21873" w:rsidRDefault="002F6992" w:rsidP="00B21873">
      <w:pPr>
        <w:spacing w:line="240" w:lineRule="auto"/>
        <w:jc w:val="both"/>
        <w:rPr>
          <w:szCs w:val="22"/>
        </w:rPr>
      </w:pPr>
      <w:r w:rsidRPr="00B21873">
        <w:rPr>
          <w:szCs w:val="22"/>
        </w:rPr>
        <w:t xml:space="preserve">MERIAL, 4 </w:t>
      </w:r>
      <w:proofErr w:type="spellStart"/>
      <w:r w:rsidRPr="00B21873">
        <w:rPr>
          <w:szCs w:val="22"/>
        </w:rPr>
        <w:t>chemin</w:t>
      </w:r>
      <w:proofErr w:type="spellEnd"/>
      <w:r w:rsidRPr="00B21873">
        <w:rPr>
          <w:szCs w:val="22"/>
        </w:rPr>
        <w:t xml:space="preserve"> </w:t>
      </w:r>
      <w:proofErr w:type="spellStart"/>
      <w:r w:rsidRPr="00B21873">
        <w:rPr>
          <w:szCs w:val="22"/>
        </w:rPr>
        <w:t>du</w:t>
      </w:r>
      <w:proofErr w:type="spellEnd"/>
      <w:r w:rsidRPr="00B21873">
        <w:rPr>
          <w:szCs w:val="22"/>
        </w:rPr>
        <w:t xml:space="preserve"> </w:t>
      </w:r>
      <w:proofErr w:type="spellStart"/>
      <w:r w:rsidRPr="00B21873">
        <w:rPr>
          <w:szCs w:val="22"/>
        </w:rPr>
        <w:t>Calquet</w:t>
      </w:r>
      <w:proofErr w:type="spellEnd"/>
      <w:r w:rsidRPr="00B21873">
        <w:rPr>
          <w:szCs w:val="22"/>
        </w:rPr>
        <w:t>, 31057 Toulouse, Francie</w:t>
      </w:r>
    </w:p>
    <w:p w14:paraId="53398903" w14:textId="00333C73" w:rsidR="00A325C8" w:rsidRDefault="00A325C8" w:rsidP="00B21873">
      <w:pPr>
        <w:spacing w:line="240" w:lineRule="auto"/>
        <w:jc w:val="both"/>
        <w:rPr>
          <w:bCs/>
          <w:szCs w:val="22"/>
        </w:rPr>
      </w:pPr>
    </w:p>
    <w:p w14:paraId="48A2B9D4" w14:textId="77777777" w:rsidR="00B21873" w:rsidRPr="00B21873" w:rsidRDefault="00B21873" w:rsidP="00B21873">
      <w:pPr>
        <w:spacing w:line="240" w:lineRule="auto"/>
        <w:jc w:val="both"/>
        <w:rPr>
          <w:bCs/>
          <w:szCs w:val="22"/>
        </w:rPr>
      </w:pPr>
    </w:p>
    <w:p w14:paraId="79CB5FE1" w14:textId="2F9E27F8" w:rsidR="00A325C8" w:rsidRPr="00B21873" w:rsidRDefault="00A325C8" w:rsidP="00B21873">
      <w:pPr>
        <w:pStyle w:val="Style1"/>
        <w:jc w:val="both"/>
      </w:pPr>
      <w:r w:rsidRPr="00B21873">
        <w:rPr>
          <w:highlight w:val="lightGray"/>
        </w:rPr>
        <w:t>17.</w:t>
      </w:r>
      <w:r w:rsidRPr="00B21873">
        <w:tab/>
        <w:t>Další informace</w:t>
      </w:r>
    </w:p>
    <w:p w14:paraId="27CE8E6B" w14:textId="77777777" w:rsidR="00AA0D57" w:rsidRPr="00B21873" w:rsidRDefault="00AA0D57" w:rsidP="00B21873">
      <w:pPr>
        <w:spacing w:line="240" w:lineRule="auto"/>
        <w:jc w:val="both"/>
        <w:rPr>
          <w:szCs w:val="22"/>
        </w:rPr>
      </w:pPr>
    </w:p>
    <w:sectPr w:rsidR="00AA0D57" w:rsidRPr="00B2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90CF" w14:textId="77777777" w:rsidR="0065056F" w:rsidRDefault="0065056F" w:rsidP="00206AC5">
      <w:pPr>
        <w:spacing w:line="240" w:lineRule="auto"/>
      </w:pPr>
      <w:r>
        <w:separator/>
      </w:r>
    </w:p>
  </w:endnote>
  <w:endnote w:type="continuationSeparator" w:id="0">
    <w:p w14:paraId="6493CF18" w14:textId="77777777" w:rsidR="0065056F" w:rsidRDefault="0065056F" w:rsidP="0020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242E3" w14:textId="77777777" w:rsidR="0065056F" w:rsidRDefault="0065056F" w:rsidP="00206AC5">
      <w:pPr>
        <w:spacing w:line="240" w:lineRule="auto"/>
      </w:pPr>
      <w:r>
        <w:separator/>
      </w:r>
    </w:p>
  </w:footnote>
  <w:footnote w:type="continuationSeparator" w:id="0">
    <w:p w14:paraId="4D6D5B60" w14:textId="77777777" w:rsidR="0065056F" w:rsidRDefault="0065056F" w:rsidP="00206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E"/>
    <w:rsid w:val="00005B62"/>
    <w:rsid w:val="00042683"/>
    <w:rsid w:val="000F072C"/>
    <w:rsid w:val="001B5699"/>
    <w:rsid w:val="00206AC5"/>
    <w:rsid w:val="00273F9D"/>
    <w:rsid w:val="002865F9"/>
    <w:rsid w:val="002F6992"/>
    <w:rsid w:val="00396F4E"/>
    <w:rsid w:val="0040653A"/>
    <w:rsid w:val="005259ED"/>
    <w:rsid w:val="00594F18"/>
    <w:rsid w:val="00641C5D"/>
    <w:rsid w:val="0065056F"/>
    <w:rsid w:val="00660EFB"/>
    <w:rsid w:val="00692071"/>
    <w:rsid w:val="006D69C1"/>
    <w:rsid w:val="00847B03"/>
    <w:rsid w:val="008F3D05"/>
    <w:rsid w:val="00A325C8"/>
    <w:rsid w:val="00AA0D57"/>
    <w:rsid w:val="00B21873"/>
    <w:rsid w:val="00B25A37"/>
    <w:rsid w:val="00C177C5"/>
    <w:rsid w:val="00C767B9"/>
    <w:rsid w:val="00C77694"/>
    <w:rsid w:val="00CC3CA4"/>
    <w:rsid w:val="00F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5785C8F"/>
  <w15:chartTrackingRefBased/>
  <w15:docId w15:val="{6451F89E-1062-4A0F-B761-F95BFCCF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25C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6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F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F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F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F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F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F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F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F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F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F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F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F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F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F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F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A325C8"/>
    <w:rPr>
      <w:color w:val="0000FF"/>
      <w:u w:val="single"/>
    </w:rPr>
  </w:style>
  <w:style w:type="paragraph" w:customStyle="1" w:styleId="Style1">
    <w:name w:val="Style1"/>
    <w:basedOn w:val="Normln"/>
    <w:qFormat/>
    <w:rsid w:val="00A325C8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A325C8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A325C8"/>
    <w:rPr>
      <w:szCs w:val="22"/>
    </w:rPr>
  </w:style>
  <w:style w:type="paragraph" w:customStyle="1" w:styleId="Style5">
    <w:name w:val="Style5"/>
    <w:basedOn w:val="Normln"/>
    <w:qFormat/>
    <w:rsid w:val="00A325C8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Seznam">
    <w:name w:val="List"/>
    <w:basedOn w:val="Normln"/>
    <w:rsid w:val="00CC3CA4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eastAsia="cs-CZ"/>
    </w:rPr>
  </w:style>
  <w:style w:type="paragraph" w:styleId="Revize">
    <w:name w:val="Revision"/>
    <w:hidden/>
    <w:uiPriority w:val="99"/>
    <w:semiHidden/>
    <w:rsid w:val="00CC3CA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AC5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basedOn w:val="Normln"/>
    <w:link w:val="ZhlavChar"/>
    <w:unhideWhenUsed/>
    <w:rsid w:val="00206AC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06AC5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06AC5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AC5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2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va@ceva-a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cev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Dana Studená</cp:lastModifiedBy>
  <cp:revision>15</cp:revision>
  <dcterms:created xsi:type="dcterms:W3CDTF">2024-10-15T18:42:00Z</dcterms:created>
  <dcterms:modified xsi:type="dcterms:W3CDTF">2025-01-13T09:46:00Z</dcterms:modified>
</cp:coreProperties>
</file>