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F6A18" w14:textId="77777777" w:rsidR="008C52C7" w:rsidRDefault="008C52C7" w:rsidP="00322C83">
      <w:pPr>
        <w:ind w:right="-16"/>
        <w:rPr>
          <w:szCs w:val="22"/>
        </w:rPr>
      </w:pPr>
    </w:p>
    <w:p w14:paraId="23B6015F" w14:textId="77777777" w:rsidR="008C52C7" w:rsidRDefault="008C52C7" w:rsidP="00322C83">
      <w:pPr>
        <w:ind w:right="-16"/>
        <w:rPr>
          <w:szCs w:val="22"/>
        </w:rPr>
      </w:pPr>
    </w:p>
    <w:p w14:paraId="185F6D82" w14:textId="77777777" w:rsidR="008C52C7" w:rsidRDefault="008C52C7" w:rsidP="00322C83">
      <w:pPr>
        <w:ind w:right="-16"/>
        <w:rPr>
          <w:szCs w:val="22"/>
        </w:rPr>
      </w:pPr>
    </w:p>
    <w:p w14:paraId="1FF8DF75" w14:textId="77777777" w:rsidR="008C52C7" w:rsidRDefault="008C52C7" w:rsidP="00322C83">
      <w:pPr>
        <w:ind w:right="-16"/>
        <w:rPr>
          <w:szCs w:val="22"/>
        </w:rPr>
      </w:pPr>
    </w:p>
    <w:p w14:paraId="29A14D11" w14:textId="77777777" w:rsidR="008C52C7" w:rsidRDefault="008C52C7" w:rsidP="00322C83">
      <w:pPr>
        <w:ind w:right="-16"/>
        <w:rPr>
          <w:szCs w:val="22"/>
        </w:rPr>
      </w:pPr>
    </w:p>
    <w:p w14:paraId="2C165C8B" w14:textId="77777777" w:rsidR="008C52C7" w:rsidRDefault="008C52C7" w:rsidP="00322C83">
      <w:pPr>
        <w:ind w:right="-16"/>
        <w:rPr>
          <w:szCs w:val="22"/>
        </w:rPr>
      </w:pPr>
    </w:p>
    <w:p w14:paraId="70E91264" w14:textId="77777777" w:rsidR="008C52C7" w:rsidRDefault="008C52C7" w:rsidP="00322C83">
      <w:pPr>
        <w:ind w:right="-16"/>
        <w:rPr>
          <w:szCs w:val="22"/>
        </w:rPr>
      </w:pPr>
    </w:p>
    <w:p w14:paraId="387374A0" w14:textId="77777777" w:rsidR="008C52C7" w:rsidRDefault="008C52C7" w:rsidP="00322C83">
      <w:pPr>
        <w:ind w:right="-16"/>
        <w:rPr>
          <w:szCs w:val="22"/>
        </w:rPr>
      </w:pPr>
    </w:p>
    <w:p w14:paraId="404DDFFD" w14:textId="77777777" w:rsidR="008C52C7" w:rsidRDefault="008C52C7" w:rsidP="00322C83">
      <w:pPr>
        <w:ind w:right="-16"/>
        <w:rPr>
          <w:szCs w:val="22"/>
        </w:rPr>
      </w:pPr>
    </w:p>
    <w:p w14:paraId="0696B9CA" w14:textId="77777777" w:rsidR="008C52C7" w:rsidRDefault="008C52C7" w:rsidP="00322C83">
      <w:pPr>
        <w:ind w:right="-16"/>
        <w:rPr>
          <w:szCs w:val="22"/>
        </w:rPr>
      </w:pPr>
    </w:p>
    <w:p w14:paraId="5F623BCB" w14:textId="77777777" w:rsidR="008C52C7" w:rsidRPr="00761894" w:rsidRDefault="008C52C7" w:rsidP="00322C83">
      <w:pPr>
        <w:ind w:right="-16"/>
        <w:rPr>
          <w:szCs w:val="22"/>
        </w:rPr>
      </w:pPr>
    </w:p>
    <w:p w14:paraId="569CCA8A" w14:textId="77777777" w:rsidR="00322C83" w:rsidRPr="00761894" w:rsidRDefault="00322C83" w:rsidP="00322C83">
      <w:pPr>
        <w:ind w:right="-16"/>
        <w:rPr>
          <w:szCs w:val="22"/>
        </w:rPr>
      </w:pPr>
    </w:p>
    <w:p w14:paraId="5812EA45" w14:textId="77777777" w:rsidR="00322C83" w:rsidRPr="00761894" w:rsidRDefault="00322C83" w:rsidP="00322C83">
      <w:pPr>
        <w:ind w:right="-16"/>
        <w:rPr>
          <w:szCs w:val="22"/>
        </w:rPr>
      </w:pPr>
    </w:p>
    <w:p w14:paraId="68B2469C" w14:textId="77777777" w:rsidR="00322C83" w:rsidRPr="00761894" w:rsidRDefault="00322C83" w:rsidP="00322C83">
      <w:pPr>
        <w:ind w:right="-16"/>
        <w:rPr>
          <w:szCs w:val="22"/>
        </w:rPr>
      </w:pPr>
    </w:p>
    <w:p w14:paraId="1A4BBDF1" w14:textId="77777777" w:rsidR="00322C83" w:rsidRPr="00761894" w:rsidRDefault="00322C83" w:rsidP="00322C83">
      <w:pPr>
        <w:ind w:right="-16"/>
        <w:rPr>
          <w:szCs w:val="22"/>
        </w:rPr>
      </w:pPr>
    </w:p>
    <w:p w14:paraId="66C29646" w14:textId="77777777" w:rsidR="00322C83" w:rsidRPr="00761894" w:rsidRDefault="00322C83" w:rsidP="00322C83">
      <w:pPr>
        <w:ind w:right="-16"/>
        <w:rPr>
          <w:szCs w:val="22"/>
        </w:rPr>
      </w:pPr>
    </w:p>
    <w:p w14:paraId="520BDF75" w14:textId="77777777" w:rsidR="00322C83" w:rsidRPr="00761894" w:rsidRDefault="00322C83" w:rsidP="00322C83">
      <w:pPr>
        <w:ind w:right="-16"/>
        <w:rPr>
          <w:szCs w:val="22"/>
        </w:rPr>
      </w:pPr>
    </w:p>
    <w:p w14:paraId="2C887827" w14:textId="77777777" w:rsidR="00322C83" w:rsidRPr="00761894" w:rsidRDefault="00322C83" w:rsidP="00322C83">
      <w:pPr>
        <w:ind w:right="-16"/>
        <w:rPr>
          <w:szCs w:val="22"/>
        </w:rPr>
      </w:pPr>
    </w:p>
    <w:p w14:paraId="0A76322F" w14:textId="77777777" w:rsidR="00322C83" w:rsidRPr="00761894" w:rsidRDefault="00322C83" w:rsidP="00322C83">
      <w:pPr>
        <w:ind w:right="-16"/>
        <w:rPr>
          <w:szCs w:val="22"/>
        </w:rPr>
      </w:pPr>
    </w:p>
    <w:p w14:paraId="736FE985" w14:textId="77777777" w:rsidR="00322C83" w:rsidRPr="00761894" w:rsidRDefault="00322C83" w:rsidP="00322C83">
      <w:pPr>
        <w:ind w:right="-16"/>
        <w:rPr>
          <w:szCs w:val="22"/>
        </w:rPr>
      </w:pPr>
    </w:p>
    <w:p w14:paraId="275E9937" w14:textId="77777777" w:rsidR="00322C83" w:rsidRPr="00761894" w:rsidRDefault="00322C83" w:rsidP="00322C83">
      <w:pPr>
        <w:ind w:right="-16"/>
        <w:rPr>
          <w:szCs w:val="22"/>
        </w:rPr>
      </w:pPr>
    </w:p>
    <w:p w14:paraId="73289D3B" w14:textId="77777777" w:rsidR="00322C83" w:rsidRPr="00761894" w:rsidRDefault="00322C83" w:rsidP="00322C83">
      <w:pPr>
        <w:ind w:right="-16"/>
        <w:rPr>
          <w:szCs w:val="22"/>
        </w:rPr>
      </w:pPr>
    </w:p>
    <w:p w14:paraId="7824E0DC" w14:textId="77777777" w:rsidR="00322C83" w:rsidRPr="00761894" w:rsidRDefault="00322C83" w:rsidP="00322C83">
      <w:pPr>
        <w:ind w:right="-16"/>
        <w:rPr>
          <w:szCs w:val="22"/>
        </w:rPr>
      </w:pPr>
    </w:p>
    <w:p w14:paraId="39D33EA6" w14:textId="77777777" w:rsidR="00322C83" w:rsidRDefault="00322C83" w:rsidP="00322C83">
      <w:pPr>
        <w:shd w:val="clear" w:color="auto" w:fill="FFFFFF"/>
        <w:ind w:right="-16"/>
        <w:jc w:val="center"/>
        <w:rPr>
          <w:b/>
          <w:bCs/>
          <w:spacing w:val="-1"/>
          <w:szCs w:val="22"/>
        </w:rPr>
      </w:pPr>
      <w:r w:rsidRPr="00761894">
        <w:rPr>
          <w:b/>
          <w:bCs/>
          <w:spacing w:val="-1"/>
          <w:szCs w:val="22"/>
        </w:rPr>
        <w:t>B. PŘÍBALOVÁ INFORMACE</w:t>
      </w:r>
    </w:p>
    <w:p w14:paraId="78174157" w14:textId="77777777" w:rsidR="00322C83" w:rsidRDefault="00322C83" w:rsidP="00322C83">
      <w:pPr>
        <w:shd w:val="clear" w:color="auto" w:fill="FFFFFF"/>
        <w:ind w:right="-16"/>
        <w:jc w:val="center"/>
        <w:rPr>
          <w:b/>
          <w:bCs/>
          <w:spacing w:val="-1"/>
          <w:szCs w:val="22"/>
        </w:rPr>
      </w:pPr>
    </w:p>
    <w:p w14:paraId="2F329B0C" w14:textId="77777777" w:rsidR="00322C83" w:rsidRPr="00DC6DAB" w:rsidRDefault="00322C83" w:rsidP="00322C83">
      <w:pPr>
        <w:pStyle w:val="Style4"/>
        <w:widowControl/>
        <w:jc w:val="center"/>
        <w:rPr>
          <w:rStyle w:val="FontStyle11"/>
          <w:sz w:val="22"/>
          <w:szCs w:val="22"/>
          <w:lang w:val="cs-CZ" w:eastAsia="cs-CZ"/>
        </w:rPr>
      </w:pPr>
    </w:p>
    <w:p w14:paraId="4372D953" w14:textId="77777777" w:rsidR="00322C83" w:rsidRDefault="00322C83" w:rsidP="00322C83">
      <w:pPr>
        <w:pStyle w:val="Style4"/>
        <w:widowControl/>
        <w:rPr>
          <w:rStyle w:val="FontStyle11"/>
          <w:sz w:val="22"/>
          <w:szCs w:val="22"/>
          <w:lang w:val="cs-CZ" w:eastAsia="cs-CZ"/>
        </w:rPr>
      </w:pPr>
    </w:p>
    <w:p w14:paraId="2808274F" w14:textId="77777777" w:rsidR="00322C83" w:rsidRPr="00761894" w:rsidRDefault="00322C83" w:rsidP="00322C83">
      <w:pPr>
        <w:shd w:val="clear" w:color="auto" w:fill="FFFFFF"/>
        <w:spacing w:before="269"/>
        <w:ind w:right="-16"/>
        <w:jc w:val="center"/>
        <w:rPr>
          <w:szCs w:val="22"/>
        </w:rPr>
      </w:pPr>
    </w:p>
    <w:p w14:paraId="5BD8D997" w14:textId="77777777" w:rsidR="00322C83" w:rsidRPr="00761894" w:rsidRDefault="00322C83" w:rsidP="00322C83">
      <w:pPr>
        <w:shd w:val="clear" w:color="auto" w:fill="FFFFFF"/>
        <w:ind w:right="-16"/>
        <w:jc w:val="center"/>
        <w:rPr>
          <w:b/>
          <w:bCs/>
          <w:spacing w:val="-1"/>
          <w:szCs w:val="22"/>
        </w:rPr>
      </w:pPr>
    </w:p>
    <w:p w14:paraId="2920522B" w14:textId="77777777" w:rsidR="00322C83" w:rsidRPr="00761894" w:rsidRDefault="00322C83" w:rsidP="00322C83">
      <w:pPr>
        <w:shd w:val="clear" w:color="auto" w:fill="FFFFFF"/>
        <w:ind w:right="-16"/>
        <w:jc w:val="center"/>
        <w:rPr>
          <w:b/>
          <w:bCs/>
          <w:spacing w:val="-1"/>
          <w:szCs w:val="22"/>
        </w:rPr>
      </w:pPr>
    </w:p>
    <w:p w14:paraId="57FD0D11" w14:textId="77777777" w:rsidR="00322C83" w:rsidRPr="001B3ED1" w:rsidRDefault="00322C83" w:rsidP="00322C83">
      <w:pPr>
        <w:shd w:val="clear" w:color="auto" w:fill="FFFFFF"/>
        <w:ind w:right="-16"/>
        <w:jc w:val="both"/>
        <w:rPr>
          <w:szCs w:val="22"/>
        </w:rPr>
      </w:pPr>
      <w:r w:rsidRPr="00761894">
        <w:rPr>
          <w:b/>
          <w:bCs/>
          <w:spacing w:val="-1"/>
          <w:szCs w:val="22"/>
        </w:rPr>
        <w:br w:type="page"/>
      </w:r>
    </w:p>
    <w:p w14:paraId="21EB3007" w14:textId="76617F56" w:rsidR="00F35FC3" w:rsidRDefault="00F35FC3" w:rsidP="0065113A">
      <w:pPr>
        <w:shd w:val="clear" w:color="auto" w:fill="FFFFFF"/>
        <w:tabs>
          <w:tab w:val="left" w:pos="600"/>
        </w:tabs>
        <w:spacing w:before="523" w:line="250" w:lineRule="exact"/>
        <w:ind w:left="601" w:right="-17" w:hanging="601"/>
        <w:jc w:val="center"/>
        <w:rPr>
          <w:b/>
          <w:bCs/>
          <w:szCs w:val="22"/>
        </w:rPr>
      </w:pPr>
      <w:r w:rsidRPr="00F35FC3">
        <w:rPr>
          <w:b/>
          <w:bCs/>
          <w:szCs w:val="22"/>
        </w:rPr>
        <w:lastRenderedPageBreak/>
        <w:t>PŘÍBALOVÁ INFORMACE</w:t>
      </w:r>
    </w:p>
    <w:p w14:paraId="155F022D" w14:textId="77777777" w:rsidR="00F93C12" w:rsidRPr="00F35FC3" w:rsidRDefault="00F93C12" w:rsidP="00F93C12">
      <w:pPr>
        <w:shd w:val="clear" w:color="auto" w:fill="FFFFFF"/>
        <w:tabs>
          <w:tab w:val="left" w:pos="600"/>
        </w:tabs>
        <w:ind w:left="601" w:right="-17" w:hanging="601"/>
        <w:jc w:val="center"/>
        <w:rPr>
          <w:b/>
          <w:bCs/>
          <w:szCs w:val="22"/>
        </w:rPr>
      </w:pPr>
    </w:p>
    <w:p w14:paraId="569E30C4" w14:textId="0D964166" w:rsidR="00322C83" w:rsidRDefault="00F35FC3" w:rsidP="00F93C12">
      <w:pPr>
        <w:shd w:val="clear" w:color="auto" w:fill="FFFFFF"/>
        <w:tabs>
          <w:tab w:val="left" w:pos="576"/>
        </w:tabs>
        <w:ind w:right="-16"/>
        <w:jc w:val="both"/>
        <w:rPr>
          <w:b/>
          <w:bCs/>
          <w:szCs w:val="22"/>
        </w:rPr>
      </w:pPr>
      <w:r w:rsidRPr="00625B2D">
        <w:rPr>
          <w:b/>
          <w:bCs/>
          <w:spacing w:val="-1"/>
          <w:szCs w:val="22"/>
          <w:highlight w:val="lightGray"/>
        </w:rPr>
        <w:t>1</w:t>
      </w:r>
      <w:r w:rsidR="00322C83" w:rsidRPr="00625B2D">
        <w:rPr>
          <w:b/>
          <w:bCs/>
          <w:spacing w:val="-1"/>
          <w:szCs w:val="22"/>
          <w:highlight w:val="lightGray"/>
        </w:rPr>
        <w:t>.</w:t>
      </w:r>
      <w:r w:rsidR="00322C83" w:rsidRPr="00F93C12">
        <w:rPr>
          <w:b/>
          <w:bCs/>
          <w:szCs w:val="22"/>
        </w:rPr>
        <w:tab/>
      </w:r>
      <w:r w:rsidRPr="00F93C12">
        <w:rPr>
          <w:b/>
          <w:bCs/>
          <w:szCs w:val="22"/>
        </w:rPr>
        <w:t>Název veterinárního léčivého přípravku</w:t>
      </w:r>
    </w:p>
    <w:p w14:paraId="5857A6CB" w14:textId="77777777" w:rsidR="00F93C12" w:rsidRPr="00F93C12" w:rsidRDefault="00F93C12" w:rsidP="00F93C12">
      <w:pPr>
        <w:shd w:val="clear" w:color="auto" w:fill="FFFFFF"/>
        <w:tabs>
          <w:tab w:val="left" w:pos="576"/>
        </w:tabs>
        <w:ind w:right="-16"/>
        <w:jc w:val="both"/>
        <w:rPr>
          <w:b/>
          <w:szCs w:val="22"/>
        </w:rPr>
      </w:pPr>
    </w:p>
    <w:p w14:paraId="0DC1C033" w14:textId="4AC9B0D9" w:rsidR="00322C83" w:rsidRDefault="00F35FC3" w:rsidP="00F93C12">
      <w:pPr>
        <w:shd w:val="clear" w:color="auto" w:fill="FFFFFF"/>
        <w:ind w:right="-16"/>
        <w:jc w:val="both"/>
        <w:rPr>
          <w:rStyle w:val="FontStyle11"/>
          <w:sz w:val="22"/>
          <w:szCs w:val="22"/>
          <w:lang w:eastAsia="cs-CZ"/>
        </w:rPr>
      </w:pPr>
      <w:proofErr w:type="spellStart"/>
      <w:r w:rsidRPr="00F93C12">
        <w:rPr>
          <w:bCs/>
          <w:szCs w:val="22"/>
        </w:rPr>
        <w:t>Dinalgen</w:t>
      </w:r>
      <w:proofErr w:type="spellEnd"/>
      <w:r w:rsidRPr="00F93C12">
        <w:rPr>
          <w:bCs/>
          <w:szCs w:val="22"/>
        </w:rPr>
        <w:t xml:space="preserve"> </w:t>
      </w:r>
      <w:r w:rsidR="00322C83" w:rsidRPr="00F93C12">
        <w:rPr>
          <w:bCs/>
          <w:szCs w:val="22"/>
        </w:rPr>
        <w:t>150 mg/ml injekční roztok pro skot</w:t>
      </w:r>
      <w:r w:rsidR="00322C83" w:rsidRPr="00F93C12">
        <w:rPr>
          <w:szCs w:val="22"/>
        </w:rPr>
        <w:t>,</w:t>
      </w:r>
      <w:r w:rsidR="00322C83" w:rsidRPr="00F93C12">
        <w:rPr>
          <w:szCs w:val="22"/>
          <w:lang w:eastAsia="cs-CZ"/>
        </w:rPr>
        <w:t xml:space="preserve"> </w:t>
      </w:r>
      <w:r w:rsidR="00322C83" w:rsidRPr="00F93C12">
        <w:rPr>
          <w:rStyle w:val="FontStyle11"/>
          <w:sz w:val="22"/>
          <w:szCs w:val="22"/>
          <w:lang w:eastAsia="cs-CZ"/>
        </w:rPr>
        <w:t>prasata a koně</w:t>
      </w:r>
      <w:r w:rsidRPr="00F93C12">
        <w:rPr>
          <w:rStyle w:val="FontStyle11"/>
          <w:sz w:val="22"/>
          <w:szCs w:val="22"/>
          <w:lang w:eastAsia="cs-CZ"/>
        </w:rPr>
        <w:t xml:space="preserve"> </w:t>
      </w:r>
    </w:p>
    <w:p w14:paraId="0DE235BB" w14:textId="2628CAED" w:rsidR="00F35FC3" w:rsidRPr="00F93C12" w:rsidRDefault="00F35FC3" w:rsidP="00F93C12">
      <w:pPr>
        <w:shd w:val="clear" w:color="auto" w:fill="FFFFFF"/>
        <w:ind w:right="-16"/>
        <w:jc w:val="both"/>
        <w:rPr>
          <w:szCs w:val="22"/>
        </w:rPr>
      </w:pPr>
    </w:p>
    <w:p w14:paraId="3A33EF78" w14:textId="05FDA531" w:rsidR="00322C83" w:rsidRDefault="00F35FC3" w:rsidP="00F93C12">
      <w:pPr>
        <w:shd w:val="clear" w:color="auto" w:fill="FFFFFF"/>
        <w:tabs>
          <w:tab w:val="left" w:pos="600"/>
        </w:tabs>
        <w:ind w:right="-16"/>
        <w:jc w:val="both"/>
        <w:rPr>
          <w:b/>
          <w:bCs/>
          <w:szCs w:val="22"/>
        </w:rPr>
      </w:pPr>
      <w:r w:rsidRPr="00625B2D">
        <w:rPr>
          <w:b/>
          <w:szCs w:val="22"/>
          <w:highlight w:val="lightGray"/>
        </w:rPr>
        <w:t>2.</w:t>
      </w:r>
      <w:r w:rsidR="00F93C12" w:rsidRPr="00F93C12">
        <w:rPr>
          <w:b/>
          <w:szCs w:val="22"/>
        </w:rPr>
        <w:tab/>
      </w:r>
      <w:r w:rsidRPr="00F93C12">
        <w:rPr>
          <w:b/>
          <w:bCs/>
          <w:szCs w:val="22"/>
        </w:rPr>
        <w:t>Složení</w:t>
      </w:r>
    </w:p>
    <w:p w14:paraId="48D3470B" w14:textId="77777777" w:rsidR="00F93C12" w:rsidRPr="00F93C12" w:rsidRDefault="00F93C12" w:rsidP="00F93C12">
      <w:pPr>
        <w:shd w:val="clear" w:color="auto" w:fill="FFFFFF"/>
        <w:tabs>
          <w:tab w:val="left" w:pos="600"/>
        </w:tabs>
        <w:ind w:right="-16"/>
        <w:jc w:val="both"/>
        <w:rPr>
          <w:b/>
          <w:szCs w:val="22"/>
        </w:rPr>
      </w:pPr>
    </w:p>
    <w:p w14:paraId="7576B2B2" w14:textId="77777777" w:rsidR="00322C83" w:rsidRPr="00F93C12" w:rsidRDefault="00322C83" w:rsidP="00F93C12">
      <w:pPr>
        <w:shd w:val="clear" w:color="auto" w:fill="FFFFFF"/>
        <w:ind w:right="-16"/>
        <w:jc w:val="both"/>
        <w:rPr>
          <w:szCs w:val="22"/>
        </w:rPr>
      </w:pPr>
      <w:r w:rsidRPr="00F93C12">
        <w:rPr>
          <w:szCs w:val="22"/>
        </w:rPr>
        <w:t>Každý ml obsahuje:</w:t>
      </w:r>
    </w:p>
    <w:p w14:paraId="362061DE" w14:textId="77777777" w:rsidR="00F93C12" w:rsidRDefault="00F93C12" w:rsidP="00F93C12">
      <w:pPr>
        <w:shd w:val="clear" w:color="auto" w:fill="FFFFFF"/>
        <w:ind w:right="-16"/>
        <w:jc w:val="both"/>
        <w:rPr>
          <w:b/>
          <w:bCs/>
          <w:szCs w:val="22"/>
        </w:rPr>
      </w:pPr>
    </w:p>
    <w:p w14:paraId="65B24A47" w14:textId="6C593A59" w:rsidR="00322C83" w:rsidRPr="00F93C12" w:rsidRDefault="00322C83" w:rsidP="00F93C12">
      <w:pPr>
        <w:shd w:val="clear" w:color="auto" w:fill="FFFFFF"/>
        <w:ind w:right="-16"/>
        <w:jc w:val="both"/>
        <w:rPr>
          <w:szCs w:val="22"/>
        </w:rPr>
      </w:pPr>
      <w:r w:rsidRPr="00F93C12">
        <w:rPr>
          <w:b/>
          <w:bCs/>
          <w:szCs w:val="22"/>
        </w:rPr>
        <w:t>Léčivá látka:</w:t>
      </w:r>
    </w:p>
    <w:p w14:paraId="03D86A20" w14:textId="77777777" w:rsidR="00322C83" w:rsidRPr="00F93C12" w:rsidRDefault="00322C83" w:rsidP="00F93C12">
      <w:pPr>
        <w:shd w:val="clear" w:color="auto" w:fill="FFFFFF"/>
        <w:tabs>
          <w:tab w:val="left" w:pos="3178"/>
        </w:tabs>
        <w:ind w:right="-16"/>
        <w:jc w:val="both"/>
        <w:rPr>
          <w:szCs w:val="22"/>
        </w:rPr>
      </w:pPr>
      <w:proofErr w:type="spellStart"/>
      <w:r w:rsidRPr="00F93C12">
        <w:rPr>
          <w:szCs w:val="22"/>
        </w:rPr>
        <w:t>Ketoprofenum</w:t>
      </w:r>
      <w:proofErr w:type="spellEnd"/>
      <w:r w:rsidRPr="00F93C12">
        <w:rPr>
          <w:szCs w:val="22"/>
        </w:rPr>
        <w:tab/>
        <w:t xml:space="preserve">150 </w:t>
      </w:r>
      <w:r w:rsidRPr="00F93C12">
        <w:rPr>
          <w:bCs/>
          <w:szCs w:val="22"/>
        </w:rPr>
        <w:t>mg</w:t>
      </w:r>
    </w:p>
    <w:p w14:paraId="1735B4EA" w14:textId="77777777" w:rsidR="00F93C12" w:rsidRDefault="00F93C12" w:rsidP="00F93C12">
      <w:pPr>
        <w:shd w:val="clear" w:color="auto" w:fill="FFFFFF"/>
        <w:ind w:right="-16"/>
        <w:jc w:val="both"/>
        <w:rPr>
          <w:b/>
          <w:bCs/>
          <w:szCs w:val="22"/>
        </w:rPr>
      </w:pPr>
    </w:p>
    <w:p w14:paraId="206C096C" w14:textId="13574D1B" w:rsidR="00322C83" w:rsidRPr="00F93C12" w:rsidRDefault="00322C83" w:rsidP="00F93C12">
      <w:pPr>
        <w:shd w:val="clear" w:color="auto" w:fill="FFFFFF"/>
        <w:ind w:right="-16"/>
        <w:jc w:val="both"/>
        <w:rPr>
          <w:szCs w:val="22"/>
        </w:rPr>
      </w:pPr>
      <w:r w:rsidRPr="00F93C12">
        <w:rPr>
          <w:b/>
          <w:bCs/>
          <w:szCs w:val="22"/>
        </w:rPr>
        <w:t>Pomocné látky:</w:t>
      </w:r>
    </w:p>
    <w:p w14:paraId="6BB225C2" w14:textId="77777777" w:rsidR="00304E8A" w:rsidRPr="00F93C12" w:rsidRDefault="00304E8A" w:rsidP="00F93C12">
      <w:pPr>
        <w:shd w:val="clear" w:color="auto" w:fill="FFFFFF"/>
        <w:tabs>
          <w:tab w:val="left" w:pos="3173"/>
        </w:tabs>
        <w:ind w:right="-16"/>
        <w:jc w:val="both"/>
        <w:rPr>
          <w:szCs w:val="22"/>
        </w:rPr>
      </w:pPr>
      <w:proofErr w:type="spellStart"/>
      <w:r w:rsidRPr="00F93C12">
        <w:rPr>
          <w:szCs w:val="22"/>
        </w:rPr>
        <w:t>Benzylalkohol</w:t>
      </w:r>
      <w:proofErr w:type="spellEnd"/>
      <w:r w:rsidRPr="00F93C12">
        <w:rPr>
          <w:szCs w:val="22"/>
        </w:rPr>
        <w:t xml:space="preserve"> (E1519)</w:t>
      </w:r>
      <w:r w:rsidRPr="00F93C12">
        <w:rPr>
          <w:szCs w:val="22"/>
        </w:rPr>
        <w:tab/>
        <w:t>10 mg</w:t>
      </w:r>
    </w:p>
    <w:p w14:paraId="4126861C" w14:textId="77777777" w:rsidR="00F93C12" w:rsidRDefault="00F93C12" w:rsidP="00F93C12">
      <w:pPr>
        <w:shd w:val="clear" w:color="auto" w:fill="FFFFFF"/>
        <w:ind w:right="-16"/>
        <w:jc w:val="both"/>
        <w:rPr>
          <w:szCs w:val="22"/>
        </w:rPr>
      </w:pPr>
    </w:p>
    <w:p w14:paraId="2C5F8627" w14:textId="7DF3C3E6" w:rsidR="00322C83" w:rsidRDefault="00304E8A" w:rsidP="00F93C12">
      <w:pPr>
        <w:shd w:val="clear" w:color="auto" w:fill="FFFFFF"/>
        <w:ind w:right="-16"/>
        <w:jc w:val="both"/>
        <w:rPr>
          <w:szCs w:val="22"/>
        </w:rPr>
      </w:pPr>
      <w:r w:rsidRPr="00F93C12">
        <w:rPr>
          <w:szCs w:val="22"/>
        </w:rPr>
        <w:t>Č</w:t>
      </w:r>
      <w:r w:rsidR="00322C83" w:rsidRPr="00F93C12">
        <w:rPr>
          <w:szCs w:val="22"/>
        </w:rPr>
        <w:t xml:space="preserve">irý bezbarvý až nažloutlý roztok. </w:t>
      </w:r>
    </w:p>
    <w:p w14:paraId="0BAF5CB2" w14:textId="77777777" w:rsidR="00F93C12" w:rsidRPr="00F93C12" w:rsidRDefault="00F93C12" w:rsidP="00F93C12">
      <w:pPr>
        <w:shd w:val="clear" w:color="auto" w:fill="FFFFFF"/>
        <w:ind w:right="-16"/>
        <w:jc w:val="both"/>
        <w:rPr>
          <w:szCs w:val="22"/>
        </w:rPr>
      </w:pPr>
    </w:p>
    <w:p w14:paraId="67AA579D" w14:textId="6EB6FA07" w:rsidR="00F35FC3" w:rsidRPr="00F93C12" w:rsidRDefault="00F35FC3" w:rsidP="00F93C12">
      <w:pPr>
        <w:shd w:val="clear" w:color="auto" w:fill="FFFFFF"/>
        <w:tabs>
          <w:tab w:val="left" w:pos="576"/>
        </w:tabs>
        <w:ind w:right="-16"/>
        <w:jc w:val="both"/>
        <w:rPr>
          <w:szCs w:val="22"/>
        </w:rPr>
      </w:pPr>
      <w:r w:rsidRPr="00625B2D">
        <w:rPr>
          <w:b/>
          <w:bCs/>
          <w:szCs w:val="22"/>
          <w:highlight w:val="lightGray"/>
        </w:rPr>
        <w:t>3.</w:t>
      </w:r>
      <w:r w:rsidR="00F93C12" w:rsidRPr="00F93C12">
        <w:rPr>
          <w:b/>
          <w:bCs/>
          <w:szCs w:val="22"/>
        </w:rPr>
        <w:tab/>
      </w:r>
      <w:r w:rsidRPr="00F93C12">
        <w:rPr>
          <w:b/>
          <w:bCs/>
          <w:szCs w:val="22"/>
        </w:rPr>
        <w:t>Cílové druhy zvířat</w:t>
      </w:r>
    </w:p>
    <w:p w14:paraId="37BF77DB" w14:textId="77777777" w:rsidR="00F93C12" w:rsidRPr="00F93C12" w:rsidRDefault="00F93C12" w:rsidP="00F93C12">
      <w:pPr>
        <w:shd w:val="clear" w:color="auto" w:fill="FFFFFF"/>
        <w:tabs>
          <w:tab w:val="left" w:pos="3173"/>
        </w:tabs>
        <w:ind w:right="-16"/>
        <w:jc w:val="both"/>
        <w:rPr>
          <w:szCs w:val="22"/>
        </w:rPr>
      </w:pPr>
    </w:p>
    <w:p w14:paraId="0CF00CE3" w14:textId="6183E22B" w:rsidR="00322C83" w:rsidRDefault="00F35FC3" w:rsidP="00F93C12">
      <w:pPr>
        <w:shd w:val="clear" w:color="auto" w:fill="FFFFFF"/>
        <w:tabs>
          <w:tab w:val="left" w:pos="3173"/>
        </w:tabs>
        <w:ind w:right="-16"/>
        <w:jc w:val="both"/>
        <w:rPr>
          <w:szCs w:val="22"/>
        </w:rPr>
      </w:pPr>
      <w:r w:rsidRPr="00F93C12">
        <w:rPr>
          <w:szCs w:val="22"/>
        </w:rPr>
        <w:t>Skot, prasata a koně</w:t>
      </w:r>
    </w:p>
    <w:p w14:paraId="1B886CBB" w14:textId="77777777" w:rsidR="00F93C12" w:rsidRPr="00F93C12" w:rsidRDefault="00F93C12" w:rsidP="00F93C12">
      <w:pPr>
        <w:shd w:val="clear" w:color="auto" w:fill="FFFFFF"/>
        <w:tabs>
          <w:tab w:val="left" w:pos="3173"/>
        </w:tabs>
        <w:ind w:right="-16"/>
        <w:jc w:val="both"/>
        <w:rPr>
          <w:szCs w:val="22"/>
        </w:rPr>
      </w:pPr>
    </w:p>
    <w:p w14:paraId="702B14B0" w14:textId="5BC004FE" w:rsidR="00322C83" w:rsidRDefault="00322C83" w:rsidP="00F93C12">
      <w:pPr>
        <w:shd w:val="clear" w:color="auto" w:fill="FFFFFF"/>
        <w:tabs>
          <w:tab w:val="left" w:pos="600"/>
        </w:tabs>
        <w:ind w:right="-16"/>
        <w:jc w:val="both"/>
        <w:rPr>
          <w:b/>
          <w:bCs/>
          <w:szCs w:val="22"/>
        </w:rPr>
      </w:pPr>
      <w:r w:rsidRPr="00625B2D">
        <w:rPr>
          <w:b/>
          <w:bCs/>
          <w:spacing w:val="-1"/>
          <w:szCs w:val="22"/>
          <w:highlight w:val="lightGray"/>
        </w:rPr>
        <w:t>4.</w:t>
      </w:r>
      <w:r w:rsidRPr="00F93C12">
        <w:rPr>
          <w:b/>
          <w:bCs/>
          <w:spacing w:val="-1"/>
          <w:szCs w:val="22"/>
        </w:rPr>
        <w:tab/>
      </w:r>
      <w:r w:rsidR="00F35FC3" w:rsidRPr="00F93C12">
        <w:rPr>
          <w:b/>
          <w:bCs/>
          <w:szCs w:val="22"/>
        </w:rPr>
        <w:t>Indikace</w:t>
      </w:r>
      <w:r w:rsidR="00F93C12" w:rsidRPr="00F93C12">
        <w:rPr>
          <w:b/>
          <w:bCs/>
          <w:szCs w:val="22"/>
        </w:rPr>
        <w:t xml:space="preserve"> pro použití</w:t>
      </w:r>
    </w:p>
    <w:p w14:paraId="708C73EA" w14:textId="77777777" w:rsidR="00F93C12" w:rsidRPr="00F93C12" w:rsidRDefault="00F93C12" w:rsidP="00F93C12">
      <w:pPr>
        <w:shd w:val="clear" w:color="auto" w:fill="FFFFFF"/>
        <w:tabs>
          <w:tab w:val="left" w:pos="600"/>
        </w:tabs>
        <w:ind w:right="-16"/>
        <w:jc w:val="both"/>
        <w:rPr>
          <w:szCs w:val="22"/>
          <w:lang w:val="nb-NO"/>
        </w:rPr>
      </w:pPr>
    </w:p>
    <w:p w14:paraId="3FC594EE" w14:textId="77777777" w:rsidR="00322C83" w:rsidRPr="00F93C12" w:rsidRDefault="00322C83" w:rsidP="00F93C12">
      <w:pPr>
        <w:shd w:val="clear" w:color="auto" w:fill="FFFFFF"/>
        <w:ind w:right="-16"/>
        <w:jc w:val="both"/>
        <w:rPr>
          <w:szCs w:val="22"/>
          <w:lang w:val="nb-NO"/>
        </w:rPr>
      </w:pPr>
      <w:r w:rsidRPr="00F93C12">
        <w:rPr>
          <w:szCs w:val="22"/>
        </w:rPr>
        <w:t>Skot:</w:t>
      </w:r>
    </w:p>
    <w:p w14:paraId="19EF4501" w14:textId="77777777" w:rsidR="00322C83" w:rsidRPr="00F93C12" w:rsidRDefault="00322C83" w:rsidP="00F93C12">
      <w:pPr>
        <w:widowControl w:val="0"/>
        <w:numPr>
          <w:ilvl w:val="0"/>
          <w:numId w:val="3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left="57" w:right="-16" w:hanging="57"/>
        <w:jc w:val="both"/>
        <w:rPr>
          <w:szCs w:val="22"/>
        </w:rPr>
      </w:pPr>
      <w:r w:rsidRPr="00F93C12">
        <w:rPr>
          <w:szCs w:val="22"/>
        </w:rPr>
        <w:t xml:space="preserve">Snížení intenzity zánětu a bolesti spojených s poporodními </w:t>
      </w:r>
      <w:proofErr w:type="spellStart"/>
      <w:r w:rsidRPr="00F93C12">
        <w:rPr>
          <w:szCs w:val="22"/>
        </w:rPr>
        <w:t>muskuloskeletálními</w:t>
      </w:r>
      <w:proofErr w:type="spellEnd"/>
      <w:r w:rsidRPr="00F93C12">
        <w:rPr>
          <w:szCs w:val="22"/>
        </w:rPr>
        <w:t xml:space="preserve"> poruchami a kulháním</w:t>
      </w:r>
    </w:p>
    <w:p w14:paraId="0B370957" w14:textId="77777777" w:rsidR="00322C83" w:rsidRPr="00F93C12" w:rsidRDefault="00322C83" w:rsidP="00F93C12">
      <w:pPr>
        <w:widowControl w:val="0"/>
        <w:numPr>
          <w:ilvl w:val="0"/>
          <w:numId w:val="3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left="57" w:right="-16" w:hanging="57"/>
        <w:jc w:val="both"/>
        <w:rPr>
          <w:szCs w:val="22"/>
        </w:rPr>
      </w:pPr>
      <w:r w:rsidRPr="00F93C12">
        <w:rPr>
          <w:szCs w:val="22"/>
        </w:rPr>
        <w:t>Snížení horečky spojené s respiračním onemocněním skotu</w:t>
      </w:r>
    </w:p>
    <w:p w14:paraId="596DF724" w14:textId="783338E6" w:rsidR="00322C83" w:rsidRPr="00F93C12" w:rsidRDefault="00322C83" w:rsidP="00F93C12">
      <w:pPr>
        <w:pStyle w:val="Style4"/>
        <w:widowControl/>
        <w:ind w:left="170" w:hanging="170"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>-</w:t>
      </w:r>
      <w:r w:rsidR="00F93C12">
        <w:rPr>
          <w:rStyle w:val="FontStyle11"/>
          <w:sz w:val="22"/>
          <w:szCs w:val="22"/>
          <w:lang w:val="cs-CZ" w:eastAsia="cs-CZ"/>
        </w:rPr>
        <w:tab/>
      </w:r>
      <w:r w:rsidRPr="00F93C12">
        <w:rPr>
          <w:rStyle w:val="FontStyle11"/>
          <w:sz w:val="22"/>
          <w:szCs w:val="22"/>
          <w:lang w:val="cs-CZ" w:eastAsia="cs-CZ"/>
        </w:rPr>
        <w:t>Snížení intenzity zánětu, horečky a bolesti v případě akutní klinické mastitidy v kombinaci s antimikrobiální   léčbou, pokud je taková léčba vhodná.</w:t>
      </w:r>
    </w:p>
    <w:p w14:paraId="6AAF042E" w14:textId="77777777" w:rsidR="00322C83" w:rsidRPr="00F93C12" w:rsidRDefault="00322C83" w:rsidP="00F93C12">
      <w:pPr>
        <w:shd w:val="clear" w:color="auto" w:fill="FFFFFF"/>
        <w:tabs>
          <w:tab w:val="left" w:pos="149"/>
        </w:tabs>
        <w:ind w:left="-113" w:right="-16"/>
        <w:jc w:val="both"/>
        <w:rPr>
          <w:szCs w:val="22"/>
        </w:rPr>
      </w:pPr>
    </w:p>
    <w:p w14:paraId="48ACBFD4" w14:textId="77777777" w:rsidR="00F93C12" w:rsidRDefault="00322C83" w:rsidP="00F93C12">
      <w:pPr>
        <w:shd w:val="clear" w:color="auto" w:fill="FFFFFF"/>
        <w:ind w:left="0" w:firstLine="0"/>
        <w:jc w:val="both"/>
        <w:rPr>
          <w:szCs w:val="22"/>
        </w:rPr>
      </w:pPr>
      <w:r w:rsidRPr="00F93C12">
        <w:rPr>
          <w:szCs w:val="22"/>
        </w:rPr>
        <w:t xml:space="preserve"> Prasata:</w:t>
      </w:r>
    </w:p>
    <w:p w14:paraId="57404C53" w14:textId="7E0609A3" w:rsidR="00322C83" w:rsidRPr="00F93C12" w:rsidRDefault="00322C83" w:rsidP="00F93C12">
      <w:pPr>
        <w:shd w:val="clear" w:color="auto" w:fill="FFFFFF"/>
        <w:ind w:left="0" w:firstLine="0"/>
        <w:jc w:val="both"/>
        <w:rPr>
          <w:szCs w:val="22"/>
        </w:rPr>
      </w:pPr>
      <w:r w:rsidRPr="00F93C12">
        <w:rPr>
          <w:szCs w:val="22"/>
        </w:rPr>
        <w:t xml:space="preserve">- Snížení horečky v případě respiračních onemocnění a poporodního syndromu </w:t>
      </w:r>
      <w:proofErr w:type="spellStart"/>
      <w:r w:rsidRPr="00F93C12">
        <w:rPr>
          <w:szCs w:val="22"/>
        </w:rPr>
        <w:t>dysgalakcie</w:t>
      </w:r>
      <w:proofErr w:type="spellEnd"/>
      <w:r w:rsidRPr="00F93C12">
        <w:rPr>
          <w:szCs w:val="22"/>
        </w:rPr>
        <w:t xml:space="preserve"> –PDS- (Metritis-Mastitis-Agalakcie syndrom) u prasnic, za současného použití antimikrobiální léčby, </w:t>
      </w:r>
      <w:r w:rsidRPr="00F93C12">
        <w:rPr>
          <w:rStyle w:val="FontStyle11"/>
          <w:sz w:val="22"/>
          <w:szCs w:val="22"/>
          <w:lang w:eastAsia="cs-CZ"/>
        </w:rPr>
        <w:t>pokud je taková léčba vhodná.</w:t>
      </w:r>
      <w:r w:rsidRPr="00F93C12">
        <w:rPr>
          <w:szCs w:val="22"/>
        </w:rPr>
        <w:t xml:space="preserve"> </w:t>
      </w:r>
    </w:p>
    <w:p w14:paraId="58BCF068" w14:textId="77777777" w:rsidR="00322C83" w:rsidRPr="00F93C12" w:rsidRDefault="00322C83" w:rsidP="00625B2D">
      <w:pPr>
        <w:pStyle w:val="Normlnweb"/>
        <w:spacing w:before="0" w:after="0"/>
        <w:jc w:val="both"/>
        <w:rPr>
          <w:sz w:val="22"/>
          <w:szCs w:val="22"/>
        </w:rPr>
      </w:pPr>
    </w:p>
    <w:p w14:paraId="6A0A37C4" w14:textId="77777777" w:rsidR="00F93C12" w:rsidRDefault="00322C83" w:rsidP="00F93C12">
      <w:pPr>
        <w:pStyle w:val="Normlnweb"/>
        <w:spacing w:before="0" w:after="0"/>
        <w:jc w:val="both"/>
        <w:rPr>
          <w:sz w:val="22"/>
          <w:szCs w:val="22"/>
        </w:rPr>
      </w:pPr>
      <w:r w:rsidRPr="00F93C12">
        <w:rPr>
          <w:sz w:val="22"/>
          <w:szCs w:val="22"/>
        </w:rPr>
        <w:t>Koně:</w:t>
      </w:r>
    </w:p>
    <w:p w14:paraId="635FA0F8" w14:textId="353C6C0E" w:rsidR="00322C83" w:rsidRPr="00F93C12" w:rsidRDefault="00322C83" w:rsidP="00F93C12">
      <w:pPr>
        <w:pStyle w:val="Normlnweb"/>
        <w:spacing w:before="0" w:after="0"/>
        <w:jc w:val="both"/>
        <w:rPr>
          <w:sz w:val="22"/>
          <w:szCs w:val="22"/>
        </w:rPr>
      </w:pPr>
      <w:r w:rsidRPr="00F93C12">
        <w:rPr>
          <w:sz w:val="22"/>
          <w:szCs w:val="22"/>
        </w:rPr>
        <w:t xml:space="preserve">- Zmírnění zánětu a bolesti spojované s onemocněními </w:t>
      </w:r>
      <w:proofErr w:type="spellStart"/>
      <w:r w:rsidRPr="00F93C12">
        <w:rPr>
          <w:sz w:val="22"/>
          <w:szCs w:val="22"/>
        </w:rPr>
        <w:t>osteoartikulárního</w:t>
      </w:r>
      <w:proofErr w:type="spellEnd"/>
      <w:r w:rsidRPr="00F93C12">
        <w:rPr>
          <w:sz w:val="22"/>
          <w:szCs w:val="22"/>
        </w:rPr>
        <w:t xml:space="preserve"> a </w:t>
      </w:r>
      <w:proofErr w:type="spellStart"/>
      <w:r w:rsidRPr="00F93C12">
        <w:rPr>
          <w:sz w:val="22"/>
          <w:szCs w:val="22"/>
        </w:rPr>
        <w:t>muskuloskeletálního</w:t>
      </w:r>
      <w:proofErr w:type="spellEnd"/>
      <w:r w:rsidRPr="00F93C12">
        <w:rPr>
          <w:sz w:val="22"/>
          <w:szCs w:val="22"/>
        </w:rPr>
        <w:t xml:space="preserve"> systému (kulhavost, </w:t>
      </w:r>
      <w:proofErr w:type="spellStart"/>
      <w:r w:rsidRPr="00F93C12">
        <w:rPr>
          <w:sz w:val="22"/>
          <w:szCs w:val="22"/>
        </w:rPr>
        <w:t>laminitis</w:t>
      </w:r>
      <w:proofErr w:type="spellEnd"/>
      <w:r w:rsidRPr="00F93C12">
        <w:rPr>
          <w:sz w:val="22"/>
          <w:szCs w:val="22"/>
        </w:rPr>
        <w:t xml:space="preserve">, </w:t>
      </w:r>
      <w:proofErr w:type="spellStart"/>
      <w:r w:rsidRPr="00F93C12">
        <w:rPr>
          <w:sz w:val="22"/>
          <w:szCs w:val="22"/>
        </w:rPr>
        <w:t>osteoarthritis</w:t>
      </w:r>
      <w:proofErr w:type="spellEnd"/>
      <w:r w:rsidRPr="00F93C12">
        <w:rPr>
          <w:sz w:val="22"/>
          <w:szCs w:val="22"/>
        </w:rPr>
        <w:t xml:space="preserve">, </w:t>
      </w:r>
      <w:proofErr w:type="spellStart"/>
      <w:r w:rsidRPr="00F93C12">
        <w:rPr>
          <w:sz w:val="22"/>
          <w:szCs w:val="22"/>
        </w:rPr>
        <w:t>synovitis</w:t>
      </w:r>
      <w:proofErr w:type="spellEnd"/>
      <w:r w:rsidRPr="00F93C12">
        <w:rPr>
          <w:sz w:val="22"/>
          <w:szCs w:val="22"/>
        </w:rPr>
        <w:t xml:space="preserve">, </w:t>
      </w:r>
      <w:proofErr w:type="spellStart"/>
      <w:r w:rsidRPr="00F93C12">
        <w:rPr>
          <w:sz w:val="22"/>
          <w:szCs w:val="22"/>
        </w:rPr>
        <w:t>tendinitis</w:t>
      </w:r>
      <w:proofErr w:type="spellEnd"/>
      <w:r w:rsidRPr="00F93C12">
        <w:rPr>
          <w:sz w:val="22"/>
          <w:szCs w:val="22"/>
        </w:rPr>
        <w:t xml:space="preserve"> atd.).</w:t>
      </w:r>
    </w:p>
    <w:p w14:paraId="66AF261B" w14:textId="77777777" w:rsidR="00322C83" w:rsidRPr="00F93C12" w:rsidRDefault="00322C83" w:rsidP="00F93C12">
      <w:pPr>
        <w:pStyle w:val="Normlnweb"/>
        <w:spacing w:before="0" w:after="0"/>
        <w:jc w:val="both"/>
        <w:rPr>
          <w:sz w:val="22"/>
          <w:szCs w:val="22"/>
        </w:rPr>
      </w:pPr>
      <w:r w:rsidRPr="00F93C12">
        <w:rPr>
          <w:sz w:val="22"/>
          <w:szCs w:val="22"/>
        </w:rPr>
        <w:t>- Zmírnění pooperační bolesti a zánětu.</w:t>
      </w:r>
    </w:p>
    <w:p w14:paraId="6855B5BE" w14:textId="250A3C83" w:rsidR="00322C83" w:rsidRDefault="00322C83" w:rsidP="00F93C12">
      <w:pPr>
        <w:pStyle w:val="Normlnweb"/>
        <w:spacing w:before="0" w:after="0"/>
        <w:jc w:val="both"/>
        <w:rPr>
          <w:sz w:val="22"/>
          <w:szCs w:val="22"/>
        </w:rPr>
      </w:pPr>
      <w:r w:rsidRPr="00F93C12">
        <w:rPr>
          <w:sz w:val="22"/>
          <w:szCs w:val="22"/>
        </w:rPr>
        <w:t>- Zmírnění viscerální bolesti spojované s kolikou.</w:t>
      </w:r>
    </w:p>
    <w:p w14:paraId="14C02D0F" w14:textId="77777777" w:rsidR="00F93C12" w:rsidRPr="00F93C12" w:rsidRDefault="00F93C12" w:rsidP="00F93C12">
      <w:pPr>
        <w:pStyle w:val="Normlnweb"/>
        <w:spacing w:before="0" w:after="0"/>
        <w:jc w:val="both"/>
        <w:rPr>
          <w:sz w:val="22"/>
          <w:szCs w:val="22"/>
        </w:rPr>
      </w:pPr>
    </w:p>
    <w:p w14:paraId="3B2A355B" w14:textId="2B8D4628" w:rsidR="00322C83" w:rsidRDefault="00322C83" w:rsidP="00F93C12">
      <w:pPr>
        <w:shd w:val="clear" w:color="auto" w:fill="FFFFFF"/>
        <w:tabs>
          <w:tab w:val="left" w:pos="600"/>
        </w:tabs>
        <w:ind w:right="-16"/>
        <w:jc w:val="both"/>
        <w:rPr>
          <w:b/>
          <w:bCs/>
          <w:szCs w:val="22"/>
        </w:rPr>
      </w:pPr>
      <w:r w:rsidRPr="00625B2D">
        <w:rPr>
          <w:b/>
          <w:bCs/>
          <w:spacing w:val="-2"/>
          <w:szCs w:val="22"/>
          <w:highlight w:val="lightGray"/>
        </w:rPr>
        <w:t>5.</w:t>
      </w:r>
      <w:r w:rsidRPr="00F93C12">
        <w:rPr>
          <w:b/>
          <w:bCs/>
          <w:szCs w:val="22"/>
        </w:rPr>
        <w:tab/>
      </w:r>
      <w:r w:rsidR="00F35FC3" w:rsidRPr="00F93C12">
        <w:rPr>
          <w:b/>
          <w:bCs/>
          <w:szCs w:val="22"/>
        </w:rPr>
        <w:t>Kontraindikace</w:t>
      </w:r>
    </w:p>
    <w:p w14:paraId="65C93EBA" w14:textId="77777777" w:rsidR="00F93C12" w:rsidRPr="00F93C12" w:rsidRDefault="00F93C12" w:rsidP="00F93C12">
      <w:pPr>
        <w:shd w:val="clear" w:color="auto" w:fill="FFFFFF"/>
        <w:tabs>
          <w:tab w:val="left" w:pos="600"/>
        </w:tabs>
        <w:ind w:right="-16"/>
        <w:jc w:val="both"/>
        <w:rPr>
          <w:szCs w:val="22"/>
        </w:rPr>
      </w:pPr>
    </w:p>
    <w:p w14:paraId="5D4DBD26" w14:textId="77777777" w:rsidR="00322C83" w:rsidRPr="00F93C12" w:rsidRDefault="00322C83" w:rsidP="00F93C12">
      <w:pPr>
        <w:shd w:val="clear" w:color="auto" w:fill="FFFFFF"/>
        <w:ind w:left="0" w:right="-16" w:firstLine="0"/>
        <w:jc w:val="both"/>
        <w:rPr>
          <w:szCs w:val="22"/>
        </w:rPr>
      </w:pPr>
      <w:r w:rsidRPr="00F93C12">
        <w:rPr>
          <w:szCs w:val="22"/>
        </w:rPr>
        <w:t>Nepoužívat u zvířat, u nichž je riziko gastrointestinálních vředů nebo krvácení, aby nedošlo ke zhoršení jejich zdravotního stavu.</w:t>
      </w:r>
    </w:p>
    <w:p w14:paraId="0A5E3386" w14:textId="77777777" w:rsidR="00E433D8" w:rsidRPr="00F93C12" w:rsidRDefault="00E433D8" w:rsidP="00F93C12">
      <w:pPr>
        <w:pStyle w:val="Style4"/>
        <w:widowControl/>
        <w:jc w:val="both"/>
        <w:rPr>
          <w:sz w:val="22"/>
          <w:szCs w:val="22"/>
          <w:lang w:val="cs-CZ"/>
        </w:rPr>
      </w:pPr>
    </w:p>
    <w:p w14:paraId="5AEB518D" w14:textId="7CA2C557" w:rsidR="00322C83" w:rsidRPr="00F93C12" w:rsidRDefault="00322C83" w:rsidP="00F93C12">
      <w:pPr>
        <w:pStyle w:val="Style4"/>
        <w:widowControl/>
        <w:jc w:val="both"/>
        <w:rPr>
          <w:sz w:val="22"/>
          <w:szCs w:val="22"/>
          <w:lang w:val="cs-CZ" w:eastAsia="cs-CZ"/>
        </w:rPr>
      </w:pPr>
      <w:r w:rsidRPr="00F93C12">
        <w:rPr>
          <w:sz w:val="22"/>
          <w:szCs w:val="22"/>
          <w:lang w:val="cs-CZ"/>
        </w:rPr>
        <w:t xml:space="preserve">Nepoužívat u zvířat </w:t>
      </w:r>
      <w:r w:rsidR="00F73BAE">
        <w:rPr>
          <w:sz w:val="22"/>
          <w:szCs w:val="22"/>
          <w:lang w:val="cs-CZ"/>
        </w:rPr>
        <w:t>s</w:t>
      </w:r>
      <w:r w:rsidR="00F73BAE" w:rsidRPr="00F93C12">
        <w:rPr>
          <w:sz w:val="22"/>
          <w:szCs w:val="22"/>
          <w:lang w:val="cs-CZ"/>
        </w:rPr>
        <w:t xml:space="preserve"> </w:t>
      </w:r>
      <w:r w:rsidRPr="00F93C12">
        <w:rPr>
          <w:sz w:val="22"/>
          <w:szCs w:val="22"/>
          <w:lang w:val="cs-CZ"/>
        </w:rPr>
        <w:t>onemocněním srdce, jater nebo ledvin.</w:t>
      </w:r>
      <w:r w:rsidRPr="00F93C12">
        <w:rPr>
          <w:sz w:val="22"/>
          <w:szCs w:val="22"/>
          <w:lang w:val="cs-CZ" w:eastAsia="cs-CZ"/>
        </w:rPr>
        <w:t xml:space="preserve"> </w:t>
      </w:r>
    </w:p>
    <w:p w14:paraId="10A47F11" w14:textId="77777777" w:rsidR="00E433D8" w:rsidRPr="00F93C12" w:rsidRDefault="00E433D8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1AB77C9" w14:textId="77777777" w:rsidR="00322C83" w:rsidRPr="00F93C12" w:rsidRDefault="00322C83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 xml:space="preserve">Nepoužívat v případech známé přecitlivělosti na </w:t>
      </w:r>
      <w:proofErr w:type="spellStart"/>
      <w:r w:rsidRPr="00F93C12">
        <w:rPr>
          <w:rStyle w:val="FontStyle11"/>
          <w:sz w:val="22"/>
          <w:szCs w:val="22"/>
          <w:lang w:val="cs-CZ" w:eastAsia="cs-CZ"/>
        </w:rPr>
        <w:t>ketoprofen</w:t>
      </w:r>
      <w:proofErr w:type="spellEnd"/>
      <w:r w:rsidRPr="00F93C12">
        <w:rPr>
          <w:rStyle w:val="FontStyle11"/>
          <w:sz w:val="22"/>
          <w:szCs w:val="22"/>
          <w:lang w:val="cs-CZ" w:eastAsia="cs-CZ"/>
        </w:rPr>
        <w:t xml:space="preserve">, kyselinu acetylsalicylovou nebo na některou z pomocných látek. </w:t>
      </w:r>
    </w:p>
    <w:p w14:paraId="7A1F0DDE" w14:textId="77777777" w:rsidR="00E433D8" w:rsidRPr="00F93C12" w:rsidRDefault="00E433D8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463F22A" w14:textId="77777777" w:rsidR="00322C83" w:rsidRPr="00F93C12" w:rsidRDefault="00322C83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 xml:space="preserve">Nepoužívat u zvířat s dyskrazií krve nebo poruchami srážlivosti krve. </w:t>
      </w:r>
    </w:p>
    <w:p w14:paraId="594DFA1E" w14:textId="77777777" w:rsidR="00E433D8" w:rsidRPr="00F93C12" w:rsidRDefault="00E433D8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F8127F8" w14:textId="0B79A2E7" w:rsidR="00322C83" w:rsidRDefault="00322C83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 xml:space="preserve">Nepodávat současně nebo během 24 hodin po podání přípravku s jiná nesteroidní antiflogistika (NSAID). </w:t>
      </w:r>
    </w:p>
    <w:p w14:paraId="45A3BF9E" w14:textId="77777777" w:rsidR="00F93C12" w:rsidRPr="00F93C12" w:rsidRDefault="00F93C12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2A25651" w14:textId="546B3AFA" w:rsidR="003D3865" w:rsidRDefault="003D3865" w:rsidP="00F93C12">
      <w:pPr>
        <w:keepNext/>
        <w:shd w:val="clear" w:color="auto" w:fill="FFFFFF"/>
        <w:tabs>
          <w:tab w:val="left" w:pos="600"/>
        </w:tabs>
        <w:ind w:right="-17"/>
        <w:jc w:val="both"/>
        <w:rPr>
          <w:b/>
          <w:bCs/>
          <w:szCs w:val="22"/>
        </w:rPr>
      </w:pPr>
      <w:r w:rsidRPr="00625B2D">
        <w:rPr>
          <w:b/>
          <w:bCs/>
          <w:szCs w:val="22"/>
          <w:highlight w:val="lightGray"/>
        </w:rPr>
        <w:lastRenderedPageBreak/>
        <w:t>6.</w:t>
      </w:r>
      <w:r w:rsidR="00F93C12" w:rsidRPr="00F93C12">
        <w:rPr>
          <w:b/>
          <w:bCs/>
          <w:szCs w:val="22"/>
        </w:rPr>
        <w:tab/>
      </w:r>
      <w:r w:rsidRPr="00F93C12">
        <w:rPr>
          <w:b/>
          <w:bCs/>
          <w:szCs w:val="22"/>
        </w:rPr>
        <w:t>Zvláštní upozornění</w:t>
      </w:r>
    </w:p>
    <w:p w14:paraId="3EB32B76" w14:textId="77777777" w:rsidR="00F93C12" w:rsidRPr="00F93C12" w:rsidRDefault="00F93C12" w:rsidP="00F93C12">
      <w:pPr>
        <w:keepNext/>
        <w:shd w:val="clear" w:color="auto" w:fill="FFFFFF"/>
        <w:tabs>
          <w:tab w:val="left" w:pos="600"/>
        </w:tabs>
        <w:ind w:right="-17"/>
        <w:jc w:val="both"/>
        <w:rPr>
          <w:b/>
          <w:bCs/>
          <w:szCs w:val="22"/>
        </w:rPr>
      </w:pPr>
    </w:p>
    <w:p w14:paraId="78D621C9" w14:textId="77777777" w:rsidR="003D3865" w:rsidRPr="00F93C12" w:rsidRDefault="003D3865" w:rsidP="00F93C12">
      <w:pPr>
        <w:keepNext/>
        <w:shd w:val="clear" w:color="auto" w:fill="FFFFFF"/>
        <w:ind w:right="-17"/>
        <w:jc w:val="both"/>
        <w:rPr>
          <w:szCs w:val="22"/>
          <w:u w:val="single"/>
        </w:rPr>
      </w:pPr>
      <w:r w:rsidRPr="00F93C12">
        <w:rPr>
          <w:szCs w:val="22"/>
          <w:u w:val="single"/>
        </w:rPr>
        <w:t xml:space="preserve">Zvláštní opatření pro </w:t>
      </w:r>
      <w:r w:rsidR="00304E8A" w:rsidRPr="00F93C12">
        <w:rPr>
          <w:szCs w:val="22"/>
          <w:u w:val="single"/>
        </w:rPr>
        <w:t xml:space="preserve">bezpečné </w:t>
      </w:r>
      <w:r w:rsidRPr="00F93C12">
        <w:rPr>
          <w:szCs w:val="22"/>
          <w:u w:val="single"/>
        </w:rPr>
        <w:t>použití u zvířat:</w:t>
      </w:r>
    </w:p>
    <w:p w14:paraId="7601A696" w14:textId="77777777" w:rsidR="003D3865" w:rsidRPr="00F93C12" w:rsidRDefault="003D3865" w:rsidP="00F93C12">
      <w:pPr>
        <w:shd w:val="clear" w:color="auto" w:fill="FFFFFF"/>
        <w:ind w:right="-16"/>
        <w:jc w:val="both"/>
        <w:rPr>
          <w:spacing w:val="-1"/>
          <w:szCs w:val="22"/>
        </w:rPr>
      </w:pPr>
      <w:r w:rsidRPr="00F93C12">
        <w:rPr>
          <w:spacing w:val="-1"/>
          <w:szCs w:val="22"/>
        </w:rPr>
        <w:t>Nepřekračujte doporučené dávkování. Nepřekračujte doporučenou délku léčby.</w:t>
      </w:r>
    </w:p>
    <w:p w14:paraId="3860BEBB" w14:textId="77777777" w:rsidR="003D3865" w:rsidRPr="00F93C12" w:rsidRDefault="003D3865" w:rsidP="00F93C12">
      <w:pPr>
        <w:shd w:val="clear" w:color="auto" w:fill="FFFFFF"/>
        <w:ind w:right="-16"/>
        <w:jc w:val="both"/>
        <w:rPr>
          <w:szCs w:val="22"/>
        </w:rPr>
      </w:pPr>
    </w:p>
    <w:p w14:paraId="7281D7AF" w14:textId="77777777" w:rsidR="003D3865" w:rsidRPr="00F93C12" w:rsidRDefault="003D3865" w:rsidP="00F93C12">
      <w:pPr>
        <w:shd w:val="clear" w:color="auto" w:fill="FFFFFF"/>
        <w:ind w:left="0" w:right="-16" w:firstLine="0"/>
        <w:jc w:val="both"/>
        <w:rPr>
          <w:szCs w:val="22"/>
        </w:rPr>
      </w:pPr>
      <w:r w:rsidRPr="00F93C12">
        <w:rPr>
          <w:szCs w:val="22"/>
        </w:rPr>
        <w:t xml:space="preserve">Použití </w:t>
      </w:r>
      <w:proofErr w:type="spellStart"/>
      <w:r w:rsidRPr="00F93C12">
        <w:rPr>
          <w:szCs w:val="22"/>
        </w:rPr>
        <w:t>ketoprofenu</w:t>
      </w:r>
      <w:proofErr w:type="spellEnd"/>
      <w:r w:rsidRPr="00F93C12">
        <w:rPr>
          <w:szCs w:val="22"/>
        </w:rPr>
        <w:t xml:space="preserve"> se nedoporučuje u hříbat mladších 1 měsíce. Při podávání zvířatům mladším než 6 týdnů, poníkům nebo u starých zvířat je nutné přesně stanovit dávku a zároveň provést důkladné klinické vyšetření.</w:t>
      </w:r>
    </w:p>
    <w:p w14:paraId="7A3C46E9" w14:textId="77777777" w:rsidR="003D3865" w:rsidRPr="00F93C12" w:rsidRDefault="003D3865" w:rsidP="00F93C12">
      <w:pPr>
        <w:shd w:val="clear" w:color="auto" w:fill="FFFFFF"/>
        <w:ind w:left="0" w:right="-16" w:firstLine="0"/>
        <w:jc w:val="both"/>
        <w:rPr>
          <w:szCs w:val="22"/>
        </w:rPr>
      </w:pPr>
    </w:p>
    <w:p w14:paraId="75796009" w14:textId="77777777" w:rsidR="003D3865" w:rsidRPr="00F93C12" w:rsidRDefault="003D3865" w:rsidP="00F93C12">
      <w:pPr>
        <w:shd w:val="clear" w:color="auto" w:fill="FFFFFF"/>
        <w:ind w:right="-16"/>
        <w:jc w:val="both"/>
        <w:rPr>
          <w:spacing w:val="-1"/>
          <w:szCs w:val="22"/>
        </w:rPr>
      </w:pPr>
      <w:r w:rsidRPr="00F93C12">
        <w:rPr>
          <w:spacing w:val="-1"/>
          <w:szCs w:val="22"/>
        </w:rPr>
        <w:t xml:space="preserve">Nepodávejte </w:t>
      </w:r>
      <w:proofErr w:type="spellStart"/>
      <w:r w:rsidRPr="00F93C12">
        <w:rPr>
          <w:spacing w:val="-1"/>
          <w:szCs w:val="22"/>
        </w:rPr>
        <w:t>intraarteriálně</w:t>
      </w:r>
      <w:proofErr w:type="spellEnd"/>
      <w:r w:rsidRPr="00F93C12">
        <w:rPr>
          <w:spacing w:val="-1"/>
          <w:szCs w:val="22"/>
        </w:rPr>
        <w:t>.</w:t>
      </w:r>
    </w:p>
    <w:p w14:paraId="4C66422A" w14:textId="77777777" w:rsidR="003D3865" w:rsidRPr="00F93C12" w:rsidRDefault="003D3865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0A0519B5" w14:textId="77777777" w:rsidR="003D3865" w:rsidRPr="00F93C12" w:rsidRDefault="003D3865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 xml:space="preserve">Nepoužívat u dehydratovaných, </w:t>
      </w:r>
      <w:proofErr w:type="spellStart"/>
      <w:r w:rsidRPr="00F93C12">
        <w:rPr>
          <w:rStyle w:val="FontStyle11"/>
          <w:sz w:val="22"/>
          <w:szCs w:val="22"/>
          <w:lang w:val="cs-CZ" w:eastAsia="cs-CZ"/>
        </w:rPr>
        <w:t>hypovolemických</w:t>
      </w:r>
      <w:proofErr w:type="spellEnd"/>
      <w:r w:rsidRPr="00F93C12">
        <w:rPr>
          <w:rStyle w:val="FontStyle11"/>
          <w:sz w:val="22"/>
          <w:szCs w:val="22"/>
          <w:lang w:val="cs-CZ" w:eastAsia="cs-CZ"/>
        </w:rPr>
        <w:t xml:space="preserve"> nebo hypotenzních zvířat z důvodu možného rizika zvýšené renální toxicity.</w:t>
      </w:r>
    </w:p>
    <w:p w14:paraId="00B7DD12" w14:textId="77777777" w:rsidR="003D3865" w:rsidRPr="00F93C12" w:rsidRDefault="003D3865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28A8A460" w14:textId="77777777" w:rsidR="003D3865" w:rsidRPr="00F93C12" w:rsidRDefault="003D3865" w:rsidP="00F93C12">
      <w:pPr>
        <w:pStyle w:val="style40"/>
        <w:jc w:val="both"/>
        <w:rPr>
          <w:sz w:val="22"/>
          <w:szCs w:val="22"/>
        </w:rPr>
      </w:pPr>
      <w:r w:rsidRPr="00F93C12">
        <w:rPr>
          <w:sz w:val="22"/>
          <w:szCs w:val="22"/>
        </w:rPr>
        <w:t xml:space="preserve">V případě PMWS (syndromu </w:t>
      </w:r>
      <w:proofErr w:type="spellStart"/>
      <w:r w:rsidRPr="00F93C12">
        <w:rPr>
          <w:sz w:val="22"/>
          <w:szCs w:val="22"/>
        </w:rPr>
        <w:t>multisystémového</w:t>
      </w:r>
      <w:proofErr w:type="spellEnd"/>
      <w:r w:rsidRPr="00F93C12">
        <w:rPr>
          <w:sz w:val="22"/>
          <w:szCs w:val="22"/>
        </w:rPr>
        <w:t xml:space="preserve"> chřadnutí selat po odstavu) se často objevují žaludeční vředy, u prasat postižených tímto syndromem se tedy užívání </w:t>
      </w:r>
      <w:proofErr w:type="spellStart"/>
      <w:r w:rsidRPr="00F93C12">
        <w:rPr>
          <w:sz w:val="22"/>
          <w:szCs w:val="22"/>
        </w:rPr>
        <w:t>ketoprofenu</w:t>
      </w:r>
      <w:proofErr w:type="spellEnd"/>
      <w:r w:rsidRPr="00F93C12">
        <w:rPr>
          <w:sz w:val="22"/>
          <w:szCs w:val="22"/>
        </w:rPr>
        <w:t xml:space="preserve"> nedoporučuje, aby nedošlo ke zhoršení jejich stavu.</w:t>
      </w:r>
    </w:p>
    <w:p w14:paraId="68B6D07D" w14:textId="77777777" w:rsidR="003D3865" w:rsidRPr="00F93C12" w:rsidRDefault="003D3865" w:rsidP="00F93C12">
      <w:pPr>
        <w:pStyle w:val="style40"/>
        <w:jc w:val="both"/>
        <w:rPr>
          <w:sz w:val="22"/>
          <w:szCs w:val="22"/>
        </w:rPr>
      </w:pPr>
    </w:p>
    <w:p w14:paraId="48693A0B" w14:textId="77777777" w:rsidR="003D3865" w:rsidRPr="00F93C12" w:rsidRDefault="003D3865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>U koní se vyvarujte extravaskulárnímu podání.</w:t>
      </w:r>
    </w:p>
    <w:p w14:paraId="07E48613" w14:textId="77777777" w:rsidR="003D3865" w:rsidRPr="00F93C12" w:rsidRDefault="003D3865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64F844B7" w14:textId="2F2DAA0D" w:rsidR="003D3865" w:rsidRPr="00F93C12" w:rsidRDefault="003D3865" w:rsidP="00F93C12">
      <w:pPr>
        <w:pStyle w:val="Style4"/>
        <w:widowControl/>
        <w:jc w:val="both"/>
        <w:outlineLvl w:val="0"/>
        <w:rPr>
          <w:rStyle w:val="FontStyle11"/>
          <w:bCs/>
          <w:sz w:val="22"/>
          <w:szCs w:val="22"/>
          <w:u w:val="single"/>
          <w:lang w:val="cs-CZ" w:eastAsia="cs-CZ"/>
        </w:rPr>
      </w:pPr>
      <w:r w:rsidRPr="00F93C12">
        <w:rPr>
          <w:rStyle w:val="FontStyle11"/>
          <w:bCs/>
          <w:sz w:val="22"/>
          <w:szCs w:val="22"/>
          <w:u w:val="single"/>
          <w:lang w:val="cs-CZ" w:eastAsia="cs-CZ"/>
        </w:rPr>
        <w:t xml:space="preserve">Zvláštní opatření </w:t>
      </w:r>
      <w:r w:rsidR="00615459" w:rsidRPr="00F93C12">
        <w:rPr>
          <w:rStyle w:val="FontStyle11"/>
          <w:bCs/>
          <w:sz w:val="22"/>
          <w:szCs w:val="22"/>
          <w:u w:val="single"/>
          <w:lang w:val="cs-CZ" w:eastAsia="cs-CZ"/>
        </w:rPr>
        <w:t xml:space="preserve">pro </w:t>
      </w:r>
      <w:r w:rsidRPr="00F93C12">
        <w:rPr>
          <w:rStyle w:val="FontStyle11"/>
          <w:bCs/>
          <w:sz w:val="22"/>
          <w:szCs w:val="22"/>
          <w:u w:val="single"/>
          <w:lang w:val="cs-CZ" w:eastAsia="cs-CZ"/>
        </w:rPr>
        <w:t>osob</w:t>
      </w:r>
      <w:r w:rsidR="00615459" w:rsidRPr="00F93C12">
        <w:rPr>
          <w:rStyle w:val="FontStyle11"/>
          <w:bCs/>
          <w:sz w:val="22"/>
          <w:szCs w:val="22"/>
          <w:u w:val="single"/>
          <w:lang w:val="cs-CZ" w:eastAsia="cs-CZ"/>
        </w:rPr>
        <w:t>u</w:t>
      </w:r>
      <w:r w:rsidRPr="00F93C12">
        <w:rPr>
          <w:rStyle w:val="FontStyle11"/>
          <w:bCs/>
          <w:sz w:val="22"/>
          <w:szCs w:val="22"/>
          <w:u w:val="single"/>
          <w:lang w:val="cs-CZ" w:eastAsia="cs-CZ"/>
        </w:rPr>
        <w:t>, kter</w:t>
      </w:r>
      <w:r w:rsidR="00615459" w:rsidRPr="00F93C12">
        <w:rPr>
          <w:rStyle w:val="FontStyle11"/>
          <w:bCs/>
          <w:sz w:val="22"/>
          <w:szCs w:val="22"/>
          <w:u w:val="single"/>
          <w:lang w:val="cs-CZ" w:eastAsia="cs-CZ"/>
        </w:rPr>
        <w:t>á</w:t>
      </w:r>
      <w:r w:rsidRPr="00F93C12">
        <w:rPr>
          <w:rStyle w:val="FontStyle11"/>
          <w:bCs/>
          <w:sz w:val="22"/>
          <w:szCs w:val="22"/>
          <w:u w:val="single"/>
          <w:lang w:val="cs-CZ" w:eastAsia="cs-CZ"/>
        </w:rPr>
        <w:t xml:space="preserve"> podáv</w:t>
      </w:r>
      <w:r w:rsidR="00615459" w:rsidRPr="00F93C12">
        <w:rPr>
          <w:rStyle w:val="FontStyle11"/>
          <w:bCs/>
          <w:sz w:val="22"/>
          <w:szCs w:val="22"/>
          <w:u w:val="single"/>
          <w:lang w:val="cs-CZ" w:eastAsia="cs-CZ"/>
        </w:rPr>
        <w:t>á</w:t>
      </w:r>
      <w:r w:rsidRPr="00F93C12">
        <w:rPr>
          <w:rStyle w:val="FontStyle11"/>
          <w:bCs/>
          <w:sz w:val="22"/>
          <w:szCs w:val="22"/>
          <w:u w:val="single"/>
          <w:lang w:val="cs-CZ" w:eastAsia="cs-CZ"/>
        </w:rPr>
        <w:t xml:space="preserve"> veterinární léčivý přípravek zvířatům:</w:t>
      </w:r>
    </w:p>
    <w:p w14:paraId="452814F2" w14:textId="355B67B3" w:rsidR="00304E8A" w:rsidRPr="00F93C12" w:rsidRDefault="00615459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 xml:space="preserve">Při kontaktu s přípravkem se může </w:t>
      </w:r>
      <w:r w:rsidR="00304E8A" w:rsidRPr="00F93C12">
        <w:rPr>
          <w:rStyle w:val="FontStyle11"/>
          <w:sz w:val="22"/>
          <w:szCs w:val="22"/>
          <w:lang w:val="cs-CZ" w:eastAsia="cs-CZ"/>
        </w:rPr>
        <w:t>objevit hypersenzitivní reakce (kožní vyrážka, kopřivka). Lidé se známou přecitlivělostí na léčivou látku nebo některou z pomocných látek by se měli vy</w:t>
      </w:r>
      <w:r w:rsidRPr="00F93C12">
        <w:rPr>
          <w:rStyle w:val="FontStyle11"/>
          <w:sz w:val="22"/>
          <w:szCs w:val="22"/>
          <w:lang w:val="cs-CZ" w:eastAsia="cs-CZ"/>
        </w:rPr>
        <w:t>hnout</w:t>
      </w:r>
      <w:r w:rsidR="00304E8A" w:rsidRPr="00F93C12">
        <w:rPr>
          <w:rStyle w:val="FontStyle11"/>
          <w:sz w:val="22"/>
          <w:szCs w:val="22"/>
          <w:lang w:val="cs-CZ" w:eastAsia="cs-CZ"/>
        </w:rPr>
        <w:t xml:space="preserve"> kontaktu s veterinárním léčivým přípravkem.</w:t>
      </w:r>
    </w:p>
    <w:p w14:paraId="2DB8637A" w14:textId="77777777" w:rsidR="00E433D8" w:rsidRPr="00F93C12" w:rsidRDefault="00E433D8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5CD17D0" w14:textId="77777777" w:rsidR="003D3865" w:rsidRPr="00F93C12" w:rsidRDefault="003D3865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>Zabraňte kontaktu přípravku s kůží, očima a sliznicemi.</w:t>
      </w:r>
    </w:p>
    <w:p w14:paraId="78174DE4" w14:textId="77777777" w:rsidR="00E433D8" w:rsidRPr="00F93C12" w:rsidRDefault="00E433D8" w:rsidP="00F93C12">
      <w:pPr>
        <w:pStyle w:val="Style6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31142109" w14:textId="0EA5FCE5" w:rsidR="003D3865" w:rsidRPr="00F93C12" w:rsidRDefault="003D3865" w:rsidP="00F93C12">
      <w:pPr>
        <w:pStyle w:val="Style6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 xml:space="preserve">V případě náhodného zasažení </w:t>
      </w:r>
      <w:r w:rsidR="00615459" w:rsidRPr="00F93C12">
        <w:rPr>
          <w:rStyle w:val="FontStyle11"/>
          <w:sz w:val="22"/>
          <w:szCs w:val="22"/>
          <w:lang w:val="cs-CZ" w:eastAsia="cs-CZ"/>
        </w:rPr>
        <w:t>pokožky</w:t>
      </w:r>
      <w:r w:rsidRPr="00F93C12">
        <w:rPr>
          <w:rStyle w:val="FontStyle11"/>
          <w:sz w:val="22"/>
          <w:szCs w:val="22"/>
          <w:lang w:val="cs-CZ" w:eastAsia="cs-CZ"/>
        </w:rPr>
        <w:t>, očí nebo sliznice ihned důkladně omyjte zasažené místo proudem čisté vody. Pokud podráždění přetrvává, vyhledejte lékařskou pomoc.</w:t>
      </w:r>
    </w:p>
    <w:p w14:paraId="6C441DD3" w14:textId="77777777" w:rsidR="00E433D8" w:rsidRPr="00F93C12" w:rsidRDefault="00E433D8" w:rsidP="00F93C12">
      <w:pPr>
        <w:pStyle w:val="Style6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0C391367" w14:textId="10E39FE1" w:rsidR="003D3865" w:rsidRPr="00F93C12" w:rsidRDefault="003D3865" w:rsidP="00F93C12">
      <w:pPr>
        <w:pStyle w:val="Style6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 xml:space="preserve">Zabraňte náhodnému </w:t>
      </w:r>
      <w:proofErr w:type="spellStart"/>
      <w:r w:rsidRPr="00F93C12">
        <w:rPr>
          <w:rStyle w:val="FontStyle11"/>
          <w:sz w:val="22"/>
          <w:szCs w:val="22"/>
          <w:lang w:val="cs-CZ" w:eastAsia="cs-CZ"/>
        </w:rPr>
        <w:t>samopodání</w:t>
      </w:r>
      <w:proofErr w:type="spellEnd"/>
      <w:r w:rsidRPr="00F93C12">
        <w:rPr>
          <w:rStyle w:val="FontStyle11"/>
          <w:sz w:val="22"/>
          <w:szCs w:val="22"/>
          <w:lang w:val="cs-CZ" w:eastAsia="cs-CZ"/>
        </w:rPr>
        <w:t xml:space="preserve"> injekce. V případě náhodného sebepoškození injekčně </w:t>
      </w:r>
      <w:r w:rsidR="00615459" w:rsidRPr="00F93C12">
        <w:rPr>
          <w:rStyle w:val="FontStyle11"/>
          <w:sz w:val="22"/>
          <w:szCs w:val="22"/>
          <w:lang w:val="cs-CZ" w:eastAsia="cs-CZ"/>
        </w:rPr>
        <w:t>podaným</w:t>
      </w:r>
      <w:r w:rsidRPr="00F93C12">
        <w:rPr>
          <w:rStyle w:val="FontStyle11"/>
          <w:sz w:val="22"/>
          <w:szCs w:val="22"/>
          <w:lang w:val="cs-CZ" w:eastAsia="cs-CZ"/>
        </w:rPr>
        <w:t xml:space="preserve"> přípravkem</w:t>
      </w:r>
      <w:r w:rsidRPr="00F93C12">
        <w:rPr>
          <w:rStyle w:val="FontStyle11"/>
          <w:color w:val="FF0000"/>
          <w:sz w:val="22"/>
          <w:szCs w:val="22"/>
          <w:lang w:val="cs-CZ" w:eastAsia="cs-CZ"/>
        </w:rPr>
        <w:t xml:space="preserve"> </w:t>
      </w:r>
      <w:r w:rsidRPr="00F93C12">
        <w:rPr>
          <w:rStyle w:val="FontStyle11"/>
          <w:sz w:val="22"/>
          <w:szCs w:val="22"/>
          <w:lang w:val="cs-CZ" w:eastAsia="cs-CZ"/>
        </w:rPr>
        <w:t>vyhledejte ihned lékařskou pomoc a ukažte příbalovou informaci nebo etiketu praktickému lékaři.</w:t>
      </w:r>
    </w:p>
    <w:p w14:paraId="04AA11B1" w14:textId="77777777" w:rsidR="00E433D8" w:rsidRPr="00F93C12" w:rsidRDefault="00E433D8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0B755A6B" w14:textId="7A971AD1" w:rsidR="003D3865" w:rsidRDefault="003D3865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 xml:space="preserve">Po použití si umyjte ruce. </w:t>
      </w:r>
    </w:p>
    <w:p w14:paraId="11ECB2AC" w14:textId="77777777" w:rsidR="00F93C12" w:rsidRPr="00F93C12" w:rsidRDefault="00F93C12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7FF9EA28" w14:textId="77777777" w:rsidR="003D3865" w:rsidRPr="00F93C12" w:rsidRDefault="00E433D8" w:rsidP="00F93C12">
      <w:pPr>
        <w:shd w:val="clear" w:color="auto" w:fill="FFFFFF"/>
        <w:ind w:right="-16"/>
        <w:jc w:val="both"/>
        <w:rPr>
          <w:szCs w:val="22"/>
        </w:rPr>
      </w:pPr>
      <w:r w:rsidRPr="00F93C12">
        <w:rPr>
          <w:szCs w:val="22"/>
          <w:u w:val="single"/>
        </w:rPr>
        <w:t>Použití v průběhu březosti</w:t>
      </w:r>
      <w:r w:rsidR="003D3865" w:rsidRPr="00F93C12">
        <w:rPr>
          <w:szCs w:val="22"/>
        </w:rPr>
        <w:t>:</w:t>
      </w:r>
    </w:p>
    <w:p w14:paraId="31990408" w14:textId="77777777" w:rsidR="003D3865" w:rsidRPr="00F93C12" w:rsidRDefault="003D3865" w:rsidP="00F93C12">
      <w:pPr>
        <w:shd w:val="clear" w:color="auto" w:fill="FFFFFF"/>
        <w:ind w:left="0" w:right="-16" w:firstLine="0"/>
        <w:jc w:val="both"/>
        <w:rPr>
          <w:szCs w:val="22"/>
        </w:rPr>
      </w:pPr>
      <w:r w:rsidRPr="00F93C12">
        <w:rPr>
          <w:szCs w:val="22"/>
        </w:rPr>
        <w:t>Studie na laboratorních zvířatech (potkani, myši, králíci) a skotu neprokázaly nežádoucí účinky</w:t>
      </w:r>
      <w:r w:rsidR="00E433D8" w:rsidRPr="00F93C12">
        <w:rPr>
          <w:szCs w:val="22"/>
        </w:rPr>
        <w:t xml:space="preserve">. </w:t>
      </w:r>
      <w:r w:rsidRPr="00F93C12">
        <w:rPr>
          <w:szCs w:val="22"/>
        </w:rPr>
        <w:t>Přípravek může být použit u březích krav.</w:t>
      </w:r>
    </w:p>
    <w:p w14:paraId="563C785A" w14:textId="77777777" w:rsidR="00E433D8" w:rsidRPr="00F93C12" w:rsidRDefault="00E433D8" w:rsidP="00F93C12">
      <w:pPr>
        <w:pStyle w:val="Style4"/>
        <w:widowControl/>
        <w:jc w:val="both"/>
        <w:rPr>
          <w:sz w:val="22"/>
          <w:szCs w:val="22"/>
          <w:lang w:val="cs-CZ"/>
        </w:rPr>
      </w:pPr>
    </w:p>
    <w:p w14:paraId="68E1FF8A" w14:textId="71C84DDC" w:rsidR="003D3865" w:rsidRDefault="003D3865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sz w:val="22"/>
          <w:szCs w:val="22"/>
          <w:lang w:val="cs-CZ"/>
        </w:rPr>
        <w:t xml:space="preserve">Bezpečnost tohoto veterinárního léčivého přípravku nebyla dosud prokázána během březosti u prasnic a klisen. Používejte pouze po </w:t>
      </w:r>
      <w:r w:rsidRPr="00F93C12">
        <w:rPr>
          <w:rStyle w:val="FontStyle11"/>
          <w:sz w:val="22"/>
          <w:szCs w:val="22"/>
          <w:lang w:val="cs-CZ" w:eastAsia="cs-CZ"/>
        </w:rPr>
        <w:t>zvážení poměru terapeutického prospěchu a rizika příslušným veterinárním lékařem.</w:t>
      </w:r>
    </w:p>
    <w:p w14:paraId="2C5FF0AD" w14:textId="77777777" w:rsidR="004F29C1" w:rsidRPr="00F93C12" w:rsidRDefault="004F29C1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69FAE09E" w14:textId="77777777" w:rsidR="00E433D8" w:rsidRPr="00F93C12" w:rsidRDefault="00E433D8" w:rsidP="00F93C12">
      <w:pPr>
        <w:shd w:val="clear" w:color="auto" w:fill="FFFFFF"/>
        <w:ind w:right="-16"/>
        <w:jc w:val="both"/>
        <w:rPr>
          <w:szCs w:val="22"/>
        </w:rPr>
      </w:pPr>
      <w:r w:rsidRPr="00F93C12">
        <w:rPr>
          <w:szCs w:val="22"/>
        </w:rPr>
        <w:t>Laktace:</w:t>
      </w:r>
    </w:p>
    <w:p w14:paraId="58880A4D" w14:textId="77777777" w:rsidR="003D3865" w:rsidRPr="00F93C12" w:rsidRDefault="003D3865" w:rsidP="00F93C12">
      <w:pPr>
        <w:shd w:val="clear" w:color="auto" w:fill="FFFFFF"/>
        <w:ind w:right="-16"/>
        <w:jc w:val="both"/>
        <w:rPr>
          <w:szCs w:val="22"/>
        </w:rPr>
      </w:pPr>
      <w:r w:rsidRPr="00F93C12">
        <w:rPr>
          <w:szCs w:val="22"/>
        </w:rPr>
        <w:t>Přípravek může být použit u laktujících krav a prasnic.</w:t>
      </w:r>
    </w:p>
    <w:p w14:paraId="7600244E" w14:textId="0779478B" w:rsidR="003D3865" w:rsidRDefault="00304E8A" w:rsidP="00F93C12">
      <w:pPr>
        <w:pStyle w:val="Normlnweb"/>
        <w:spacing w:before="0" w:after="0"/>
        <w:jc w:val="both"/>
        <w:rPr>
          <w:sz w:val="22"/>
          <w:szCs w:val="22"/>
        </w:rPr>
      </w:pPr>
      <w:r w:rsidRPr="00F93C12">
        <w:rPr>
          <w:sz w:val="22"/>
          <w:szCs w:val="22"/>
        </w:rPr>
        <w:t xml:space="preserve">Není doporučeno použití přípravku u </w:t>
      </w:r>
      <w:proofErr w:type="spellStart"/>
      <w:r w:rsidRPr="00F93C12">
        <w:rPr>
          <w:sz w:val="22"/>
          <w:szCs w:val="22"/>
        </w:rPr>
        <w:t>laktujících</w:t>
      </w:r>
      <w:proofErr w:type="spellEnd"/>
      <w:r w:rsidRPr="00F93C12">
        <w:rPr>
          <w:sz w:val="22"/>
          <w:szCs w:val="22"/>
        </w:rPr>
        <w:t xml:space="preserve"> klisen.</w:t>
      </w:r>
    </w:p>
    <w:p w14:paraId="65B527E4" w14:textId="77777777" w:rsidR="004F29C1" w:rsidRPr="00F93C12" w:rsidRDefault="004F29C1" w:rsidP="00F93C12">
      <w:pPr>
        <w:pStyle w:val="Normlnweb"/>
        <w:spacing w:before="0" w:after="0"/>
        <w:jc w:val="both"/>
        <w:rPr>
          <w:sz w:val="22"/>
          <w:szCs w:val="22"/>
        </w:rPr>
      </w:pPr>
    </w:p>
    <w:p w14:paraId="7E7DB998" w14:textId="77777777" w:rsidR="003D3865" w:rsidRPr="00F93C12" w:rsidRDefault="003D3865" w:rsidP="00F93C12">
      <w:pPr>
        <w:shd w:val="clear" w:color="auto" w:fill="FFFFFF"/>
        <w:ind w:right="-16"/>
        <w:jc w:val="both"/>
        <w:rPr>
          <w:szCs w:val="22"/>
          <w:u w:val="single"/>
        </w:rPr>
      </w:pPr>
      <w:r w:rsidRPr="00F93C12">
        <w:rPr>
          <w:spacing w:val="-1"/>
          <w:szCs w:val="22"/>
          <w:u w:val="single"/>
        </w:rPr>
        <w:t>Interakce s dalšími léčivými přípravky a další formy interakce:</w:t>
      </w:r>
    </w:p>
    <w:p w14:paraId="717E3B22" w14:textId="77777777" w:rsidR="003D3865" w:rsidRPr="00F93C12" w:rsidRDefault="003D3865" w:rsidP="00F93C12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 xml:space="preserve">Diuretika nebo potencionálně </w:t>
      </w:r>
      <w:proofErr w:type="spellStart"/>
      <w:r w:rsidRPr="00F93C12">
        <w:rPr>
          <w:rStyle w:val="FontStyle11"/>
          <w:sz w:val="22"/>
          <w:szCs w:val="22"/>
          <w:lang w:val="cs-CZ" w:eastAsia="cs-CZ"/>
        </w:rPr>
        <w:t>nefrotoxická</w:t>
      </w:r>
      <w:proofErr w:type="spellEnd"/>
      <w:r w:rsidRPr="00F93C12">
        <w:rPr>
          <w:rStyle w:val="FontStyle11"/>
          <w:sz w:val="22"/>
          <w:szCs w:val="22"/>
          <w:lang w:val="cs-CZ" w:eastAsia="cs-CZ"/>
        </w:rPr>
        <w:t xml:space="preserve"> léčiva by se neměla podávat současně s </w:t>
      </w:r>
      <w:proofErr w:type="spellStart"/>
      <w:r w:rsidRPr="00F93C12">
        <w:rPr>
          <w:rStyle w:val="FontStyle11"/>
          <w:sz w:val="22"/>
          <w:szCs w:val="22"/>
          <w:lang w:val="cs-CZ" w:eastAsia="cs-CZ"/>
        </w:rPr>
        <w:t>ketoprofenem</w:t>
      </w:r>
      <w:proofErr w:type="spellEnd"/>
      <w:r w:rsidRPr="00F93C12">
        <w:rPr>
          <w:rStyle w:val="FontStyle11"/>
          <w:sz w:val="22"/>
          <w:szCs w:val="22"/>
          <w:lang w:val="cs-CZ" w:eastAsia="cs-CZ"/>
        </w:rPr>
        <w:t>, jelikož se zvyšuje riziko renálního poškození, včetně renálního selhání. Jde o sekundární účinek vyvolaný snížen</w:t>
      </w:r>
      <w:r w:rsidRPr="00F93C12">
        <w:rPr>
          <w:rStyle w:val="FontStyle11"/>
          <w:sz w:val="22"/>
          <w:szCs w:val="22"/>
          <w:lang w:val="cs-CZ"/>
        </w:rPr>
        <w:t xml:space="preserve">ým průtokem </w:t>
      </w:r>
      <w:r w:rsidRPr="00F93C12">
        <w:rPr>
          <w:rStyle w:val="FontStyle11"/>
          <w:sz w:val="22"/>
          <w:szCs w:val="22"/>
          <w:lang w:val="cs-CZ" w:eastAsia="cs-CZ"/>
        </w:rPr>
        <w:t xml:space="preserve">krve </w:t>
      </w:r>
      <w:r w:rsidR="00304E8A" w:rsidRPr="00F93C12">
        <w:rPr>
          <w:rStyle w:val="FontStyle11"/>
          <w:sz w:val="22"/>
          <w:szCs w:val="22"/>
          <w:lang w:val="cs-CZ" w:eastAsia="cs-CZ"/>
        </w:rPr>
        <w:t xml:space="preserve">ledvinami </w:t>
      </w:r>
      <w:r w:rsidRPr="00F93C12">
        <w:rPr>
          <w:rStyle w:val="FontStyle11"/>
          <w:sz w:val="22"/>
          <w:szCs w:val="22"/>
          <w:lang w:val="cs-CZ" w:eastAsia="cs-CZ"/>
        </w:rPr>
        <w:t>v důsledku</w:t>
      </w:r>
      <w:r w:rsidRPr="00F93C12">
        <w:rPr>
          <w:rStyle w:val="FontStyle11"/>
          <w:sz w:val="22"/>
          <w:szCs w:val="22"/>
          <w:lang w:val="cs-CZ"/>
        </w:rPr>
        <w:t xml:space="preserve"> </w:t>
      </w:r>
      <w:r w:rsidRPr="00F93C12">
        <w:rPr>
          <w:rStyle w:val="FontStyle11"/>
          <w:sz w:val="22"/>
          <w:szCs w:val="22"/>
          <w:lang w:val="cs-CZ" w:eastAsia="cs-CZ"/>
        </w:rPr>
        <w:t xml:space="preserve">inhibice syntézy </w:t>
      </w:r>
      <w:r w:rsidR="00304E8A" w:rsidRPr="00F93C12">
        <w:rPr>
          <w:rStyle w:val="FontStyle11"/>
          <w:sz w:val="22"/>
          <w:szCs w:val="22"/>
          <w:lang w:val="cs-CZ" w:eastAsia="cs-CZ"/>
        </w:rPr>
        <w:t xml:space="preserve">ledvinových </w:t>
      </w:r>
      <w:r w:rsidRPr="00F93C12">
        <w:rPr>
          <w:rStyle w:val="FontStyle11"/>
          <w:sz w:val="22"/>
          <w:szCs w:val="22"/>
          <w:lang w:val="cs-CZ" w:eastAsia="cs-CZ"/>
        </w:rPr>
        <w:t>prostaglandinů.</w:t>
      </w:r>
    </w:p>
    <w:p w14:paraId="12AF6E75" w14:textId="77777777" w:rsidR="00E433D8" w:rsidRPr="00F93C12" w:rsidRDefault="00E433D8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6F2D2F94" w14:textId="77777777" w:rsidR="003D3865" w:rsidRPr="00F93C12" w:rsidRDefault="003D3865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 xml:space="preserve">Nepodávejte současně nebo během 24 hodin po podání tohoto </w:t>
      </w:r>
      <w:r w:rsidR="00304E8A" w:rsidRPr="00F93C12">
        <w:rPr>
          <w:rStyle w:val="FontStyle11"/>
          <w:sz w:val="22"/>
          <w:szCs w:val="22"/>
          <w:lang w:val="cs-CZ" w:eastAsia="cs-CZ"/>
        </w:rPr>
        <w:t xml:space="preserve">veterinárního léčivého </w:t>
      </w:r>
      <w:r w:rsidRPr="00F93C12">
        <w:rPr>
          <w:rStyle w:val="FontStyle11"/>
          <w:sz w:val="22"/>
          <w:szCs w:val="22"/>
          <w:lang w:val="cs-CZ" w:eastAsia="cs-CZ"/>
        </w:rPr>
        <w:t>přípravku jiná nesteroidní antiflogistika (</w:t>
      </w:r>
      <w:proofErr w:type="spellStart"/>
      <w:r w:rsidRPr="00F93C12">
        <w:rPr>
          <w:rStyle w:val="FontStyle11"/>
          <w:sz w:val="22"/>
          <w:szCs w:val="22"/>
          <w:lang w:val="cs-CZ" w:eastAsia="cs-CZ"/>
        </w:rPr>
        <w:t>NSAIDs</w:t>
      </w:r>
      <w:proofErr w:type="spellEnd"/>
      <w:r w:rsidRPr="00F93C12">
        <w:rPr>
          <w:rStyle w:val="FontStyle11"/>
          <w:sz w:val="22"/>
          <w:szCs w:val="22"/>
          <w:lang w:val="cs-CZ" w:eastAsia="cs-CZ"/>
        </w:rPr>
        <w:t>), kortikosteroidy, antikoagulancia nebo diuretika z důvodu rizika exacerbace gastrointestinální ulcerace a ostatních nežádoucích účinků.</w:t>
      </w:r>
    </w:p>
    <w:p w14:paraId="33873FFF" w14:textId="77777777" w:rsidR="00E433D8" w:rsidRPr="00F93C12" w:rsidRDefault="00E433D8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66AEDD98" w14:textId="77777777" w:rsidR="003D3865" w:rsidRPr="00F93C12" w:rsidRDefault="003D3865" w:rsidP="00F93C12">
      <w:pPr>
        <w:pStyle w:val="Style4"/>
        <w:widowControl/>
        <w:jc w:val="both"/>
        <w:rPr>
          <w:rStyle w:val="FontStyle11"/>
          <w:sz w:val="22"/>
          <w:szCs w:val="22"/>
          <w:lang w:val="cs-CZ"/>
        </w:rPr>
      </w:pPr>
      <w:r w:rsidRPr="00F93C12">
        <w:rPr>
          <w:rStyle w:val="FontStyle11"/>
          <w:sz w:val="22"/>
          <w:szCs w:val="22"/>
          <w:lang w:val="cs-CZ"/>
        </w:rPr>
        <w:lastRenderedPageBreak/>
        <w:t>Nicméně doba bez aplikace léčiv by měla zohledňovat farmakologické vlastnosti přípravků, které byly předtím užívány.</w:t>
      </w:r>
    </w:p>
    <w:p w14:paraId="5D7806C1" w14:textId="77777777" w:rsidR="003D3865" w:rsidRPr="00F93C12" w:rsidRDefault="003D3865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60A80196" w14:textId="77777777" w:rsidR="003D3865" w:rsidRPr="00F93C12" w:rsidRDefault="003D3865" w:rsidP="00F93C12">
      <w:pPr>
        <w:shd w:val="clear" w:color="auto" w:fill="FFFFFF"/>
        <w:ind w:left="0" w:right="-16" w:firstLine="0"/>
        <w:jc w:val="both"/>
        <w:rPr>
          <w:szCs w:val="22"/>
        </w:rPr>
      </w:pPr>
      <w:proofErr w:type="spellStart"/>
      <w:r w:rsidRPr="00F93C12">
        <w:rPr>
          <w:szCs w:val="22"/>
        </w:rPr>
        <w:t>Ketoprofen</w:t>
      </w:r>
      <w:proofErr w:type="spellEnd"/>
      <w:r w:rsidRPr="00F93C12">
        <w:rPr>
          <w:szCs w:val="22"/>
        </w:rPr>
        <w:t xml:space="preserve"> se silně váže na plazmatické bílkoviny a může soutěžit s jinými silně vaznými léčivy, </w:t>
      </w:r>
      <w:r w:rsidRPr="00F93C12">
        <w:rPr>
          <w:spacing w:val="-1"/>
          <w:szCs w:val="22"/>
        </w:rPr>
        <w:t>což může vést k toxickým účinkům.</w:t>
      </w:r>
    </w:p>
    <w:p w14:paraId="2851D1C7" w14:textId="77777777" w:rsidR="003D3865" w:rsidRPr="00F93C12" w:rsidRDefault="003D3865" w:rsidP="00F93C12">
      <w:pPr>
        <w:shd w:val="clear" w:color="auto" w:fill="FFFFFF"/>
        <w:ind w:right="-16"/>
        <w:jc w:val="both"/>
        <w:rPr>
          <w:szCs w:val="22"/>
        </w:rPr>
      </w:pPr>
    </w:p>
    <w:p w14:paraId="65E9838D" w14:textId="77777777" w:rsidR="003D3865" w:rsidRPr="00F93C12" w:rsidRDefault="003D3865" w:rsidP="00F93C12">
      <w:pPr>
        <w:shd w:val="clear" w:color="auto" w:fill="FFFFFF"/>
        <w:ind w:right="-16"/>
        <w:jc w:val="both"/>
        <w:rPr>
          <w:szCs w:val="22"/>
        </w:rPr>
      </w:pPr>
      <w:r w:rsidRPr="00F93C12">
        <w:rPr>
          <w:spacing w:val="-1"/>
          <w:szCs w:val="22"/>
          <w:u w:val="single"/>
        </w:rPr>
        <w:t>Předávkování</w:t>
      </w:r>
      <w:r w:rsidRPr="00F93C12">
        <w:rPr>
          <w:spacing w:val="-1"/>
          <w:szCs w:val="22"/>
        </w:rPr>
        <w:t>:</w:t>
      </w:r>
    </w:p>
    <w:p w14:paraId="2B72C20F" w14:textId="77777777" w:rsidR="003D3865" w:rsidRPr="00F93C12" w:rsidRDefault="003D3865" w:rsidP="00F93C12">
      <w:pPr>
        <w:shd w:val="clear" w:color="auto" w:fill="FFFFFF"/>
        <w:ind w:left="0" w:right="-16" w:firstLine="0"/>
        <w:jc w:val="both"/>
        <w:rPr>
          <w:spacing w:val="-1"/>
          <w:szCs w:val="22"/>
        </w:rPr>
      </w:pPr>
      <w:r w:rsidRPr="00F93C12">
        <w:rPr>
          <w:szCs w:val="22"/>
        </w:rPr>
        <w:t xml:space="preserve">Předávkování nesteroidními antiflogistiky (NSAID) může vést ke vzniku gastrointestinální ulcerace, </w:t>
      </w:r>
      <w:r w:rsidRPr="00F93C12">
        <w:rPr>
          <w:spacing w:val="-1"/>
          <w:szCs w:val="22"/>
        </w:rPr>
        <w:t>ztrátě bílkovin, poškození jater a ledvin.</w:t>
      </w:r>
    </w:p>
    <w:p w14:paraId="6C8B8EDD" w14:textId="77777777" w:rsidR="00E433D8" w:rsidRPr="00F93C12" w:rsidRDefault="00E433D8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40F4B72F" w14:textId="46978552" w:rsidR="003D3865" w:rsidRPr="00F93C12" w:rsidRDefault="003D3865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>Ve studiích snášenlivosti u prasat až 25</w:t>
      </w:r>
      <w:r w:rsidR="00F73BAE">
        <w:rPr>
          <w:rStyle w:val="FontStyle11"/>
          <w:sz w:val="22"/>
          <w:szCs w:val="22"/>
          <w:lang w:val="cs-CZ" w:eastAsia="cs-CZ"/>
        </w:rPr>
        <w:t xml:space="preserve"> </w:t>
      </w:r>
      <w:r w:rsidRPr="00F93C12">
        <w:rPr>
          <w:rStyle w:val="FontStyle11"/>
          <w:sz w:val="22"/>
          <w:szCs w:val="22"/>
          <w:lang w:val="cs-CZ" w:eastAsia="cs-CZ"/>
        </w:rPr>
        <w:t xml:space="preserve">% zvířat léčených trojnásobně vyšší maximální doporučenou dávkou (9 mg/kg ž.hm.) po dobu 3 dnů nebo doporučenou dávkou (3mg/kg ž.hm.) třikrát delší </w:t>
      </w:r>
      <w:proofErr w:type="gramStart"/>
      <w:r w:rsidRPr="00F93C12">
        <w:rPr>
          <w:rStyle w:val="FontStyle11"/>
          <w:sz w:val="22"/>
          <w:szCs w:val="22"/>
          <w:lang w:val="cs-CZ" w:eastAsia="cs-CZ"/>
        </w:rPr>
        <w:t>dobu</w:t>
      </w:r>
      <w:proofErr w:type="gramEnd"/>
      <w:r w:rsidRPr="00F93C12">
        <w:rPr>
          <w:rStyle w:val="FontStyle11"/>
          <w:sz w:val="22"/>
          <w:szCs w:val="22"/>
          <w:lang w:val="cs-CZ" w:eastAsia="cs-CZ"/>
        </w:rPr>
        <w:t xml:space="preserve"> než je doporučeno (9 dnů) prokazovaly erosivní nebo </w:t>
      </w:r>
      <w:proofErr w:type="spellStart"/>
      <w:r w:rsidRPr="00F93C12">
        <w:rPr>
          <w:rStyle w:val="FontStyle11"/>
          <w:sz w:val="22"/>
          <w:szCs w:val="22"/>
          <w:lang w:val="cs-CZ" w:eastAsia="cs-CZ"/>
        </w:rPr>
        <w:t>ulcerativní</w:t>
      </w:r>
      <w:proofErr w:type="spellEnd"/>
      <w:r w:rsidRPr="00F93C12">
        <w:rPr>
          <w:rStyle w:val="FontStyle11"/>
          <w:sz w:val="22"/>
          <w:szCs w:val="22"/>
          <w:lang w:val="cs-CZ" w:eastAsia="cs-CZ"/>
        </w:rPr>
        <w:t xml:space="preserve"> léze na obou částech žaludku (</w:t>
      </w:r>
      <w:r w:rsidR="004548D5" w:rsidRPr="00F93C12">
        <w:rPr>
          <w:rStyle w:val="FontStyle11"/>
          <w:sz w:val="22"/>
          <w:szCs w:val="22"/>
          <w:lang w:val="cs-CZ" w:eastAsia="cs-CZ"/>
        </w:rPr>
        <w:t>esofagu</w:t>
      </w:r>
      <w:r w:rsidRPr="00F93C12">
        <w:rPr>
          <w:rStyle w:val="FontStyle11"/>
          <w:sz w:val="22"/>
          <w:szCs w:val="22"/>
          <w:lang w:val="cs-CZ" w:eastAsia="cs-CZ"/>
        </w:rPr>
        <w:t xml:space="preserve"> </w:t>
      </w:r>
      <w:r w:rsidR="004F29C1" w:rsidRPr="00F93C12">
        <w:rPr>
          <w:rStyle w:val="FontStyle11"/>
          <w:sz w:val="22"/>
          <w:szCs w:val="22"/>
          <w:lang w:val="cs-CZ" w:eastAsia="cs-CZ"/>
        </w:rPr>
        <w:t>i</w:t>
      </w:r>
      <w:r w:rsidR="004F29C1">
        <w:rPr>
          <w:rStyle w:val="FontStyle11"/>
          <w:sz w:val="22"/>
          <w:szCs w:val="22"/>
          <w:lang w:val="cs-CZ" w:eastAsia="cs-CZ"/>
        </w:rPr>
        <w:t> </w:t>
      </w:r>
      <w:r w:rsidRPr="00F93C12">
        <w:rPr>
          <w:rStyle w:val="FontStyle11"/>
          <w:sz w:val="22"/>
          <w:szCs w:val="22"/>
          <w:lang w:val="cs-CZ" w:eastAsia="cs-CZ"/>
        </w:rPr>
        <w:t>žláznaté části). Včasnými příznaky toxicity jsou ztráta chuti k příjmu potravy a kašovitá stolice nebo průjem.</w:t>
      </w:r>
    </w:p>
    <w:p w14:paraId="07246C81" w14:textId="77777777" w:rsidR="003D3865" w:rsidRPr="00F93C12" w:rsidRDefault="003D3865" w:rsidP="00F93C12">
      <w:pPr>
        <w:shd w:val="clear" w:color="auto" w:fill="FFFFFF"/>
        <w:ind w:right="-16"/>
        <w:jc w:val="both"/>
        <w:rPr>
          <w:szCs w:val="22"/>
        </w:rPr>
      </w:pPr>
    </w:p>
    <w:p w14:paraId="1B634FF5" w14:textId="342DEFD3" w:rsidR="003D3865" w:rsidRPr="00F93C12" w:rsidRDefault="003D3865" w:rsidP="00F93C12">
      <w:pPr>
        <w:shd w:val="clear" w:color="auto" w:fill="FFFFFF"/>
        <w:ind w:left="0" w:right="-16" w:firstLine="0"/>
        <w:jc w:val="both"/>
        <w:rPr>
          <w:szCs w:val="22"/>
        </w:rPr>
      </w:pPr>
      <w:r w:rsidRPr="00F93C12">
        <w:rPr>
          <w:szCs w:val="22"/>
        </w:rPr>
        <w:t>Intramuskulá</w:t>
      </w:r>
      <w:r w:rsidR="00BA4F05">
        <w:rPr>
          <w:szCs w:val="22"/>
        </w:rPr>
        <w:t>rn</w:t>
      </w:r>
      <w:r w:rsidRPr="00F93C12">
        <w:rPr>
          <w:szCs w:val="22"/>
        </w:rPr>
        <w:t xml:space="preserve">í podávání </w:t>
      </w:r>
      <w:r w:rsidR="00304E8A" w:rsidRPr="00F93C12">
        <w:rPr>
          <w:szCs w:val="22"/>
        </w:rPr>
        <w:t xml:space="preserve">veterinárního léčivého </w:t>
      </w:r>
      <w:r w:rsidRPr="00F93C12">
        <w:rPr>
          <w:szCs w:val="22"/>
        </w:rPr>
        <w:t xml:space="preserve">přípravku skotu až v trojnásobném množství, než je doporučená dávka, nebo po třikrát delší dobu, než je doporučená délka podávání (9 dní), nemělo za následek klinické známky nesnášenlivosti. Nicméně u léčených zvířat byly zaznamenány záněty </w:t>
      </w:r>
      <w:r w:rsidR="004F29C1" w:rsidRPr="00F93C12">
        <w:rPr>
          <w:szCs w:val="22"/>
        </w:rPr>
        <w:t>a</w:t>
      </w:r>
      <w:r w:rsidR="004F29C1">
        <w:rPr>
          <w:szCs w:val="22"/>
        </w:rPr>
        <w:t> </w:t>
      </w:r>
      <w:r w:rsidRPr="00F93C12">
        <w:rPr>
          <w:szCs w:val="22"/>
        </w:rPr>
        <w:t xml:space="preserve">nekrotické subklinické léze v místě vpichu, a také zvýšené hladiny </w:t>
      </w:r>
      <w:proofErr w:type="spellStart"/>
      <w:r w:rsidRPr="00F93C12">
        <w:rPr>
          <w:szCs w:val="22"/>
        </w:rPr>
        <w:t>kreatinfosfokinázy</w:t>
      </w:r>
      <w:proofErr w:type="spellEnd"/>
      <w:r w:rsidRPr="00F93C12">
        <w:rPr>
          <w:szCs w:val="22"/>
        </w:rPr>
        <w:t xml:space="preserve"> (CPK). Histopatologické vyšetření prokázalo v souvislosti s oběma režimy dávkování přítomnost erozivních nebo vředových lézí slezu.</w:t>
      </w:r>
    </w:p>
    <w:p w14:paraId="4BFF1B3B" w14:textId="77777777" w:rsidR="003D3865" w:rsidRPr="00F93C12" w:rsidRDefault="003D3865" w:rsidP="00F93C12">
      <w:pPr>
        <w:shd w:val="clear" w:color="auto" w:fill="FFFFFF"/>
        <w:ind w:right="-16"/>
        <w:jc w:val="both"/>
        <w:rPr>
          <w:szCs w:val="22"/>
        </w:rPr>
      </w:pPr>
    </w:p>
    <w:p w14:paraId="14C48D3D" w14:textId="77777777" w:rsidR="003D3865" w:rsidRPr="00F93C12" w:rsidRDefault="003D3865" w:rsidP="00F93C12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 xml:space="preserve">U koní byla prokázána snášenlivost při intravenózním podání pětinásobku doporučené dávky </w:t>
      </w:r>
      <w:proofErr w:type="spellStart"/>
      <w:r w:rsidRPr="00F93C12">
        <w:rPr>
          <w:rStyle w:val="FontStyle11"/>
          <w:sz w:val="22"/>
          <w:szCs w:val="22"/>
          <w:lang w:val="cs-CZ" w:eastAsia="cs-CZ"/>
        </w:rPr>
        <w:t>ketoprofenu</w:t>
      </w:r>
      <w:proofErr w:type="spellEnd"/>
      <w:r w:rsidRPr="00F93C12">
        <w:rPr>
          <w:rStyle w:val="FontStyle11"/>
          <w:sz w:val="22"/>
          <w:szCs w:val="22"/>
          <w:lang w:val="cs-CZ" w:eastAsia="cs-CZ"/>
        </w:rPr>
        <w:t xml:space="preserve"> po trojnásobném překročení doporučené délky podání (15 dnů) bez projevů toxicity.</w:t>
      </w:r>
    </w:p>
    <w:p w14:paraId="536B18BA" w14:textId="5ED79F94" w:rsidR="003D3865" w:rsidRDefault="003D3865" w:rsidP="00F93C12">
      <w:pPr>
        <w:shd w:val="clear" w:color="auto" w:fill="FFFFFF"/>
        <w:ind w:left="0" w:right="-16" w:firstLine="0"/>
        <w:jc w:val="both"/>
        <w:rPr>
          <w:szCs w:val="22"/>
        </w:rPr>
      </w:pPr>
      <w:r w:rsidRPr="00F93C12">
        <w:rPr>
          <w:spacing w:val="-1"/>
          <w:szCs w:val="22"/>
        </w:rPr>
        <w:t xml:space="preserve">Zaznamenáte-li klinické známky předávkování, je nutné zahájit symptomatickou léčbu, jelikož </w:t>
      </w:r>
      <w:r w:rsidRPr="00F93C12">
        <w:rPr>
          <w:szCs w:val="22"/>
        </w:rPr>
        <w:t xml:space="preserve">neexistuje specifické </w:t>
      </w:r>
      <w:proofErr w:type="spellStart"/>
      <w:r w:rsidRPr="00F93C12">
        <w:rPr>
          <w:szCs w:val="22"/>
        </w:rPr>
        <w:t>antidotum</w:t>
      </w:r>
      <w:proofErr w:type="spellEnd"/>
      <w:r w:rsidRPr="00F93C12">
        <w:rPr>
          <w:szCs w:val="22"/>
        </w:rPr>
        <w:t xml:space="preserve">. </w:t>
      </w:r>
    </w:p>
    <w:p w14:paraId="1111EA01" w14:textId="77777777" w:rsidR="004F29C1" w:rsidRPr="00F93C12" w:rsidRDefault="004F29C1" w:rsidP="00F93C12">
      <w:pPr>
        <w:shd w:val="clear" w:color="auto" w:fill="FFFFFF"/>
        <w:ind w:left="0" w:right="-16" w:firstLine="0"/>
        <w:jc w:val="both"/>
        <w:rPr>
          <w:szCs w:val="22"/>
        </w:rPr>
      </w:pPr>
    </w:p>
    <w:p w14:paraId="7E7EA00B" w14:textId="615640ED" w:rsidR="003D3865" w:rsidRPr="00F93C12" w:rsidRDefault="00F93C12" w:rsidP="00F93C12">
      <w:pPr>
        <w:shd w:val="clear" w:color="auto" w:fill="FFFFFF"/>
        <w:ind w:right="-16"/>
        <w:jc w:val="both"/>
        <w:rPr>
          <w:szCs w:val="22"/>
        </w:rPr>
      </w:pPr>
      <w:r w:rsidRPr="00F93C12">
        <w:rPr>
          <w:spacing w:val="-1"/>
          <w:szCs w:val="22"/>
          <w:u w:val="single"/>
        </w:rPr>
        <w:t>Hlavní</w:t>
      </w:r>
      <w:r w:rsidR="00E433D8" w:rsidRPr="00F93C12">
        <w:rPr>
          <w:spacing w:val="-1"/>
          <w:szCs w:val="22"/>
          <w:u w:val="single"/>
        </w:rPr>
        <w:t xml:space="preserve"> i</w:t>
      </w:r>
      <w:r w:rsidR="003D3865" w:rsidRPr="00F93C12">
        <w:rPr>
          <w:spacing w:val="-1"/>
          <w:szCs w:val="22"/>
          <w:u w:val="single"/>
        </w:rPr>
        <w:t>nkompatibility</w:t>
      </w:r>
      <w:r w:rsidR="003D3865" w:rsidRPr="00F93C12">
        <w:rPr>
          <w:spacing w:val="-1"/>
          <w:szCs w:val="22"/>
        </w:rPr>
        <w:t>:</w:t>
      </w:r>
    </w:p>
    <w:p w14:paraId="482954A0" w14:textId="0D455FC4" w:rsidR="003D3865" w:rsidRDefault="00E433D8" w:rsidP="00F93C12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F93C12">
        <w:rPr>
          <w:rStyle w:val="FontStyle11"/>
          <w:sz w:val="22"/>
          <w:szCs w:val="22"/>
          <w:lang w:val="cs-CZ" w:eastAsia="cs-CZ"/>
        </w:rPr>
        <w:t>V případě chybějící s</w:t>
      </w:r>
      <w:r w:rsidR="003D3865" w:rsidRPr="00F93C12">
        <w:rPr>
          <w:rStyle w:val="FontStyle11"/>
          <w:sz w:val="22"/>
          <w:szCs w:val="22"/>
          <w:lang w:val="cs-CZ" w:eastAsia="cs-CZ"/>
        </w:rPr>
        <w:t xml:space="preserve">tudie kompatibility </w:t>
      </w:r>
      <w:r w:rsidRPr="00F93C12">
        <w:rPr>
          <w:rStyle w:val="FontStyle11"/>
          <w:sz w:val="22"/>
          <w:szCs w:val="22"/>
          <w:lang w:val="cs-CZ" w:eastAsia="cs-CZ"/>
        </w:rPr>
        <w:t xml:space="preserve">se </w:t>
      </w:r>
      <w:r w:rsidR="003D3865" w:rsidRPr="00F93C12">
        <w:rPr>
          <w:rStyle w:val="FontStyle11"/>
          <w:sz w:val="22"/>
          <w:szCs w:val="22"/>
          <w:lang w:val="cs-CZ" w:eastAsia="cs-CZ"/>
        </w:rPr>
        <w:t xml:space="preserve">tento veterinární léčivý přípravek nesmí </w:t>
      </w:r>
      <w:r w:rsidRPr="00F93C12">
        <w:rPr>
          <w:rStyle w:val="FontStyle11"/>
          <w:sz w:val="22"/>
          <w:szCs w:val="22"/>
          <w:lang w:val="cs-CZ" w:eastAsia="cs-CZ"/>
        </w:rPr>
        <w:t xml:space="preserve">používat společně </w:t>
      </w:r>
      <w:r w:rsidR="003D3865" w:rsidRPr="00F93C12">
        <w:rPr>
          <w:rStyle w:val="FontStyle11"/>
          <w:sz w:val="22"/>
          <w:szCs w:val="22"/>
          <w:lang w:val="cs-CZ" w:eastAsia="cs-CZ"/>
        </w:rPr>
        <w:t>s dalšími veterinárními léčivými přípravky.</w:t>
      </w:r>
    </w:p>
    <w:p w14:paraId="39778D96" w14:textId="77777777" w:rsidR="004F29C1" w:rsidRPr="00F93C12" w:rsidRDefault="004F29C1" w:rsidP="00F93C12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443C28D8" w14:textId="4505A4AE" w:rsidR="00322C83" w:rsidRDefault="00304E8A" w:rsidP="0097021D">
      <w:pPr>
        <w:shd w:val="clear" w:color="auto" w:fill="FFFFFF"/>
        <w:tabs>
          <w:tab w:val="left" w:pos="600"/>
        </w:tabs>
        <w:ind w:right="-16"/>
        <w:jc w:val="both"/>
        <w:rPr>
          <w:b/>
          <w:bCs/>
          <w:szCs w:val="22"/>
        </w:rPr>
      </w:pPr>
      <w:r w:rsidRPr="00625B2D">
        <w:rPr>
          <w:b/>
          <w:bCs/>
          <w:szCs w:val="22"/>
          <w:highlight w:val="lightGray"/>
        </w:rPr>
        <w:t>7.</w:t>
      </w:r>
      <w:r w:rsidR="00F93C12" w:rsidRPr="00F93C12">
        <w:rPr>
          <w:b/>
          <w:bCs/>
          <w:szCs w:val="22"/>
        </w:rPr>
        <w:tab/>
      </w:r>
      <w:r w:rsidR="00E433D8" w:rsidRPr="00F93C12">
        <w:rPr>
          <w:b/>
          <w:bCs/>
          <w:szCs w:val="22"/>
        </w:rPr>
        <w:t>Nežádoucí účinky</w:t>
      </w:r>
    </w:p>
    <w:p w14:paraId="4B57DC4D" w14:textId="77777777" w:rsidR="004F29C1" w:rsidRPr="00F93C12" w:rsidRDefault="004F29C1" w:rsidP="0097021D">
      <w:pPr>
        <w:shd w:val="clear" w:color="auto" w:fill="FFFFFF"/>
        <w:tabs>
          <w:tab w:val="left" w:pos="600"/>
        </w:tabs>
        <w:ind w:right="-16"/>
        <w:jc w:val="both"/>
        <w:rPr>
          <w:b/>
          <w:bCs/>
          <w:szCs w:val="22"/>
        </w:rPr>
      </w:pPr>
    </w:p>
    <w:p w14:paraId="52F7CB8C" w14:textId="77777777" w:rsidR="00A26C38" w:rsidRPr="0065113A" w:rsidRDefault="00A26C38" w:rsidP="00625B2D">
      <w:pPr>
        <w:pStyle w:val="Odstavecseseznamem"/>
        <w:spacing w:after="120" w:line="240" w:lineRule="auto"/>
        <w:ind w:left="403"/>
        <w:contextualSpacing w:val="0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lang w:val="cs-CZ"/>
        </w:rPr>
        <w:t>Skot: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A26C38" w:rsidRPr="00937FBD" w14:paraId="0687E981" w14:textId="77777777" w:rsidTr="0065113A">
        <w:tc>
          <w:tcPr>
            <w:tcW w:w="8472" w:type="dxa"/>
          </w:tcPr>
          <w:p w14:paraId="074894FA" w14:textId="77777777" w:rsidR="00A26C38" w:rsidRPr="0065113A" w:rsidRDefault="00A26C38" w:rsidP="00625B2D">
            <w:pPr>
              <w:tabs>
                <w:tab w:val="center" w:pos="4536"/>
                <w:tab w:val="center" w:pos="8930"/>
              </w:tabs>
            </w:pPr>
            <w:r w:rsidRPr="0065113A">
              <w:t>Velmi vzácné (&lt; 1 zvíře / 10 000 léčených zvířat, včetně ojedinělých hlášení):</w:t>
            </w:r>
          </w:p>
        </w:tc>
      </w:tr>
      <w:tr w:rsidR="00A26C38" w:rsidRPr="00937FBD" w14:paraId="0D789722" w14:textId="77777777" w:rsidTr="0065113A">
        <w:tc>
          <w:tcPr>
            <w:tcW w:w="8472" w:type="dxa"/>
          </w:tcPr>
          <w:p w14:paraId="2715B38F" w14:textId="048B8639" w:rsidR="00304E8A" w:rsidRPr="0065113A" w:rsidRDefault="00304E8A" w:rsidP="00625B2D">
            <w:pPr>
              <w:tabs>
                <w:tab w:val="center" w:pos="4536"/>
                <w:tab w:val="center" w:pos="8930"/>
              </w:tabs>
            </w:pPr>
            <w:r w:rsidRPr="0065113A">
              <w:t xml:space="preserve">Nekróza v místě </w:t>
            </w:r>
            <w:r w:rsidR="00F73BAE">
              <w:t>injekčního podání</w:t>
            </w:r>
            <w:r w:rsidR="00F73BAE" w:rsidRPr="0065113A">
              <w:t xml:space="preserve"> </w:t>
            </w:r>
            <w:r w:rsidRPr="0065113A">
              <w:rPr>
                <w:vertAlign w:val="superscript"/>
              </w:rPr>
              <w:t>1</w:t>
            </w:r>
          </w:p>
          <w:p w14:paraId="0696498C" w14:textId="77777777" w:rsidR="00304E8A" w:rsidRPr="0065113A" w:rsidRDefault="00304E8A" w:rsidP="00625B2D">
            <w:pPr>
              <w:tabs>
                <w:tab w:val="center" w:pos="4536"/>
                <w:tab w:val="center" w:pos="8930"/>
              </w:tabs>
            </w:pPr>
            <w:r w:rsidRPr="0065113A">
              <w:t xml:space="preserve">Porucha trávicího traktu </w:t>
            </w:r>
            <w:r w:rsidRPr="0065113A">
              <w:rPr>
                <w:vertAlign w:val="superscript"/>
              </w:rPr>
              <w:t>2</w:t>
            </w:r>
          </w:p>
          <w:p w14:paraId="4E90361B" w14:textId="77777777" w:rsidR="00A26C38" w:rsidRPr="0065113A" w:rsidRDefault="00304E8A" w:rsidP="00625B2D">
            <w:pPr>
              <w:tabs>
                <w:tab w:val="center" w:pos="4536"/>
                <w:tab w:val="center" w:pos="8930"/>
              </w:tabs>
            </w:pPr>
            <w:r w:rsidRPr="0065113A">
              <w:t>Porucha ledvin</w:t>
            </w:r>
          </w:p>
        </w:tc>
      </w:tr>
    </w:tbl>
    <w:p w14:paraId="664AA75A" w14:textId="77A8F878" w:rsidR="00304E8A" w:rsidRPr="0065113A" w:rsidRDefault="00304E8A" w:rsidP="00625B2D">
      <w:pPr>
        <w:pStyle w:val="Odstavecseseznamem"/>
        <w:spacing w:line="240" w:lineRule="auto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t>1</w:t>
      </w:r>
      <w:r w:rsidRPr="0065113A">
        <w:rPr>
          <w:lang w:val="cs-CZ"/>
        </w:rPr>
        <w:t xml:space="preserve"> </w:t>
      </w:r>
      <w:r w:rsidRPr="0065113A">
        <w:rPr>
          <w:rFonts w:ascii="Times New Roman" w:hAnsi="Times New Roman"/>
          <w:lang w:val="cs-CZ"/>
        </w:rPr>
        <w:t>1 Při intramuskulární</w:t>
      </w:r>
      <w:r w:rsidR="00F73BAE">
        <w:rPr>
          <w:rFonts w:ascii="Times New Roman" w:hAnsi="Times New Roman"/>
          <w:lang w:val="cs-CZ"/>
        </w:rPr>
        <w:t>m podání</w:t>
      </w:r>
      <w:r w:rsidRPr="0065113A">
        <w:rPr>
          <w:rFonts w:ascii="Times New Roman" w:hAnsi="Times New Roman"/>
          <w:lang w:val="cs-CZ"/>
        </w:rPr>
        <w:t>. Léze jsou subklinické, mírné a postupně odeznívají ve dnech po ukončení léčby. Podávání v oblasti krku minimalizuje rozšíření a závažnost těchto lézí.</w:t>
      </w:r>
    </w:p>
    <w:p w14:paraId="590303C8" w14:textId="77777777" w:rsidR="00304E8A" w:rsidRPr="0065113A" w:rsidRDefault="00304E8A" w:rsidP="00625B2D">
      <w:pPr>
        <w:pStyle w:val="Odstavecseseznamem"/>
        <w:spacing w:line="240" w:lineRule="auto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t>2</w:t>
      </w:r>
      <w:r w:rsidRPr="0065113A">
        <w:rPr>
          <w:rFonts w:ascii="Times New Roman" w:hAnsi="Times New Roman"/>
          <w:lang w:val="cs-CZ"/>
        </w:rPr>
        <w:t xml:space="preserve"> Erozivní a ulcerózní léze po opakovaném podání, žaludeční intolerance.</w:t>
      </w:r>
    </w:p>
    <w:p w14:paraId="2FCA4F29" w14:textId="77777777" w:rsidR="00A26C38" w:rsidRPr="0065113A" w:rsidRDefault="00A26C38" w:rsidP="00625B2D">
      <w:pPr>
        <w:pStyle w:val="Odstavecseseznamem"/>
        <w:spacing w:after="0" w:line="240" w:lineRule="auto"/>
        <w:ind w:left="403"/>
        <w:contextualSpacing w:val="0"/>
        <w:rPr>
          <w:rFonts w:ascii="Times New Roman" w:hAnsi="Times New Roman"/>
          <w:lang w:val="cs-CZ"/>
        </w:rPr>
      </w:pPr>
    </w:p>
    <w:p w14:paraId="7F4BB15B" w14:textId="77777777" w:rsidR="00A26C38" w:rsidRPr="0065113A" w:rsidRDefault="00A26C38" w:rsidP="00625B2D">
      <w:pPr>
        <w:pStyle w:val="Odstavecseseznamem"/>
        <w:spacing w:after="120" w:line="240" w:lineRule="auto"/>
        <w:ind w:left="403"/>
        <w:contextualSpacing w:val="0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lang w:val="cs-CZ"/>
        </w:rPr>
        <w:t>Prasata: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A26C38" w:rsidRPr="00937FBD" w14:paraId="4A5ED41B" w14:textId="77777777" w:rsidTr="0065113A">
        <w:tc>
          <w:tcPr>
            <w:tcW w:w="8472" w:type="dxa"/>
          </w:tcPr>
          <w:p w14:paraId="15DFEB9E" w14:textId="77777777" w:rsidR="00A26C38" w:rsidRPr="0065113A" w:rsidRDefault="00A26C38" w:rsidP="00625B2D">
            <w:pPr>
              <w:tabs>
                <w:tab w:val="center" w:pos="4536"/>
                <w:tab w:val="center" w:pos="8930"/>
              </w:tabs>
            </w:pPr>
            <w:r w:rsidRPr="0065113A">
              <w:t>Velmi vzácné (&lt; 1 zvíře / 10 000 léčených zvířat, včetně ojedinělých hlášení):</w:t>
            </w:r>
          </w:p>
        </w:tc>
      </w:tr>
      <w:tr w:rsidR="00A26C38" w:rsidRPr="00937FBD" w14:paraId="60853A33" w14:textId="77777777" w:rsidTr="0065113A">
        <w:tc>
          <w:tcPr>
            <w:tcW w:w="8472" w:type="dxa"/>
          </w:tcPr>
          <w:p w14:paraId="32FBE321" w14:textId="2851038A" w:rsidR="00304E8A" w:rsidRPr="0065113A" w:rsidRDefault="00304E8A" w:rsidP="00625B2D">
            <w:pPr>
              <w:tabs>
                <w:tab w:val="center" w:pos="4536"/>
                <w:tab w:val="center" w:pos="8930"/>
              </w:tabs>
            </w:pPr>
            <w:r w:rsidRPr="0065113A">
              <w:t xml:space="preserve">Nekróza v místě </w:t>
            </w:r>
            <w:r w:rsidR="00F73BAE">
              <w:t>injekčního podání</w:t>
            </w:r>
            <w:r w:rsidR="00F73BAE" w:rsidRPr="0065113A">
              <w:t xml:space="preserve"> </w:t>
            </w:r>
            <w:r w:rsidRPr="0065113A">
              <w:rPr>
                <w:vertAlign w:val="superscript"/>
              </w:rPr>
              <w:t>1</w:t>
            </w:r>
          </w:p>
          <w:p w14:paraId="0445423B" w14:textId="77777777" w:rsidR="00304E8A" w:rsidRPr="0065113A" w:rsidRDefault="00304E8A" w:rsidP="00625B2D">
            <w:pPr>
              <w:tabs>
                <w:tab w:val="center" w:pos="4536"/>
                <w:tab w:val="center" w:pos="8930"/>
              </w:tabs>
            </w:pPr>
            <w:r w:rsidRPr="0065113A">
              <w:t xml:space="preserve">Porucha trávicího traktu </w:t>
            </w:r>
            <w:r w:rsidRPr="0065113A">
              <w:rPr>
                <w:vertAlign w:val="superscript"/>
              </w:rPr>
              <w:t>2</w:t>
            </w:r>
          </w:p>
          <w:p w14:paraId="700A91B8" w14:textId="77777777" w:rsidR="00A26C38" w:rsidRPr="0065113A" w:rsidRDefault="00304E8A" w:rsidP="00625B2D">
            <w:pPr>
              <w:tabs>
                <w:tab w:val="center" w:pos="4536"/>
                <w:tab w:val="center" w:pos="8930"/>
              </w:tabs>
            </w:pPr>
            <w:r w:rsidRPr="0065113A">
              <w:t>Porucha ledvin</w:t>
            </w:r>
          </w:p>
        </w:tc>
      </w:tr>
    </w:tbl>
    <w:p w14:paraId="7216A831" w14:textId="470186FF" w:rsidR="00304E8A" w:rsidRPr="0065113A" w:rsidRDefault="00304E8A" w:rsidP="00625B2D">
      <w:pPr>
        <w:pStyle w:val="Odstavecseseznamem"/>
        <w:spacing w:line="240" w:lineRule="auto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t>1</w:t>
      </w:r>
      <w:r w:rsidRPr="0065113A">
        <w:rPr>
          <w:lang w:val="cs-CZ"/>
        </w:rPr>
        <w:t xml:space="preserve"> </w:t>
      </w:r>
      <w:r w:rsidRPr="0065113A">
        <w:rPr>
          <w:rFonts w:ascii="Times New Roman" w:hAnsi="Times New Roman"/>
          <w:lang w:val="cs-CZ"/>
        </w:rPr>
        <w:t>Při intramuskulární</w:t>
      </w:r>
      <w:r w:rsidR="00F73BAE">
        <w:rPr>
          <w:rFonts w:ascii="Times New Roman" w:hAnsi="Times New Roman"/>
          <w:lang w:val="cs-CZ"/>
        </w:rPr>
        <w:t>m podání</w:t>
      </w:r>
      <w:r w:rsidRPr="0065113A">
        <w:rPr>
          <w:rFonts w:ascii="Times New Roman" w:hAnsi="Times New Roman"/>
          <w:lang w:val="cs-CZ"/>
        </w:rPr>
        <w:t>. Léze jsou subklinické, mírné a postupně odeznívají ve dnech po ukončení léčby. Podávání v oblasti krku minimalizuje rozšíření a závažnost těchto lézí.</w:t>
      </w:r>
    </w:p>
    <w:p w14:paraId="6A3F4EB1" w14:textId="77777777" w:rsidR="00304E8A" w:rsidRPr="0065113A" w:rsidRDefault="00304E8A" w:rsidP="00625B2D">
      <w:pPr>
        <w:pStyle w:val="Odstavecseseznamem"/>
        <w:spacing w:line="240" w:lineRule="auto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t>2</w:t>
      </w:r>
      <w:r w:rsidRPr="0065113A">
        <w:rPr>
          <w:rFonts w:ascii="Times New Roman" w:hAnsi="Times New Roman"/>
          <w:lang w:val="cs-CZ"/>
        </w:rPr>
        <w:t xml:space="preserve"> Erozivní a ulcerózní léze po opakovaném podání, žaludeční intolerance.</w:t>
      </w:r>
    </w:p>
    <w:p w14:paraId="19BAD5E9" w14:textId="77777777" w:rsidR="00A26C38" w:rsidRPr="0065113A" w:rsidRDefault="00A26C38" w:rsidP="00625B2D">
      <w:pPr>
        <w:pStyle w:val="Odstavecseseznamem"/>
        <w:spacing w:after="0" w:line="240" w:lineRule="auto"/>
        <w:ind w:left="403"/>
        <w:contextualSpacing w:val="0"/>
        <w:rPr>
          <w:rFonts w:ascii="Times New Roman" w:hAnsi="Times New Roman"/>
          <w:lang w:val="cs-CZ"/>
        </w:rPr>
      </w:pPr>
    </w:p>
    <w:p w14:paraId="2FAD1DEB" w14:textId="77777777" w:rsidR="00A26C38" w:rsidRPr="0065113A" w:rsidRDefault="00A26C38" w:rsidP="00625B2D">
      <w:pPr>
        <w:pStyle w:val="Odstavecseseznamem"/>
        <w:keepNext/>
        <w:spacing w:after="120" w:line="240" w:lineRule="auto"/>
        <w:ind w:left="403"/>
        <w:contextualSpacing w:val="0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lang w:val="cs-CZ"/>
        </w:rPr>
        <w:t>Koně: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A26C38" w:rsidRPr="00937FBD" w14:paraId="7B2FC046" w14:textId="77777777" w:rsidTr="0065113A">
        <w:tc>
          <w:tcPr>
            <w:tcW w:w="8472" w:type="dxa"/>
          </w:tcPr>
          <w:p w14:paraId="1F6184C8" w14:textId="77777777" w:rsidR="00A26C38" w:rsidRPr="0065113A" w:rsidRDefault="00A26C38" w:rsidP="00625B2D">
            <w:pPr>
              <w:tabs>
                <w:tab w:val="center" w:pos="4536"/>
                <w:tab w:val="center" w:pos="8930"/>
              </w:tabs>
              <w:rPr>
                <w:szCs w:val="22"/>
                <w:highlight w:val="yellow"/>
              </w:rPr>
            </w:pPr>
            <w:r w:rsidRPr="0065113A">
              <w:t>Velmi vzácné (&lt; 1 zvíře / 10 000 léčených zvířat, včetně ojedinělých hlášení):</w:t>
            </w:r>
          </w:p>
        </w:tc>
      </w:tr>
      <w:tr w:rsidR="00A26C38" w:rsidRPr="00937FBD" w14:paraId="20190571" w14:textId="77777777" w:rsidTr="0065113A">
        <w:tc>
          <w:tcPr>
            <w:tcW w:w="8472" w:type="dxa"/>
          </w:tcPr>
          <w:p w14:paraId="71F0328A" w14:textId="20A4B184" w:rsidR="00304E8A" w:rsidRPr="0065113A" w:rsidRDefault="00304E8A" w:rsidP="00625B2D">
            <w:pPr>
              <w:tabs>
                <w:tab w:val="center" w:pos="4536"/>
                <w:tab w:val="center" w:pos="8930"/>
              </w:tabs>
            </w:pPr>
            <w:r w:rsidRPr="0065113A">
              <w:t xml:space="preserve">Nekróza v místě </w:t>
            </w:r>
            <w:r w:rsidR="00F73BAE">
              <w:t>injekčního podání</w:t>
            </w:r>
            <w:r w:rsidR="00F73BAE" w:rsidRPr="0065113A">
              <w:t xml:space="preserve"> </w:t>
            </w:r>
            <w:r w:rsidRPr="0065113A">
              <w:rPr>
                <w:vertAlign w:val="superscript"/>
              </w:rPr>
              <w:t>1</w:t>
            </w:r>
          </w:p>
          <w:p w14:paraId="26CFD4BE" w14:textId="693AD65D" w:rsidR="00304E8A" w:rsidRPr="0065113A" w:rsidRDefault="00304E8A" w:rsidP="00625B2D">
            <w:pPr>
              <w:tabs>
                <w:tab w:val="center" w:pos="4536"/>
                <w:tab w:val="center" w:pos="8930"/>
              </w:tabs>
            </w:pPr>
            <w:r w:rsidRPr="0065113A">
              <w:lastRenderedPageBreak/>
              <w:t xml:space="preserve">Reakce v místě </w:t>
            </w:r>
            <w:r w:rsidR="00F73BAE">
              <w:t>injekčního podání</w:t>
            </w:r>
            <w:r w:rsidRPr="0065113A">
              <w:t xml:space="preserve"> </w:t>
            </w:r>
            <w:r w:rsidRPr="0065113A">
              <w:rPr>
                <w:vertAlign w:val="superscript"/>
              </w:rPr>
              <w:t>2</w:t>
            </w:r>
          </w:p>
          <w:p w14:paraId="0E213333" w14:textId="77777777" w:rsidR="00304E8A" w:rsidRPr="0065113A" w:rsidRDefault="00304E8A" w:rsidP="00625B2D">
            <w:pPr>
              <w:tabs>
                <w:tab w:val="center" w:pos="4536"/>
                <w:tab w:val="center" w:pos="8930"/>
              </w:tabs>
            </w:pPr>
            <w:r w:rsidRPr="0065113A">
              <w:t xml:space="preserve">Porucha trávicího traktu </w:t>
            </w:r>
            <w:r w:rsidRPr="0065113A">
              <w:rPr>
                <w:vertAlign w:val="superscript"/>
              </w:rPr>
              <w:t>3</w:t>
            </w:r>
          </w:p>
          <w:p w14:paraId="2AB5EB85" w14:textId="77777777" w:rsidR="00A26C38" w:rsidRPr="0065113A" w:rsidRDefault="00304E8A" w:rsidP="00625B2D">
            <w:pPr>
              <w:tabs>
                <w:tab w:val="center" w:pos="4536"/>
                <w:tab w:val="center" w:pos="8930"/>
              </w:tabs>
            </w:pPr>
            <w:r w:rsidRPr="0065113A">
              <w:t>Porucha ledvin</w:t>
            </w:r>
          </w:p>
        </w:tc>
      </w:tr>
    </w:tbl>
    <w:p w14:paraId="7AF27565" w14:textId="113E9D95" w:rsidR="00304E8A" w:rsidRPr="0065113A" w:rsidRDefault="00304E8A" w:rsidP="00625B2D">
      <w:pPr>
        <w:pStyle w:val="Odstavecseseznamem"/>
        <w:spacing w:after="0" w:line="240" w:lineRule="auto"/>
        <w:ind w:left="403"/>
        <w:contextualSpacing w:val="0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lastRenderedPageBreak/>
        <w:t>1</w:t>
      </w:r>
      <w:r w:rsidRPr="0065113A">
        <w:rPr>
          <w:lang w:val="cs-CZ"/>
        </w:rPr>
        <w:t xml:space="preserve"> </w:t>
      </w:r>
      <w:r w:rsidRPr="0065113A">
        <w:rPr>
          <w:rFonts w:ascii="Times New Roman" w:hAnsi="Times New Roman"/>
          <w:lang w:val="cs-CZ"/>
        </w:rPr>
        <w:t>Při intramuskulární</w:t>
      </w:r>
      <w:r w:rsidR="00F73BAE">
        <w:rPr>
          <w:rFonts w:ascii="Times New Roman" w:hAnsi="Times New Roman"/>
          <w:lang w:val="cs-CZ"/>
        </w:rPr>
        <w:t>m podání</w:t>
      </w:r>
      <w:r w:rsidRPr="0065113A">
        <w:rPr>
          <w:rFonts w:ascii="Times New Roman" w:hAnsi="Times New Roman"/>
          <w:lang w:val="cs-CZ"/>
        </w:rPr>
        <w:t>. Léze jsou subklinické, mírné a postupně odeznívají ve dnech po ukončení léčby. Podávání v oblasti krku minimalizuje rozšíření a závažnost těchto lézí.</w:t>
      </w:r>
    </w:p>
    <w:p w14:paraId="428EB07B" w14:textId="77777777" w:rsidR="00304E8A" w:rsidRPr="0065113A" w:rsidRDefault="00304E8A" w:rsidP="00625B2D">
      <w:pPr>
        <w:pStyle w:val="Odstavecseseznamem"/>
        <w:spacing w:after="0" w:line="240" w:lineRule="auto"/>
        <w:ind w:left="403"/>
        <w:contextualSpacing w:val="0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t>2</w:t>
      </w:r>
      <w:r w:rsidRPr="0065113A">
        <w:rPr>
          <w:lang w:val="cs-CZ"/>
        </w:rPr>
        <w:t xml:space="preserve"> </w:t>
      </w:r>
      <w:r w:rsidRPr="0065113A">
        <w:rPr>
          <w:rFonts w:ascii="Times New Roman" w:hAnsi="Times New Roman"/>
          <w:lang w:val="cs-CZ"/>
        </w:rPr>
        <w:t>Místní reakce odeznívá po 5 dnech, po jednom podání veterinárního léčivého přípravku v doporučeném objemu extravaskulární cestou.</w:t>
      </w:r>
    </w:p>
    <w:p w14:paraId="77154435" w14:textId="77777777" w:rsidR="00304E8A" w:rsidRPr="0065113A" w:rsidRDefault="00304E8A" w:rsidP="00625B2D">
      <w:pPr>
        <w:pStyle w:val="Odstavecseseznamem"/>
        <w:spacing w:after="0" w:line="240" w:lineRule="auto"/>
        <w:ind w:left="403"/>
        <w:contextualSpacing w:val="0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t>3</w:t>
      </w:r>
      <w:r w:rsidRPr="0065113A">
        <w:rPr>
          <w:rFonts w:ascii="Times New Roman" w:hAnsi="Times New Roman"/>
          <w:lang w:val="cs-CZ"/>
        </w:rPr>
        <w:t>Erozivní a ulcerózní léze po opakovaném podání, žaludeční intolerance</w:t>
      </w:r>
    </w:p>
    <w:p w14:paraId="05E6AA2E" w14:textId="77777777" w:rsidR="00A26C38" w:rsidRPr="0065113A" w:rsidRDefault="00A26C38" w:rsidP="00625B2D">
      <w:pPr>
        <w:pStyle w:val="Odstavecseseznamem"/>
        <w:spacing w:after="0" w:line="240" w:lineRule="auto"/>
        <w:ind w:left="403"/>
        <w:contextualSpacing w:val="0"/>
        <w:rPr>
          <w:rFonts w:ascii="Times New Roman" w:hAnsi="Times New Roman"/>
          <w:lang w:val="cs-CZ"/>
        </w:rPr>
      </w:pPr>
    </w:p>
    <w:p w14:paraId="7D1B632D" w14:textId="77777777" w:rsidR="00A26C38" w:rsidRPr="004F29C1" w:rsidRDefault="00304E8A" w:rsidP="004F29C1">
      <w:pPr>
        <w:pStyle w:val="texte"/>
        <w:tabs>
          <w:tab w:val="left" w:pos="0"/>
        </w:tabs>
        <w:ind w:left="0" w:right="57"/>
        <w:jc w:val="both"/>
        <w:rPr>
          <w:rFonts w:ascii="Times New Roman" w:hAnsi="Times New Roman"/>
          <w:noProof w:val="0"/>
          <w:sz w:val="22"/>
          <w:szCs w:val="22"/>
          <w:lang w:val="cs-CZ"/>
        </w:rPr>
      </w:pPr>
      <w:r w:rsidRPr="004F29C1">
        <w:rPr>
          <w:rFonts w:ascii="Times New Roman" w:hAnsi="Times New Roman"/>
          <w:sz w:val="22"/>
          <w:szCs w:val="22"/>
          <w:lang w:val="cs-CZ"/>
        </w:rPr>
        <w:t>Pokud se vyskytnou nežádoucí účinky, léčba musí být ukončena a je třeba vyhledat radu veterinárního lékaře</w:t>
      </w:r>
      <w:r w:rsidR="00A26C38" w:rsidRPr="004F29C1">
        <w:rPr>
          <w:rFonts w:ascii="Times New Roman" w:hAnsi="Times New Roman"/>
          <w:sz w:val="22"/>
          <w:szCs w:val="22"/>
          <w:lang w:val="cs-CZ"/>
        </w:rPr>
        <w:t>.</w:t>
      </w:r>
    </w:p>
    <w:p w14:paraId="1EB8A598" w14:textId="77777777" w:rsidR="00A26C38" w:rsidRPr="004F29C1" w:rsidRDefault="00A26C38" w:rsidP="004F29C1">
      <w:pPr>
        <w:pStyle w:val="texte"/>
        <w:tabs>
          <w:tab w:val="left" w:pos="567"/>
        </w:tabs>
        <w:ind w:right="57"/>
        <w:jc w:val="both"/>
        <w:rPr>
          <w:rFonts w:ascii="Times New Roman" w:hAnsi="Times New Roman"/>
          <w:noProof w:val="0"/>
          <w:sz w:val="22"/>
          <w:szCs w:val="22"/>
          <w:lang w:val="cs-CZ"/>
        </w:rPr>
      </w:pPr>
    </w:p>
    <w:p w14:paraId="00FE475C" w14:textId="7CB89E3B" w:rsidR="00431D81" w:rsidRPr="00625B2D" w:rsidRDefault="00431D81" w:rsidP="00625B2D">
      <w:pPr>
        <w:tabs>
          <w:tab w:val="left" w:pos="0"/>
        </w:tabs>
        <w:ind w:left="0" w:firstLine="0"/>
        <w:jc w:val="both"/>
        <w:rPr>
          <w:i/>
          <w:iCs/>
        </w:rPr>
      </w:pPr>
      <w:r w:rsidRPr="00625B2D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jeho místnímu zástupci s využitím kontaktních údajů uvedených na konci této příbalové informace nebo prostřednictvím národního systému hlášení nežádoucích účinků: </w:t>
      </w:r>
    </w:p>
    <w:p w14:paraId="360456BC" w14:textId="77777777" w:rsidR="00431D81" w:rsidRPr="00625B2D" w:rsidRDefault="00431D81" w:rsidP="00625B2D">
      <w:pPr>
        <w:tabs>
          <w:tab w:val="left" w:pos="-720"/>
          <w:tab w:val="left" w:pos="0"/>
        </w:tabs>
        <w:suppressAutoHyphens/>
        <w:ind w:left="0" w:firstLine="0"/>
      </w:pPr>
      <w:r w:rsidRPr="00625B2D">
        <w:t xml:space="preserve">Ústav pro státní kontrolu veterinárních biopreparátů a léčiv </w:t>
      </w:r>
    </w:p>
    <w:p w14:paraId="5F803A9F" w14:textId="77777777" w:rsidR="00431D81" w:rsidRPr="00625B2D" w:rsidRDefault="00431D81" w:rsidP="00625B2D">
      <w:pPr>
        <w:tabs>
          <w:tab w:val="left" w:pos="-720"/>
          <w:tab w:val="left" w:pos="0"/>
        </w:tabs>
        <w:suppressAutoHyphens/>
        <w:ind w:left="0" w:firstLine="0"/>
      </w:pPr>
      <w:r w:rsidRPr="00625B2D">
        <w:t>Hudcova 232/</w:t>
      </w:r>
      <w:proofErr w:type="gramStart"/>
      <w:r w:rsidRPr="00625B2D">
        <w:t>56a</w:t>
      </w:r>
      <w:proofErr w:type="gramEnd"/>
      <w:r w:rsidRPr="00625B2D">
        <w:t xml:space="preserve"> </w:t>
      </w:r>
    </w:p>
    <w:p w14:paraId="5555C046" w14:textId="77777777" w:rsidR="00431D81" w:rsidRPr="00625B2D" w:rsidRDefault="00431D81" w:rsidP="00625B2D">
      <w:pPr>
        <w:tabs>
          <w:tab w:val="left" w:pos="-720"/>
          <w:tab w:val="left" w:pos="0"/>
        </w:tabs>
        <w:suppressAutoHyphens/>
        <w:ind w:left="0" w:firstLine="0"/>
      </w:pPr>
      <w:r w:rsidRPr="00625B2D">
        <w:t>621 00 Brno</w:t>
      </w:r>
    </w:p>
    <w:p w14:paraId="55BE2774" w14:textId="77777777" w:rsidR="00431D81" w:rsidRPr="00625B2D" w:rsidRDefault="00431D81" w:rsidP="00625B2D">
      <w:pPr>
        <w:tabs>
          <w:tab w:val="left" w:pos="-720"/>
          <w:tab w:val="left" w:pos="0"/>
        </w:tabs>
        <w:suppressAutoHyphens/>
        <w:ind w:left="0" w:firstLine="0"/>
      </w:pPr>
      <w:r w:rsidRPr="00625B2D">
        <w:t xml:space="preserve">e-mail: </w:t>
      </w:r>
      <w:hyperlink r:id="rId12" w:history="1">
        <w:r w:rsidRPr="00625B2D">
          <w:rPr>
            <w:rStyle w:val="Hypertextovodkaz"/>
          </w:rPr>
          <w:t>adr@uskvbl.cz</w:t>
        </w:r>
      </w:hyperlink>
    </w:p>
    <w:p w14:paraId="7AFC67CD" w14:textId="77777777" w:rsidR="00431D81" w:rsidRPr="00625B2D" w:rsidRDefault="00431D81" w:rsidP="00625B2D">
      <w:pPr>
        <w:tabs>
          <w:tab w:val="left" w:pos="-720"/>
          <w:tab w:val="left" w:pos="0"/>
        </w:tabs>
        <w:suppressAutoHyphens/>
        <w:ind w:left="0" w:firstLine="0"/>
      </w:pPr>
      <w:r w:rsidRPr="00625B2D">
        <w:t xml:space="preserve">Webové stránky: </w:t>
      </w:r>
      <w:hyperlink r:id="rId13" w:history="1">
        <w:r w:rsidRPr="00625B2D">
          <w:rPr>
            <w:rStyle w:val="Hypertextovodkaz"/>
          </w:rPr>
          <w:t>http://www.uskvbl.cz/cs/farmakovigilance</w:t>
        </w:r>
      </w:hyperlink>
      <w:r w:rsidRPr="00625B2D">
        <w:t>&gt;</w:t>
      </w:r>
    </w:p>
    <w:p w14:paraId="4786D69C" w14:textId="1DCFBF17" w:rsidR="00937FBD" w:rsidRPr="004F29C1" w:rsidRDefault="00937FBD" w:rsidP="004F29C1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AE407F3" w14:textId="3708E770" w:rsidR="00322C83" w:rsidRPr="004F29C1" w:rsidRDefault="00937FBD" w:rsidP="0097021D">
      <w:pPr>
        <w:shd w:val="clear" w:color="auto" w:fill="FFFFFF"/>
        <w:tabs>
          <w:tab w:val="left" w:pos="610"/>
        </w:tabs>
        <w:autoSpaceDE w:val="0"/>
        <w:autoSpaceDN w:val="0"/>
        <w:adjustRightInd w:val="0"/>
        <w:ind w:left="0" w:right="-17" w:firstLine="0"/>
        <w:jc w:val="both"/>
        <w:outlineLvl w:val="0"/>
        <w:rPr>
          <w:b/>
          <w:bCs/>
          <w:szCs w:val="22"/>
        </w:rPr>
      </w:pPr>
      <w:r w:rsidRPr="00625B2D">
        <w:rPr>
          <w:b/>
          <w:bCs/>
          <w:szCs w:val="22"/>
          <w:highlight w:val="lightGray"/>
        </w:rPr>
        <w:t>8.</w:t>
      </w:r>
      <w:r w:rsidR="00F93C12" w:rsidRPr="004F29C1">
        <w:rPr>
          <w:b/>
          <w:bCs/>
          <w:szCs w:val="22"/>
        </w:rPr>
        <w:tab/>
      </w:r>
      <w:r w:rsidR="00A26C38" w:rsidRPr="004F29C1">
        <w:rPr>
          <w:b/>
          <w:bCs/>
          <w:szCs w:val="22"/>
        </w:rPr>
        <w:t>Dávkování pro každý druh, cesty a způsob podání</w:t>
      </w:r>
    </w:p>
    <w:p w14:paraId="3CA83D01" w14:textId="77777777" w:rsidR="00F93C12" w:rsidRPr="004F29C1" w:rsidRDefault="00F93C12" w:rsidP="00625B2D">
      <w:pPr>
        <w:shd w:val="clear" w:color="auto" w:fill="FFFFFF"/>
        <w:tabs>
          <w:tab w:val="left" w:pos="610"/>
        </w:tabs>
        <w:autoSpaceDE w:val="0"/>
        <w:autoSpaceDN w:val="0"/>
        <w:adjustRightInd w:val="0"/>
        <w:ind w:left="0" w:right="-17" w:firstLine="0"/>
        <w:jc w:val="both"/>
        <w:outlineLvl w:val="0"/>
        <w:rPr>
          <w:rStyle w:val="FontStyle11"/>
          <w:b/>
          <w:bCs/>
          <w:sz w:val="22"/>
          <w:szCs w:val="22"/>
          <w:lang w:eastAsia="cs-CZ"/>
        </w:rPr>
      </w:pPr>
    </w:p>
    <w:p w14:paraId="3911B09F" w14:textId="6568B25E" w:rsidR="00322C83" w:rsidRDefault="00322C83" w:rsidP="004F29C1">
      <w:pPr>
        <w:pStyle w:val="Style5"/>
        <w:widowControl/>
        <w:jc w:val="both"/>
        <w:outlineLvl w:val="0"/>
        <w:rPr>
          <w:rStyle w:val="FontStyle11"/>
          <w:bCs/>
          <w:sz w:val="22"/>
          <w:szCs w:val="22"/>
          <w:lang w:val="cs-CZ" w:eastAsia="cs-CZ"/>
        </w:rPr>
      </w:pPr>
      <w:r w:rsidRPr="004F29C1">
        <w:rPr>
          <w:rStyle w:val="FontStyle11"/>
          <w:bCs/>
          <w:sz w:val="22"/>
          <w:szCs w:val="22"/>
          <w:lang w:val="cs-CZ" w:eastAsia="cs-CZ"/>
        </w:rPr>
        <w:t>Intramuskulární a intravenózní podání</w:t>
      </w:r>
    </w:p>
    <w:p w14:paraId="7C8FACDE" w14:textId="77777777" w:rsidR="005D6F59" w:rsidRPr="004F29C1" w:rsidRDefault="005D6F59" w:rsidP="004F29C1">
      <w:pPr>
        <w:pStyle w:val="Style5"/>
        <w:widowControl/>
        <w:jc w:val="both"/>
        <w:outlineLvl w:val="0"/>
        <w:rPr>
          <w:rStyle w:val="FontStyle11"/>
          <w:bCs/>
          <w:sz w:val="22"/>
          <w:szCs w:val="22"/>
          <w:lang w:val="cs-CZ" w:eastAsia="cs-CZ"/>
        </w:rPr>
      </w:pPr>
    </w:p>
    <w:p w14:paraId="76B19834" w14:textId="77777777" w:rsidR="00322C83" w:rsidRPr="004F29C1" w:rsidRDefault="00322C83" w:rsidP="004F29C1">
      <w:pPr>
        <w:pStyle w:val="Normlnweb"/>
        <w:spacing w:before="0" w:after="0"/>
        <w:jc w:val="both"/>
        <w:rPr>
          <w:bCs/>
          <w:sz w:val="22"/>
          <w:szCs w:val="22"/>
        </w:rPr>
      </w:pPr>
      <w:r w:rsidRPr="004F29C1">
        <w:rPr>
          <w:bCs/>
          <w:sz w:val="22"/>
          <w:szCs w:val="22"/>
        </w:rPr>
        <w:t>Skot:</w:t>
      </w:r>
    </w:p>
    <w:p w14:paraId="1628F7EE" w14:textId="77777777" w:rsidR="00A26C38" w:rsidRPr="004F29C1" w:rsidRDefault="00322C83" w:rsidP="004F29C1">
      <w:pPr>
        <w:pStyle w:val="Normlnweb"/>
        <w:spacing w:before="0" w:after="0"/>
        <w:jc w:val="both"/>
        <w:rPr>
          <w:rStyle w:val="FontStyle11"/>
          <w:sz w:val="22"/>
          <w:szCs w:val="22"/>
        </w:rPr>
      </w:pPr>
      <w:r w:rsidRPr="004F29C1">
        <w:rPr>
          <w:rStyle w:val="FontStyle11"/>
          <w:bCs/>
          <w:sz w:val="22"/>
          <w:szCs w:val="22"/>
        </w:rPr>
        <w:t>3</w:t>
      </w:r>
      <w:r w:rsidRPr="004F29C1">
        <w:rPr>
          <w:rStyle w:val="FontStyle11"/>
          <w:sz w:val="22"/>
          <w:szCs w:val="22"/>
        </w:rPr>
        <w:t xml:space="preserve"> mg </w:t>
      </w:r>
      <w:proofErr w:type="spellStart"/>
      <w:r w:rsidRPr="004F29C1">
        <w:rPr>
          <w:rStyle w:val="FontStyle11"/>
          <w:sz w:val="22"/>
          <w:szCs w:val="22"/>
        </w:rPr>
        <w:t>ketoprofenu</w:t>
      </w:r>
      <w:proofErr w:type="spellEnd"/>
      <w:r w:rsidRPr="004F29C1">
        <w:rPr>
          <w:rStyle w:val="FontStyle11"/>
          <w:sz w:val="22"/>
          <w:szCs w:val="22"/>
        </w:rPr>
        <w:t xml:space="preserve">/kg živé hmotnosti, tj. 1 ml </w:t>
      </w:r>
      <w:r w:rsidR="00304E8A" w:rsidRPr="004F29C1">
        <w:rPr>
          <w:rStyle w:val="FontStyle11"/>
          <w:sz w:val="22"/>
          <w:szCs w:val="22"/>
        </w:rPr>
        <w:t xml:space="preserve">veterinárního léčivého </w:t>
      </w:r>
      <w:r w:rsidRPr="004F29C1">
        <w:rPr>
          <w:rStyle w:val="FontStyle11"/>
          <w:sz w:val="22"/>
          <w:szCs w:val="22"/>
        </w:rPr>
        <w:t xml:space="preserve">přípravku na 50 kg živé hmotnosti/den intravenózně nebo intramuskulárně, přednostně do oblasti krku. </w:t>
      </w:r>
    </w:p>
    <w:p w14:paraId="3CBC34CF" w14:textId="77777777" w:rsidR="00322C83" w:rsidRPr="004F29C1" w:rsidRDefault="00322C83" w:rsidP="004F29C1">
      <w:pPr>
        <w:pStyle w:val="Normlnweb"/>
        <w:spacing w:before="0" w:after="0"/>
        <w:jc w:val="both"/>
        <w:rPr>
          <w:sz w:val="22"/>
          <w:szCs w:val="22"/>
        </w:rPr>
      </w:pPr>
      <w:r w:rsidRPr="004F29C1">
        <w:rPr>
          <w:spacing w:val="-1"/>
          <w:sz w:val="22"/>
          <w:szCs w:val="22"/>
        </w:rPr>
        <w:t>Délka trvání léčby je 1</w:t>
      </w:r>
      <w:r w:rsidR="00A26C38" w:rsidRPr="004F29C1">
        <w:rPr>
          <w:spacing w:val="-1"/>
          <w:sz w:val="22"/>
          <w:szCs w:val="22"/>
        </w:rPr>
        <w:t>–</w:t>
      </w:r>
      <w:r w:rsidRPr="004F29C1">
        <w:rPr>
          <w:spacing w:val="-1"/>
          <w:sz w:val="22"/>
          <w:szCs w:val="22"/>
        </w:rPr>
        <w:t xml:space="preserve">3 dny a měla by </w:t>
      </w:r>
      <w:r w:rsidRPr="004F29C1">
        <w:rPr>
          <w:sz w:val="22"/>
          <w:szCs w:val="22"/>
        </w:rPr>
        <w:t xml:space="preserve">být nastavena podle závažnosti a doby trvání symptomů. </w:t>
      </w:r>
    </w:p>
    <w:p w14:paraId="1B42D0C1" w14:textId="77777777" w:rsidR="00322C83" w:rsidRPr="004F29C1" w:rsidRDefault="00322C83" w:rsidP="004F29C1">
      <w:pPr>
        <w:pStyle w:val="Normlnweb"/>
        <w:spacing w:before="0" w:after="0"/>
        <w:jc w:val="both"/>
        <w:rPr>
          <w:sz w:val="22"/>
          <w:szCs w:val="22"/>
        </w:rPr>
      </w:pPr>
      <w:r w:rsidRPr="004F29C1">
        <w:rPr>
          <w:sz w:val="22"/>
          <w:szCs w:val="22"/>
        </w:rPr>
        <w:t xml:space="preserve">Prasata: </w:t>
      </w:r>
    </w:p>
    <w:p w14:paraId="6D4F30A3" w14:textId="77777777" w:rsidR="00322C83" w:rsidRPr="004F29C1" w:rsidRDefault="00322C83" w:rsidP="004F29C1">
      <w:pPr>
        <w:pStyle w:val="Normlnweb"/>
        <w:spacing w:before="0" w:after="0"/>
        <w:jc w:val="both"/>
        <w:rPr>
          <w:sz w:val="22"/>
          <w:szCs w:val="22"/>
        </w:rPr>
      </w:pPr>
      <w:r w:rsidRPr="004F29C1">
        <w:rPr>
          <w:rStyle w:val="FontStyle11"/>
          <w:sz w:val="22"/>
          <w:szCs w:val="22"/>
        </w:rPr>
        <w:t xml:space="preserve">3 mg </w:t>
      </w:r>
      <w:proofErr w:type="spellStart"/>
      <w:r w:rsidRPr="004F29C1">
        <w:rPr>
          <w:rStyle w:val="FontStyle11"/>
          <w:sz w:val="22"/>
          <w:szCs w:val="22"/>
        </w:rPr>
        <w:t>ketoprofenu</w:t>
      </w:r>
      <w:proofErr w:type="spellEnd"/>
      <w:r w:rsidRPr="004F29C1">
        <w:rPr>
          <w:rStyle w:val="FontStyle11"/>
          <w:sz w:val="22"/>
          <w:szCs w:val="22"/>
        </w:rPr>
        <w:t xml:space="preserve">/kg živé hmotnosti, tj. 1 ml </w:t>
      </w:r>
      <w:r w:rsidR="00304E8A" w:rsidRPr="004F29C1">
        <w:rPr>
          <w:rStyle w:val="FontStyle11"/>
          <w:sz w:val="22"/>
          <w:szCs w:val="22"/>
        </w:rPr>
        <w:t xml:space="preserve">veterinárního léčivého </w:t>
      </w:r>
      <w:r w:rsidRPr="004F29C1">
        <w:rPr>
          <w:rStyle w:val="FontStyle11"/>
          <w:sz w:val="22"/>
          <w:szCs w:val="22"/>
        </w:rPr>
        <w:t xml:space="preserve">přípravku na 50 kg živé hmotnosti/den intramuskulárně, jednorázově. </w:t>
      </w:r>
    </w:p>
    <w:p w14:paraId="1209C3B8" w14:textId="7E00341F" w:rsidR="00322C83" w:rsidRPr="004F29C1" w:rsidRDefault="00322C83" w:rsidP="004F29C1">
      <w:pPr>
        <w:pStyle w:val="Normlnweb"/>
        <w:spacing w:before="0" w:after="0"/>
        <w:jc w:val="both"/>
        <w:rPr>
          <w:sz w:val="22"/>
          <w:szCs w:val="22"/>
        </w:rPr>
      </w:pPr>
      <w:r w:rsidRPr="004F29C1">
        <w:rPr>
          <w:sz w:val="22"/>
          <w:szCs w:val="22"/>
        </w:rPr>
        <w:t xml:space="preserve">V závislosti na pozorované odezvě na léčbu a na základě zvážení poměru terapeutického prospěchu </w:t>
      </w:r>
      <w:r w:rsidR="004F29C1" w:rsidRPr="004F29C1">
        <w:rPr>
          <w:sz w:val="22"/>
          <w:szCs w:val="22"/>
        </w:rPr>
        <w:t>a</w:t>
      </w:r>
      <w:r w:rsidR="004F29C1">
        <w:rPr>
          <w:sz w:val="22"/>
          <w:szCs w:val="22"/>
        </w:rPr>
        <w:t> </w:t>
      </w:r>
      <w:r w:rsidRPr="004F29C1">
        <w:rPr>
          <w:sz w:val="22"/>
          <w:szCs w:val="22"/>
        </w:rPr>
        <w:t xml:space="preserve">rizika odpovědným veterinárním lékařem, může být léčba opakována v intervalu 24 hodin max. </w:t>
      </w:r>
      <w:r w:rsidR="00CA355F" w:rsidRPr="004F29C1">
        <w:rPr>
          <w:sz w:val="22"/>
          <w:szCs w:val="22"/>
        </w:rPr>
        <w:t>3krát</w:t>
      </w:r>
      <w:r w:rsidRPr="004F29C1">
        <w:rPr>
          <w:sz w:val="22"/>
          <w:szCs w:val="22"/>
        </w:rPr>
        <w:t>.</w:t>
      </w:r>
      <w:r w:rsidRPr="004F29C1">
        <w:rPr>
          <w:strike/>
          <w:sz w:val="22"/>
          <w:szCs w:val="22"/>
        </w:rPr>
        <w:t xml:space="preserve"> </w:t>
      </w:r>
      <w:r w:rsidRPr="004F29C1">
        <w:rPr>
          <w:sz w:val="22"/>
          <w:szCs w:val="22"/>
        </w:rPr>
        <w:t>Každé injekční podání musí být aplikováno na jiné místo.</w:t>
      </w:r>
    </w:p>
    <w:p w14:paraId="1BA62FE7" w14:textId="77777777" w:rsidR="00322C83" w:rsidRPr="004F29C1" w:rsidRDefault="00322C83" w:rsidP="004F29C1">
      <w:pPr>
        <w:pStyle w:val="Normlnweb"/>
        <w:spacing w:before="0" w:after="0"/>
        <w:jc w:val="both"/>
        <w:rPr>
          <w:sz w:val="22"/>
          <w:szCs w:val="22"/>
        </w:rPr>
      </w:pPr>
    </w:p>
    <w:p w14:paraId="51888463" w14:textId="77777777" w:rsidR="00322C83" w:rsidRPr="004F29C1" w:rsidRDefault="00322C83" w:rsidP="004F29C1">
      <w:pPr>
        <w:pStyle w:val="Normlnweb"/>
        <w:spacing w:before="0" w:after="0"/>
        <w:jc w:val="both"/>
        <w:rPr>
          <w:sz w:val="22"/>
          <w:szCs w:val="22"/>
        </w:rPr>
      </w:pPr>
      <w:r w:rsidRPr="004F29C1">
        <w:rPr>
          <w:sz w:val="22"/>
          <w:szCs w:val="22"/>
        </w:rPr>
        <w:t xml:space="preserve">Koně: </w:t>
      </w:r>
    </w:p>
    <w:p w14:paraId="7D4BB123" w14:textId="77777777" w:rsidR="00A26C38" w:rsidRPr="004F29C1" w:rsidRDefault="00322C83" w:rsidP="004F29C1">
      <w:pPr>
        <w:pStyle w:val="Normlnweb"/>
        <w:spacing w:before="0" w:after="0"/>
        <w:jc w:val="both"/>
        <w:rPr>
          <w:rStyle w:val="FontStyle11"/>
          <w:sz w:val="22"/>
          <w:szCs w:val="22"/>
        </w:rPr>
      </w:pPr>
      <w:r w:rsidRPr="004F29C1">
        <w:rPr>
          <w:rStyle w:val="FontStyle11"/>
          <w:sz w:val="22"/>
          <w:szCs w:val="22"/>
        </w:rPr>
        <w:t xml:space="preserve">2,2 mg </w:t>
      </w:r>
      <w:proofErr w:type="spellStart"/>
      <w:r w:rsidRPr="004F29C1">
        <w:rPr>
          <w:rStyle w:val="FontStyle11"/>
          <w:sz w:val="22"/>
          <w:szCs w:val="22"/>
        </w:rPr>
        <w:t>ketoprofenu</w:t>
      </w:r>
      <w:proofErr w:type="spellEnd"/>
      <w:r w:rsidRPr="004F29C1">
        <w:rPr>
          <w:rStyle w:val="FontStyle11"/>
          <w:sz w:val="22"/>
          <w:szCs w:val="22"/>
        </w:rPr>
        <w:t xml:space="preserve">/kg živé hmotnosti, tj. 0,75 ml </w:t>
      </w:r>
      <w:r w:rsidR="00304E8A" w:rsidRPr="004F29C1">
        <w:rPr>
          <w:rStyle w:val="FontStyle11"/>
          <w:sz w:val="22"/>
          <w:szCs w:val="22"/>
        </w:rPr>
        <w:t xml:space="preserve">veterinárního léčivého </w:t>
      </w:r>
      <w:r w:rsidRPr="004F29C1">
        <w:rPr>
          <w:rStyle w:val="FontStyle11"/>
          <w:sz w:val="22"/>
          <w:szCs w:val="22"/>
        </w:rPr>
        <w:t xml:space="preserve">přípravku na 50 kg živé hmotnosti/den, intravenózně. </w:t>
      </w:r>
    </w:p>
    <w:p w14:paraId="5BD7907D" w14:textId="77777777" w:rsidR="00322C83" w:rsidRPr="004F29C1" w:rsidRDefault="00322C83" w:rsidP="004F29C1">
      <w:pPr>
        <w:pStyle w:val="Normlnweb"/>
        <w:spacing w:before="0" w:after="0"/>
        <w:jc w:val="both"/>
        <w:rPr>
          <w:sz w:val="22"/>
          <w:szCs w:val="22"/>
        </w:rPr>
      </w:pPr>
      <w:r w:rsidRPr="004F29C1">
        <w:rPr>
          <w:sz w:val="22"/>
          <w:szCs w:val="22"/>
        </w:rPr>
        <w:t>Délka trvání léčby je 1</w:t>
      </w:r>
      <w:r w:rsidR="00A26C38" w:rsidRPr="004F29C1">
        <w:rPr>
          <w:sz w:val="22"/>
          <w:szCs w:val="22"/>
        </w:rPr>
        <w:t>–</w:t>
      </w:r>
      <w:r w:rsidRPr="004F29C1">
        <w:rPr>
          <w:sz w:val="22"/>
          <w:szCs w:val="22"/>
        </w:rPr>
        <w:t>5 dní a měla by být nastavena podle závažnosti a doby trvání symptomů.</w:t>
      </w:r>
    </w:p>
    <w:p w14:paraId="77CEE027" w14:textId="75455B0E" w:rsidR="00322C83" w:rsidRDefault="00322C83" w:rsidP="004F29C1">
      <w:pPr>
        <w:pStyle w:val="Normlnweb"/>
        <w:spacing w:before="0" w:after="0"/>
        <w:jc w:val="both"/>
        <w:rPr>
          <w:sz w:val="22"/>
          <w:szCs w:val="22"/>
        </w:rPr>
      </w:pPr>
      <w:r w:rsidRPr="004F29C1">
        <w:rPr>
          <w:sz w:val="22"/>
          <w:szCs w:val="22"/>
        </w:rPr>
        <w:t>V případě koliky koní je jedno injekční podání obvykle postačující</w:t>
      </w:r>
      <w:r w:rsidR="00A26C38" w:rsidRPr="004F29C1">
        <w:rPr>
          <w:sz w:val="22"/>
          <w:szCs w:val="22"/>
        </w:rPr>
        <w:t>.</w:t>
      </w:r>
      <w:r w:rsidR="004F29C1">
        <w:rPr>
          <w:sz w:val="22"/>
          <w:szCs w:val="22"/>
        </w:rPr>
        <w:t xml:space="preserve"> </w:t>
      </w:r>
      <w:r w:rsidRPr="004F29C1">
        <w:rPr>
          <w:sz w:val="22"/>
          <w:szCs w:val="22"/>
        </w:rPr>
        <w:t xml:space="preserve">Druhé podání </w:t>
      </w:r>
      <w:proofErr w:type="spellStart"/>
      <w:r w:rsidRPr="004F29C1">
        <w:rPr>
          <w:sz w:val="22"/>
          <w:szCs w:val="22"/>
        </w:rPr>
        <w:t>ketoprofenu</w:t>
      </w:r>
      <w:proofErr w:type="spellEnd"/>
      <w:r w:rsidRPr="004F29C1">
        <w:rPr>
          <w:sz w:val="22"/>
          <w:szCs w:val="22"/>
        </w:rPr>
        <w:t xml:space="preserve"> vyžaduje nové klinické vyšetření.</w:t>
      </w:r>
    </w:p>
    <w:p w14:paraId="052AA8CF" w14:textId="77777777" w:rsidR="004F29C1" w:rsidRPr="004F29C1" w:rsidRDefault="004F29C1" w:rsidP="004F29C1">
      <w:pPr>
        <w:pStyle w:val="Normlnweb"/>
        <w:spacing w:before="0" w:after="0"/>
        <w:jc w:val="both"/>
        <w:rPr>
          <w:sz w:val="22"/>
          <w:szCs w:val="22"/>
        </w:rPr>
      </w:pPr>
    </w:p>
    <w:p w14:paraId="567A22B7" w14:textId="509AB609" w:rsidR="00322C83" w:rsidRDefault="00322C83" w:rsidP="004F29C1">
      <w:pPr>
        <w:shd w:val="clear" w:color="auto" w:fill="FFFFFF"/>
        <w:tabs>
          <w:tab w:val="left" w:pos="600"/>
        </w:tabs>
        <w:ind w:right="-16"/>
        <w:jc w:val="both"/>
        <w:rPr>
          <w:b/>
          <w:bCs/>
          <w:szCs w:val="22"/>
        </w:rPr>
      </w:pPr>
      <w:r w:rsidRPr="00625B2D">
        <w:rPr>
          <w:b/>
          <w:bCs/>
          <w:spacing w:val="-9"/>
          <w:szCs w:val="22"/>
          <w:highlight w:val="lightGray"/>
        </w:rPr>
        <w:t>9.</w:t>
      </w:r>
      <w:r w:rsidRPr="004F29C1">
        <w:rPr>
          <w:b/>
          <w:bCs/>
          <w:szCs w:val="22"/>
        </w:rPr>
        <w:tab/>
      </w:r>
      <w:r w:rsidR="00A26C38" w:rsidRPr="004F29C1">
        <w:rPr>
          <w:b/>
          <w:bCs/>
          <w:szCs w:val="22"/>
        </w:rPr>
        <w:t>Pokyny pro správné podání</w:t>
      </w:r>
    </w:p>
    <w:p w14:paraId="5A4650E2" w14:textId="77777777" w:rsidR="004F29C1" w:rsidRPr="004F29C1" w:rsidRDefault="004F29C1" w:rsidP="004F29C1">
      <w:pPr>
        <w:shd w:val="clear" w:color="auto" w:fill="FFFFFF"/>
        <w:tabs>
          <w:tab w:val="left" w:pos="600"/>
        </w:tabs>
        <w:ind w:right="-16"/>
        <w:jc w:val="both"/>
        <w:rPr>
          <w:szCs w:val="22"/>
        </w:rPr>
      </w:pPr>
    </w:p>
    <w:p w14:paraId="2692ABB6" w14:textId="71C5D2A0" w:rsidR="00322C83" w:rsidRPr="004F29C1" w:rsidRDefault="00322C83" w:rsidP="0097021D">
      <w:pPr>
        <w:shd w:val="clear" w:color="auto" w:fill="FFFFFF"/>
        <w:tabs>
          <w:tab w:val="left" w:pos="600"/>
        </w:tabs>
        <w:ind w:left="0" w:right="-16" w:firstLine="0"/>
        <w:jc w:val="both"/>
        <w:rPr>
          <w:szCs w:val="22"/>
        </w:rPr>
      </w:pPr>
      <w:r w:rsidRPr="00625B2D">
        <w:rPr>
          <w:b/>
          <w:bCs/>
          <w:spacing w:val="-9"/>
          <w:szCs w:val="22"/>
          <w:highlight w:val="lightGray"/>
        </w:rPr>
        <w:t>10.</w:t>
      </w:r>
      <w:r w:rsidRPr="004F29C1">
        <w:rPr>
          <w:b/>
          <w:bCs/>
          <w:szCs w:val="22"/>
        </w:rPr>
        <w:tab/>
      </w:r>
      <w:r w:rsidR="00A26C38" w:rsidRPr="004F29C1">
        <w:rPr>
          <w:b/>
          <w:bCs/>
          <w:spacing w:val="-1"/>
          <w:szCs w:val="22"/>
        </w:rPr>
        <w:t>Ochrann</w:t>
      </w:r>
      <w:r w:rsidR="002377C3">
        <w:rPr>
          <w:b/>
          <w:bCs/>
          <w:spacing w:val="-1"/>
          <w:szCs w:val="22"/>
        </w:rPr>
        <w:t>é</w:t>
      </w:r>
      <w:r w:rsidR="00A26C38" w:rsidRPr="004F29C1">
        <w:rPr>
          <w:b/>
          <w:bCs/>
          <w:spacing w:val="-1"/>
          <w:szCs w:val="22"/>
        </w:rPr>
        <w:t xml:space="preserve"> lhůt</w:t>
      </w:r>
      <w:r w:rsidR="002377C3">
        <w:rPr>
          <w:b/>
          <w:bCs/>
          <w:spacing w:val="-1"/>
          <w:szCs w:val="22"/>
        </w:rPr>
        <w:t>y</w:t>
      </w:r>
    </w:p>
    <w:p w14:paraId="63D227CD" w14:textId="77777777" w:rsidR="00322C83" w:rsidRPr="004F29C1" w:rsidRDefault="00322C83" w:rsidP="004F29C1">
      <w:pPr>
        <w:pStyle w:val="Style5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04DD6A4" w14:textId="77777777" w:rsidR="00322C83" w:rsidRPr="004F29C1" w:rsidRDefault="00322C83" w:rsidP="004F29C1">
      <w:pPr>
        <w:pStyle w:val="Style5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29C1">
        <w:rPr>
          <w:rStyle w:val="FontStyle11"/>
          <w:sz w:val="22"/>
          <w:szCs w:val="22"/>
          <w:lang w:val="cs-CZ" w:eastAsia="cs-CZ"/>
        </w:rPr>
        <w:t>Skot:</w:t>
      </w:r>
    </w:p>
    <w:p w14:paraId="15300C06" w14:textId="4D2E48BF" w:rsidR="00322C83" w:rsidRPr="004F29C1" w:rsidRDefault="00322C83" w:rsidP="004F29C1">
      <w:pPr>
        <w:pStyle w:val="Style5"/>
        <w:widowControl/>
        <w:jc w:val="both"/>
        <w:outlineLvl w:val="0"/>
        <w:rPr>
          <w:rStyle w:val="FontStyle11"/>
          <w:sz w:val="22"/>
          <w:szCs w:val="22"/>
          <w:lang w:val="cs-CZ" w:eastAsia="cs-CZ"/>
        </w:rPr>
      </w:pPr>
      <w:proofErr w:type="gramStart"/>
      <w:r w:rsidRPr="004F29C1">
        <w:rPr>
          <w:rStyle w:val="FontStyle11"/>
          <w:sz w:val="22"/>
          <w:szCs w:val="22"/>
          <w:lang w:val="cs-CZ" w:eastAsia="cs-CZ"/>
        </w:rPr>
        <w:t xml:space="preserve">Maso: </w:t>
      </w:r>
      <w:r w:rsidR="002377C3">
        <w:rPr>
          <w:rStyle w:val="FontStyle11"/>
          <w:sz w:val="22"/>
          <w:szCs w:val="22"/>
          <w:lang w:val="cs-CZ" w:eastAsia="cs-CZ"/>
        </w:rPr>
        <w:t xml:space="preserve">  </w:t>
      </w:r>
      <w:proofErr w:type="gramEnd"/>
      <w:r w:rsidR="002377C3">
        <w:rPr>
          <w:rStyle w:val="FontStyle11"/>
          <w:sz w:val="22"/>
          <w:szCs w:val="22"/>
          <w:lang w:val="cs-CZ" w:eastAsia="cs-CZ"/>
        </w:rPr>
        <w:t xml:space="preserve">                  </w:t>
      </w:r>
      <w:r w:rsidRPr="004F29C1">
        <w:rPr>
          <w:rStyle w:val="FontStyle11"/>
          <w:sz w:val="22"/>
          <w:szCs w:val="22"/>
          <w:lang w:val="cs-CZ" w:eastAsia="cs-CZ"/>
        </w:rPr>
        <w:t>2 dny</w:t>
      </w:r>
    </w:p>
    <w:p w14:paraId="6F4A0FBA" w14:textId="77777777" w:rsidR="00322C83" w:rsidRPr="004F29C1" w:rsidRDefault="00322C83" w:rsidP="004F29C1">
      <w:pPr>
        <w:pStyle w:val="Style5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29C1">
        <w:rPr>
          <w:rStyle w:val="FontStyle11"/>
          <w:sz w:val="22"/>
          <w:szCs w:val="22"/>
          <w:lang w:val="cs-CZ" w:eastAsia="cs-CZ"/>
        </w:rPr>
        <w:t xml:space="preserve">Mléko: </w:t>
      </w:r>
      <w:r w:rsidR="00A26C38" w:rsidRPr="004F29C1">
        <w:rPr>
          <w:rStyle w:val="FontStyle11"/>
          <w:sz w:val="22"/>
          <w:szCs w:val="22"/>
          <w:lang w:val="cs-CZ" w:eastAsia="cs-CZ"/>
        </w:rPr>
        <w:tab/>
      </w:r>
      <w:r w:rsidR="00A26C38" w:rsidRPr="004F29C1">
        <w:rPr>
          <w:rStyle w:val="FontStyle11"/>
          <w:sz w:val="22"/>
          <w:szCs w:val="22"/>
          <w:lang w:val="cs-CZ" w:eastAsia="cs-CZ"/>
        </w:rPr>
        <w:tab/>
      </w:r>
      <w:r w:rsidRPr="004F29C1">
        <w:rPr>
          <w:rStyle w:val="FontStyle11"/>
          <w:sz w:val="22"/>
          <w:szCs w:val="22"/>
          <w:lang w:val="cs-CZ" w:eastAsia="cs-CZ"/>
        </w:rPr>
        <w:t>Bez ochranných lhůt.</w:t>
      </w:r>
    </w:p>
    <w:p w14:paraId="074A52B4" w14:textId="77777777" w:rsidR="00322C83" w:rsidRPr="004F29C1" w:rsidRDefault="00322C83" w:rsidP="004F29C1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495367E1" w14:textId="77777777" w:rsidR="00322C83" w:rsidRPr="004F29C1" w:rsidRDefault="00322C83" w:rsidP="004F29C1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29C1">
        <w:rPr>
          <w:rStyle w:val="FontStyle11"/>
          <w:sz w:val="22"/>
          <w:szCs w:val="22"/>
          <w:lang w:val="cs-CZ" w:eastAsia="cs-CZ"/>
        </w:rPr>
        <w:t>Koně:</w:t>
      </w:r>
    </w:p>
    <w:p w14:paraId="1FC50E30" w14:textId="03A9B4B6" w:rsidR="00322C83" w:rsidRPr="004F29C1" w:rsidRDefault="00322C83" w:rsidP="004F29C1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proofErr w:type="gramStart"/>
      <w:r w:rsidRPr="004F29C1">
        <w:rPr>
          <w:rStyle w:val="FontStyle11"/>
          <w:sz w:val="22"/>
          <w:szCs w:val="22"/>
          <w:lang w:val="cs-CZ" w:eastAsia="cs-CZ"/>
        </w:rPr>
        <w:t>Maso:</w:t>
      </w:r>
      <w:r w:rsidR="002377C3">
        <w:rPr>
          <w:rStyle w:val="FontStyle11"/>
          <w:sz w:val="22"/>
          <w:szCs w:val="22"/>
          <w:lang w:val="cs-CZ" w:eastAsia="cs-CZ"/>
        </w:rPr>
        <w:t xml:space="preserve">   </w:t>
      </w:r>
      <w:proofErr w:type="gramEnd"/>
      <w:r w:rsidR="002377C3">
        <w:rPr>
          <w:rStyle w:val="FontStyle11"/>
          <w:sz w:val="22"/>
          <w:szCs w:val="22"/>
          <w:lang w:val="cs-CZ" w:eastAsia="cs-CZ"/>
        </w:rPr>
        <w:t xml:space="preserve">                 </w:t>
      </w:r>
      <w:r w:rsidRPr="004F29C1">
        <w:rPr>
          <w:rStyle w:val="FontStyle11"/>
          <w:sz w:val="22"/>
          <w:szCs w:val="22"/>
          <w:lang w:val="cs-CZ" w:eastAsia="cs-CZ"/>
        </w:rPr>
        <w:t xml:space="preserve"> 1 den</w:t>
      </w:r>
    </w:p>
    <w:p w14:paraId="65BE0D0B" w14:textId="77777777" w:rsidR="00322C83" w:rsidRPr="004F29C1" w:rsidRDefault="00322C83" w:rsidP="004F29C1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29C1">
        <w:rPr>
          <w:rStyle w:val="FontStyle11"/>
          <w:sz w:val="22"/>
          <w:szCs w:val="22"/>
          <w:lang w:val="cs-CZ" w:eastAsia="cs-CZ"/>
        </w:rPr>
        <w:t xml:space="preserve">Mléko: </w:t>
      </w:r>
      <w:r w:rsidRPr="004F29C1">
        <w:rPr>
          <w:rStyle w:val="FontStyle11"/>
          <w:sz w:val="22"/>
          <w:szCs w:val="22"/>
          <w:lang w:val="cs-CZ" w:eastAsia="cs-CZ"/>
        </w:rPr>
        <w:tab/>
      </w:r>
      <w:r w:rsidR="00A26C38" w:rsidRPr="004F29C1">
        <w:rPr>
          <w:rStyle w:val="FontStyle11"/>
          <w:sz w:val="22"/>
          <w:szCs w:val="22"/>
          <w:lang w:val="cs-CZ" w:eastAsia="cs-CZ"/>
        </w:rPr>
        <w:tab/>
      </w:r>
      <w:r w:rsidRPr="004F29C1">
        <w:rPr>
          <w:rStyle w:val="FontStyle11"/>
          <w:sz w:val="22"/>
          <w:szCs w:val="22"/>
          <w:lang w:val="cs-CZ" w:eastAsia="cs-CZ"/>
        </w:rPr>
        <w:t>Nepoužívat u klisen, jejichž mléko je určeno pro lidskou spotřebu.</w:t>
      </w:r>
    </w:p>
    <w:p w14:paraId="47075562" w14:textId="77777777" w:rsidR="00322C83" w:rsidRPr="004F29C1" w:rsidRDefault="00322C83" w:rsidP="004F29C1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7F636A23" w14:textId="77777777" w:rsidR="00322C83" w:rsidRPr="004F29C1" w:rsidRDefault="00322C83" w:rsidP="004F29C1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29C1">
        <w:rPr>
          <w:rStyle w:val="FontStyle11"/>
          <w:sz w:val="22"/>
          <w:szCs w:val="22"/>
          <w:lang w:val="cs-CZ" w:eastAsia="cs-CZ"/>
        </w:rPr>
        <w:t>Prasata:</w:t>
      </w:r>
    </w:p>
    <w:p w14:paraId="23EBC33E" w14:textId="20865E1F" w:rsidR="00322C83" w:rsidRDefault="00322C83" w:rsidP="004F29C1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proofErr w:type="gramStart"/>
      <w:r w:rsidRPr="004F29C1">
        <w:rPr>
          <w:rStyle w:val="FontStyle11"/>
          <w:sz w:val="22"/>
          <w:szCs w:val="22"/>
          <w:lang w:val="cs-CZ" w:eastAsia="cs-CZ"/>
        </w:rPr>
        <w:t xml:space="preserve">Maso: </w:t>
      </w:r>
      <w:r w:rsidR="002377C3">
        <w:rPr>
          <w:rStyle w:val="FontStyle11"/>
          <w:sz w:val="22"/>
          <w:szCs w:val="22"/>
          <w:lang w:val="cs-CZ" w:eastAsia="cs-CZ"/>
        </w:rPr>
        <w:t xml:space="preserve">  </w:t>
      </w:r>
      <w:proofErr w:type="gramEnd"/>
      <w:r w:rsidR="002377C3">
        <w:rPr>
          <w:rStyle w:val="FontStyle11"/>
          <w:sz w:val="22"/>
          <w:szCs w:val="22"/>
          <w:lang w:val="cs-CZ" w:eastAsia="cs-CZ"/>
        </w:rPr>
        <w:t xml:space="preserve">                   </w:t>
      </w:r>
      <w:r w:rsidRPr="004F29C1">
        <w:rPr>
          <w:rStyle w:val="FontStyle11"/>
          <w:sz w:val="22"/>
          <w:szCs w:val="22"/>
          <w:lang w:val="cs-CZ" w:eastAsia="cs-CZ"/>
        </w:rPr>
        <w:t>3 dny</w:t>
      </w:r>
    </w:p>
    <w:p w14:paraId="65FCAA2F" w14:textId="77777777" w:rsidR="004F29C1" w:rsidRPr="004F29C1" w:rsidRDefault="004F29C1" w:rsidP="004F29C1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26ADE530" w14:textId="2919C08A" w:rsidR="00322C83" w:rsidRDefault="00322C83" w:rsidP="00625B2D">
      <w:pPr>
        <w:keepNext/>
        <w:shd w:val="clear" w:color="auto" w:fill="FFFFFF"/>
        <w:tabs>
          <w:tab w:val="left" w:pos="600"/>
        </w:tabs>
        <w:ind w:right="-17"/>
        <w:jc w:val="both"/>
        <w:rPr>
          <w:b/>
          <w:bCs/>
          <w:szCs w:val="22"/>
        </w:rPr>
      </w:pPr>
      <w:r w:rsidRPr="00625B2D">
        <w:rPr>
          <w:b/>
          <w:bCs/>
          <w:szCs w:val="22"/>
          <w:highlight w:val="lightGray"/>
        </w:rPr>
        <w:t>11</w:t>
      </w:r>
      <w:r w:rsidRPr="00625B2D">
        <w:rPr>
          <w:szCs w:val="22"/>
          <w:highlight w:val="lightGray"/>
        </w:rPr>
        <w:t>.</w:t>
      </w:r>
      <w:r w:rsidRPr="004F29C1">
        <w:rPr>
          <w:szCs w:val="22"/>
        </w:rPr>
        <w:tab/>
      </w:r>
      <w:r w:rsidR="00A26C38" w:rsidRPr="004F29C1">
        <w:rPr>
          <w:b/>
          <w:bCs/>
          <w:szCs w:val="22"/>
        </w:rPr>
        <w:t>Zvláštní opatření pro uchovávání</w:t>
      </w:r>
    </w:p>
    <w:p w14:paraId="5BFC4473" w14:textId="77777777" w:rsidR="004F29C1" w:rsidRPr="004F29C1" w:rsidRDefault="004F29C1" w:rsidP="00625B2D">
      <w:pPr>
        <w:keepNext/>
        <w:shd w:val="clear" w:color="auto" w:fill="FFFFFF"/>
        <w:tabs>
          <w:tab w:val="left" w:pos="600"/>
        </w:tabs>
        <w:ind w:right="-17"/>
        <w:jc w:val="both"/>
        <w:rPr>
          <w:szCs w:val="22"/>
        </w:rPr>
      </w:pPr>
    </w:p>
    <w:p w14:paraId="783E16BC" w14:textId="5DD580FC" w:rsidR="00322C83" w:rsidRPr="004F29C1" w:rsidRDefault="00322C83" w:rsidP="004F29C1">
      <w:pPr>
        <w:shd w:val="clear" w:color="auto" w:fill="FFFFFF"/>
        <w:ind w:right="-16"/>
        <w:jc w:val="both"/>
        <w:rPr>
          <w:szCs w:val="22"/>
        </w:rPr>
      </w:pPr>
      <w:r w:rsidRPr="004F29C1">
        <w:rPr>
          <w:szCs w:val="22"/>
        </w:rPr>
        <w:t>Uchováv</w:t>
      </w:r>
      <w:r w:rsidR="001D44C3" w:rsidRPr="004F29C1">
        <w:rPr>
          <w:szCs w:val="22"/>
        </w:rPr>
        <w:t>ejte</w:t>
      </w:r>
      <w:r w:rsidRPr="004F29C1">
        <w:rPr>
          <w:szCs w:val="22"/>
        </w:rPr>
        <w:t xml:space="preserve"> mimo do</w:t>
      </w:r>
      <w:r w:rsidR="001D44C3" w:rsidRPr="004F29C1">
        <w:rPr>
          <w:szCs w:val="22"/>
        </w:rPr>
        <w:t>hled a do</w:t>
      </w:r>
      <w:r w:rsidRPr="004F29C1">
        <w:rPr>
          <w:szCs w:val="22"/>
        </w:rPr>
        <w:t>sah dětí.</w:t>
      </w:r>
    </w:p>
    <w:p w14:paraId="00FB2243" w14:textId="62C22673" w:rsidR="00322C83" w:rsidRPr="004F29C1" w:rsidRDefault="00322C83" w:rsidP="004F29C1">
      <w:pPr>
        <w:pStyle w:val="Style4"/>
        <w:keepNext/>
        <w:widowControl/>
        <w:jc w:val="both"/>
        <w:rPr>
          <w:rStyle w:val="FontStyle11"/>
          <w:sz w:val="22"/>
          <w:szCs w:val="22"/>
          <w:lang w:val="cs-CZ"/>
        </w:rPr>
      </w:pPr>
      <w:r w:rsidRPr="004F29C1">
        <w:rPr>
          <w:rStyle w:val="FontStyle11"/>
          <w:sz w:val="22"/>
          <w:szCs w:val="22"/>
          <w:lang w:val="cs-CZ"/>
        </w:rPr>
        <w:t>Uchovávejte injekční lahvičku</w:t>
      </w:r>
      <w:r w:rsidR="00B86813" w:rsidRPr="004F29C1">
        <w:rPr>
          <w:rStyle w:val="FontStyle11"/>
          <w:sz w:val="22"/>
          <w:szCs w:val="22"/>
          <w:lang w:val="cs-CZ"/>
        </w:rPr>
        <w:t> ve vnějším ochranném kartonovém obalu</w:t>
      </w:r>
      <w:r w:rsidRPr="004F29C1">
        <w:rPr>
          <w:rStyle w:val="FontStyle11"/>
          <w:sz w:val="22"/>
          <w:szCs w:val="22"/>
          <w:lang w:val="cs-CZ"/>
        </w:rPr>
        <w:t>.</w:t>
      </w:r>
    </w:p>
    <w:p w14:paraId="3D5E1079" w14:textId="4D4A00FD" w:rsidR="00DB09AD" w:rsidRPr="004F29C1" w:rsidRDefault="00DB09AD" w:rsidP="004F29C1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  <w:r w:rsidRPr="004F29C1">
        <w:rPr>
          <w:rStyle w:val="FontStyle11"/>
          <w:sz w:val="22"/>
          <w:szCs w:val="22"/>
          <w:lang w:val="cs-CZ"/>
        </w:rPr>
        <w:t>Tento veterinární léčivý přípravek nevyžaduje žádné zvláštní podmínky uchovávání, pokud jde o</w:t>
      </w:r>
      <w:r w:rsidR="004F29C1">
        <w:rPr>
          <w:rStyle w:val="FontStyle11"/>
          <w:sz w:val="22"/>
          <w:szCs w:val="22"/>
          <w:lang w:val="cs-CZ"/>
        </w:rPr>
        <w:t> </w:t>
      </w:r>
      <w:r w:rsidRPr="004F29C1">
        <w:rPr>
          <w:rStyle w:val="FontStyle11"/>
          <w:sz w:val="22"/>
          <w:szCs w:val="22"/>
          <w:lang w:val="cs-CZ"/>
        </w:rPr>
        <w:t>teplotu.</w:t>
      </w:r>
    </w:p>
    <w:p w14:paraId="5CAACB45" w14:textId="77777777" w:rsidR="00322C83" w:rsidRPr="004F29C1" w:rsidRDefault="00DB09AD" w:rsidP="004F29C1">
      <w:pPr>
        <w:shd w:val="clear" w:color="auto" w:fill="FFFFFF"/>
        <w:ind w:right="-16"/>
        <w:jc w:val="both"/>
        <w:rPr>
          <w:szCs w:val="22"/>
        </w:rPr>
      </w:pPr>
      <w:r w:rsidRPr="004F29C1">
        <w:rPr>
          <w:szCs w:val="22"/>
        </w:rPr>
        <w:t xml:space="preserve">Doba použitelnosti po prvním otevření vloženého obalu: </w:t>
      </w:r>
      <w:r w:rsidR="00322C83" w:rsidRPr="004F29C1">
        <w:rPr>
          <w:szCs w:val="22"/>
        </w:rPr>
        <w:t>28 dnů.</w:t>
      </w:r>
    </w:p>
    <w:p w14:paraId="6EDDAE6F" w14:textId="2D457D56" w:rsidR="00322C83" w:rsidRPr="004F29C1" w:rsidRDefault="00322C83" w:rsidP="005D6F59">
      <w:pPr>
        <w:pStyle w:val="Style4"/>
        <w:keepNext/>
        <w:widowControl/>
        <w:jc w:val="both"/>
        <w:rPr>
          <w:rStyle w:val="FontStyle11"/>
          <w:sz w:val="22"/>
          <w:szCs w:val="22"/>
          <w:lang w:eastAsia="cs-CZ"/>
        </w:rPr>
      </w:pPr>
      <w:r w:rsidRPr="004F29C1">
        <w:rPr>
          <w:rStyle w:val="FontStyle11"/>
          <w:sz w:val="22"/>
          <w:szCs w:val="22"/>
          <w:lang w:val="cs-CZ"/>
        </w:rPr>
        <w:t xml:space="preserve">Nepoužívejte tento veterinární léčivý přípravek po uplynutí doby použitelnosti uvedené na etiketě </w:t>
      </w:r>
      <w:r w:rsidR="004F29C1" w:rsidRPr="004F29C1">
        <w:rPr>
          <w:rStyle w:val="FontStyle11"/>
          <w:sz w:val="22"/>
          <w:szCs w:val="22"/>
          <w:lang w:val="cs-CZ"/>
        </w:rPr>
        <w:t>a</w:t>
      </w:r>
      <w:r w:rsidR="004F29C1">
        <w:rPr>
          <w:rStyle w:val="FontStyle11"/>
          <w:sz w:val="22"/>
          <w:szCs w:val="22"/>
          <w:lang w:val="cs-CZ"/>
        </w:rPr>
        <w:t> </w:t>
      </w:r>
      <w:r w:rsidRPr="004F29C1">
        <w:rPr>
          <w:rStyle w:val="FontStyle11"/>
          <w:sz w:val="22"/>
          <w:szCs w:val="22"/>
          <w:lang w:val="cs-CZ"/>
        </w:rPr>
        <w:t>krabičce po EXP. Doba použitelnosti končí posledním dnem v uvedeném měsíci.</w:t>
      </w:r>
    </w:p>
    <w:p w14:paraId="4979CFAF" w14:textId="77777777" w:rsidR="00322C83" w:rsidRPr="004F29C1" w:rsidRDefault="00322C83" w:rsidP="004F29C1">
      <w:pPr>
        <w:shd w:val="clear" w:color="auto" w:fill="FFFFFF"/>
        <w:ind w:left="-240" w:right="-16"/>
        <w:jc w:val="both"/>
        <w:rPr>
          <w:szCs w:val="22"/>
        </w:rPr>
      </w:pPr>
    </w:p>
    <w:p w14:paraId="6121540C" w14:textId="77777777" w:rsidR="00322C83" w:rsidRPr="004F29C1" w:rsidRDefault="00B86813" w:rsidP="004F29C1">
      <w:pPr>
        <w:keepNext/>
        <w:tabs>
          <w:tab w:val="left" w:pos="600"/>
        </w:tabs>
        <w:ind w:right="-17"/>
        <w:jc w:val="both"/>
        <w:rPr>
          <w:b/>
          <w:bCs/>
          <w:szCs w:val="22"/>
        </w:rPr>
      </w:pPr>
      <w:r w:rsidRPr="00625B2D">
        <w:rPr>
          <w:b/>
          <w:bCs/>
          <w:spacing w:val="-1"/>
          <w:szCs w:val="22"/>
          <w:highlight w:val="lightGray"/>
        </w:rPr>
        <w:t>12</w:t>
      </w:r>
      <w:r w:rsidR="00322C83" w:rsidRPr="00625B2D">
        <w:rPr>
          <w:b/>
          <w:bCs/>
          <w:spacing w:val="-1"/>
          <w:szCs w:val="22"/>
          <w:highlight w:val="lightGray"/>
        </w:rPr>
        <w:t>.</w:t>
      </w:r>
      <w:r w:rsidR="00322C83" w:rsidRPr="004F29C1">
        <w:rPr>
          <w:b/>
          <w:bCs/>
          <w:spacing w:val="-1"/>
          <w:szCs w:val="22"/>
        </w:rPr>
        <w:tab/>
      </w:r>
      <w:r w:rsidRPr="004F29C1">
        <w:rPr>
          <w:b/>
          <w:bCs/>
          <w:spacing w:val="-1"/>
          <w:szCs w:val="22"/>
        </w:rPr>
        <w:t>Zvláštní opatření pro likvidaci</w:t>
      </w:r>
    </w:p>
    <w:p w14:paraId="56A24AA4" w14:textId="77777777" w:rsidR="00322C83" w:rsidRPr="004F29C1" w:rsidRDefault="00322C83" w:rsidP="004F29C1">
      <w:pPr>
        <w:keepNext/>
        <w:tabs>
          <w:tab w:val="left" w:pos="360"/>
        </w:tabs>
        <w:ind w:left="-240" w:right="-17"/>
        <w:jc w:val="both"/>
        <w:rPr>
          <w:b/>
          <w:bCs/>
          <w:szCs w:val="22"/>
        </w:rPr>
      </w:pPr>
    </w:p>
    <w:p w14:paraId="2B166034" w14:textId="73BE1B8A" w:rsidR="00B86813" w:rsidRPr="004F29C1" w:rsidRDefault="00B86813" w:rsidP="004F29C1">
      <w:pPr>
        <w:pStyle w:val="Style3"/>
        <w:ind w:right="-17"/>
        <w:jc w:val="both"/>
        <w:rPr>
          <w:rStyle w:val="FontStyle11"/>
          <w:sz w:val="22"/>
          <w:szCs w:val="22"/>
          <w:lang w:val="cs-CZ"/>
        </w:rPr>
      </w:pPr>
      <w:r w:rsidRPr="004F29C1">
        <w:rPr>
          <w:rStyle w:val="FontStyle11"/>
          <w:sz w:val="22"/>
          <w:szCs w:val="22"/>
          <w:lang w:val="cs-CZ"/>
        </w:rPr>
        <w:t xml:space="preserve">Léčivé přípravky se nesmí </w:t>
      </w:r>
      <w:r w:rsidR="004F29C1">
        <w:rPr>
          <w:rStyle w:val="FontStyle11"/>
          <w:sz w:val="22"/>
          <w:szCs w:val="22"/>
          <w:lang w:val="cs-CZ"/>
        </w:rPr>
        <w:t xml:space="preserve">likvidovat prostřednictvím </w:t>
      </w:r>
      <w:r w:rsidRPr="004F29C1">
        <w:rPr>
          <w:rStyle w:val="FontStyle11"/>
          <w:sz w:val="22"/>
          <w:szCs w:val="22"/>
          <w:lang w:val="cs-CZ"/>
        </w:rPr>
        <w:t>odpadní vod</w:t>
      </w:r>
      <w:r w:rsidR="004F29C1">
        <w:rPr>
          <w:rStyle w:val="FontStyle11"/>
          <w:sz w:val="22"/>
          <w:szCs w:val="22"/>
          <w:lang w:val="cs-CZ"/>
        </w:rPr>
        <w:t>y</w:t>
      </w:r>
      <w:r w:rsidRPr="004F29C1">
        <w:rPr>
          <w:rStyle w:val="FontStyle11"/>
          <w:sz w:val="22"/>
          <w:szCs w:val="22"/>
          <w:lang w:val="cs-CZ"/>
        </w:rPr>
        <w:t xml:space="preserve"> </w:t>
      </w:r>
      <w:r w:rsidR="004F29C1">
        <w:rPr>
          <w:rStyle w:val="FontStyle11"/>
          <w:sz w:val="22"/>
          <w:szCs w:val="22"/>
          <w:lang w:val="cs-CZ"/>
        </w:rPr>
        <w:t xml:space="preserve">či domovního </w:t>
      </w:r>
      <w:r w:rsidRPr="004F29C1">
        <w:rPr>
          <w:rStyle w:val="FontStyle11"/>
          <w:sz w:val="22"/>
          <w:szCs w:val="22"/>
          <w:lang w:val="cs-CZ"/>
        </w:rPr>
        <w:t>odpadu.</w:t>
      </w:r>
    </w:p>
    <w:p w14:paraId="14757094" w14:textId="77777777" w:rsidR="00B86813" w:rsidRPr="004F29C1" w:rsidRDefault="00B86813" w:rsidP="004F29C1">
      <w:pPr>
        <w:pStyle w:val="Style3"/>
        <w:ind w:right="-17"/>
        <w:jc w:val="both"/>
        <w:rPr>
          <w:rStyle w:val="FontStyle11"/>
          <w:sz w:val="22"/>
          <w:szCs w:val="22"/>
          <w:lang w:val="cs-CZ"/>
        </w:rPr>
      </w:pPr>
    </w:p>
    <w:p w14:paraId="786C8E64" w14:textId="7F965711" w:rsidR="00322C83" w:rsidRPr="004F29C1" w:rsidRDefault="004F29C1" w:rsidP="004F29C1">
      <w:pPr>
        <w:shd w:val="clear" w:color="auto" w:fill="FFFFFF"/>
        <w:ind w:left="0" w:right="-17" w:firstLine="0"/>
        <w:jc w:val="both"/>
        <w:rPr>
          <w:spacing w:val="-1"/>
          <w:szCs w:val="22"/>
        </w:rPr>
      </w:pPr>
      <w:r>
        <w:rPr>
          <w:rStyle w:val="FontStyle11"/>
          <w:sz w:val="22"/>
          <w:szCs w:val="22"/>
        </w:rPr>
        <w:t xml:space="preserve">Všechen </w:t>
      </w:r>
      <w:r w:rsidR="00B86813" w:rsidRPr="004F29C1">
        <w:rPr>
          <w:rStyle w:val="FontStyle11"/>
          <w:sz w:val="22"/>
          <w:szCs w:val="22"/>
        </w:rPr>
        <w:t>nepoužit</w:t>
      </w:r>
      <w:r>
        <w:rPr>
          <w:rStyle w:val="FontStyle11"/>
          <w:sz w:val="22"/>
          <w:szCs w:val="22"/>
        </w:rPr>
        <w:t>ý</w:t>
      </w:r>
      <w:r w:rsidR="00B86813" w:rsidRPr="004F29C1">
        <w:rPr>
          <w:rStyle w:val="FontStyle11"/>
          <w:sz w:val="22"/>
          <w:szCs w:val="22"/>
        </w:rPr>
        <w:t xml:space="preserve"> veterinární léčiv</w:t>
      </w:r>
      <w:r>
        <w:rPr>
          <w:rStyle w:val="FontStyle11"/>
          <w:sz w:val="22"/>
          <w:szCs w:val="22"/>
        </w:rPr>
        <w:t>ý</w:t>
      </w:r>
      <w:r w:rsidR="00B86813" w:rsidRPr="004F29C1">
        <w:rPr>
          <w:rStyle w:val="FontStyle11"/>
          <w:sz w:val="22"/>
          <w:szCs w:val="22"/>
        </w:rPr>
        <w:t xml:space="preserve"> příprav</w:t>
      </w:r>
      <w:r>
        <w:rPr>
          <w:rStyle w:val="FontStyle11"/>
          <w:sz w:val="22"/>
          <w:szCs w:val="22"/>
        </w:rPr>
        <w:t>ek</w:t>
      </w:r>
      <w:r w:rsidR="00B86813" w:rsidRPr="004F29C1">
        <w:rPr>
          <w:rStyle w:val="FontStyle11"/>
          <w:sz w:val="22"/>
          <w:szCs w:val="22"/>
        </w:rPr>
        <w:t xml:space="preserve"> nebo odpad</w:t>
      </w:r>
      <w:r>
        <w:rPr>
          <w:rStyle w:val="FontStyle11"/>
          <w:sz w:val="22"/>
          <w:szCs w:val="22"/>
        </w:rPr>
        <w:t>, který pochází z tohoto přípravku, likvidujte odevzdáním v souladu s místními</w:t>
      </w:r>
      <w:r w:rsidR="00B86813" w:rsidRPr="004F29C1">
        <w:rPr>
          <w:rStyle w:val="FontStyle11"/>
          <w:sz w:val="22"/>
          <w:szCs w:val="22"/>
        </w:rPr>
        <w:t xml:space="preserve"> požadavky a platnými národními </w:t>
      </w:r>
      <w:r>
        <w:rPr>
          <w:rStyle w:val="FontStyle11"/>
          <w:sz w:val="22"/>
          <w:szCs w:val="22"/>
        </w:rPr>
        <w:t xml:space="preserve">systémy </w:t>
      </w:r>
      <w:r w:rsidR="00B86813" w:rsidRPr="004F29C1">
        <w:rPr>
          <w:rStyle w:val="FontStyle11"/>
          <w:sz w:val="22"/>
          <w:szCs w:val="22"/>
        </w:rPr>
        <w:t>sběr</w:t>
      </w:r>
      <w:r>
        <w:rPr>
          <w:rStyle w:val="FontStyle11"/>
          <w:sz w:val="22"/>
          <w:szCs w:val="22"/>
        </w:rPr>
        <w:t>u</w:t>
      </w:r>
      <w:r w:rsidR="00B86813" w:rsidRPr="004F29C1">
        <w:rPr>
          <w:rStyle w:val="FontStyle11"/>
          <w:sz w:val="22"/>
          <w:szCs w:val="22"/>
        </w:rPr>
        <w:t>. Tato opatření napomáhají chránit životní prostředí.</w:t>
      </w:r>
    </w:p>
    <w:p w14:paraId="779F8E1B" w14:textId="77777777" w:rsidR="00B86813" w:rsidRPr="004F29C1" w:rsidRDefault="00B86813" w:rsidP="004F29C1">
      <w:pPr>
        <w:shd w:val="clear" w:color="auto" w:fill="FFFFFF"/>
        <w:ind w:left="0" w:right="-17" w:firstLine="0"/>
        <w:jc w:val="both"/>
        <w:rPr>
          <w:spacing w:val="-1"/>
          <w:szCs w:val="22"/>
        </w:rPr>
      </w:pPr>
    </w:p>
    <w:p w14:paraId="3F1BA4B5" w14:textId="579C7D74" w:rsidR="00DB09AD" w:rsidRPr="004F29C1" w:rsidRDefault="001F00F1" w:rsidP="004F29C1">
      <w:pPr>
        <w:shd w:val="clear" w:color="auto" w:fill="FFFFFF"/>
        <w:ind w:left="0" w:right="-17" w:firstLine="0"/>
        <w:jc w:val="both"/>
        <w:rPr>
          <w:szCs w:val="22"/>
        </w:rPr>
      </w:pPr>
      <w:r>
        <w:rPr>
          <w:szCs w:val="22"/>
        </w:rPr>
        <w:t xml:space="preserve">O možnostech likvidace nepotřebných léčivých přípravků se poraďte s vaším </w:t>
      </w:r>
      <w:r w:rsidR="00DB09AD" w:rsidRPr="004F29C1">
        <w:rPr>
          <w:szCs w:val="22"/>
        </w:rPr>
        <w:t>veterinární</w:t>
      </w:r>
      <w:r>
        <w:rPr>
          <w:szCs w:val="22"/>
        </w:rPr>
        <w:t>m</w:t>
      </w:r>
      <w:r w:rsidR="00DB09AD" w:rsidRPr="004F29C1">
        <w:rPr>
          <w:szCs w:val="22"/>
        </w:rPr>
        <w:t xml:space="preserve"> lékaře</w:t>
      </w:r>
      <w:r>
        <w:rPr>
          <w:szCs w:val="22"/>
        </w:rPr>
        <w:t>m</w:t>
      </w:r>
      <w:r w:rsidR="00DB09AD" w:rsidRPr="004F29C1">
        <w:rPr>
          <w:szCs w:val="22"/>
        </w:rPr>
        <w:t xml:space="preserve"> nebo lékárník</w:t>
      </w:r>
      <w:r>
        <w:rPr>
          <w:szCs w:val="22"/>
        </w:rPr>
        <w:t>em.</w:t>
      </w:r>
    </w:p>
    <w:p w14:paraId="228A9A2F" w14:textId="77777777" w:rsidR="00B86813" w:rsidRPr="004F29C1" w:rsidRDefault="00B86813" w:rsidP="004F29C1">
      <w:pPr>
        <w:pStyle w:val="Style4"/>
        <w:widowControl/>
        <w:jc w:val="both"/>
        <w:rPr>
          <w:rStyle w:val="FontStyle11"/>
          <w:b/>
          <w:sz w:val="22"/>
          <w:szCs w:val="22"/>
          <w:lang w:val="cs-CZ" w:eastAsia="cs-CZ"/>
        </w:rPr>
      </w:pPr>
    </w:p>
    <w:p w14:paraId="3A49BC2A" w14:textId="2985B3D1" w:rsidR="00B86813" w:rsidRDefault="00B86813" w:rsidP="004F29C1">
      <w:pPr>
        <w:pStyle w:val="Style4"/>
        <w:widowControl/>
        <w:jc w:val="both"/>
        <w:rPr>
          <w:rStyle w:val="FontStyle11"/>
          <w:b/>
          <w:sz w:val="22"/>
          <w:szCs w:val="22"/>
          <w:lang w:val="cs-CZ" w:eastAsia="cs-CZ"/>
        </w:rPr>
      </w:pPr>
      <w:r w:rsidRPr="00625B2D">
        <w:rPr>
          <w:rStyle w:val="FontStyle11"/>
          <w:b/>
          <w:sz w:val="22"/>
          <w:szCs w:val="22"/>
          <w:highlight w:val="lightGray"/>
          <w:lang w:val="cs-CZ" w:eastAsia="cs-CZ"/>
        </w:rPr>
        <w:t>13.</w:t>
      </w:r>
      <w:r w:rsidR="004F29C1">
        <w:rPr>
          <w:rStyle w:val="FontStyle11"/>
          <w:b/>
          <w:sz w:val="22"/>
          <w:szCs w:val="22"/>
          <w:lang w:val="cs-CZ" w:eastAsia="cs-CZ"/>
        </w:rPr>
        <w:tab/>
      </w:r>
      <w:r w:rsidRPr="004F29C1">
        <w:rPr>
          <w:rStyle w:val="FontStyle11"/>
          <w:b/>
          <w:sz w:val="22"/>
          <w:szCs w:val="22"/>
          <w:lang w:val="cs-CZ" w:eastAsia="cs-CZ"/>
        </w:rPr>
        <w:t xml:space="preserve">Klasifikace veterinárních léčivých přípravků </w:t>
      </w:r>
    </w:p>
    <w:p w14:paraId="7FD0C96F" w14:textId="77777777" w:rsidR="004F29C1" w:rsidRPr="004F29C1" w:rsidRDefault="004F29C1" w:rsidP="004F29C1">
      <w:pPr>
        <w:pStyle w:val="Style4"/>
        <w:widowControl/>
        <w:jc w:val="both"/>
        <w:rPr>
          <w:rStyle w:val="FontStyle11"/>
          <w:b/>
          <w:sz w:val="22"/>
          <w:szCs w:val="22"/>
          <w:lang w:val="cs-CZ" w:eastAsia="cs-CZ"/>
        </w:rPr>
      </w:pPr>
    </w:p>
    <w:p w14:paraId="39C46EDA" w14:textId="30533841" w:rsidR="00B86813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rStyle w:val="FontStyle11"/>
          <w:sz w:val="22"/>
          <w:szCs w:val="22"/>
          <w:lang w:eastAsia="cs-CZ"/>
        </w:rPr>
      </w:pPr>
      <w:r w:rsidRPr="004F29C1">
        <w:rPr>
          <w:rStyle w:val="FontStyle11"/>
          <w:sz w:val="22"/>
          <w:szCs w:val="22"/>
          <w:lang w:eastAsia="cs-CZ"/>
        </w:rPr>
        <w:t>Veterinární léčivý přípravek je vydáván pouze na předpis.</w:t>
      </w:r>
    </w:p>
    <w:p w14:paraId="03A1EC62" w14:textId="77777777" w:rsidR="004F29C1" w:rsidRPr="004F29C1" w:rsidRDefault="004F29C1" w:rsidP="004F29C1">
      <w:pPr>
        <w:shd w:val="clear" w:color="auto" w:fill="FFFFFF"/>
        <w:tabs>
          <w:tab w:val="left" w:pos="480"/>
        </w:tabs>
        <w:ind w:right="-16"/>
        <w:jc w:val="both"/>
        <w:rPr>
          <w:b/>
          <w:bCs/>
          <w:spacing w:val="-9"/>
          <w:szCs w:val="22"/>
        </w:rPr>
      </w:pPr>
    </w:p>
    <w:p w14:paraId="3FDD61A2" w14:textId="75F62C1D" w:rsidR="00322C83" w:rsidRDefault="00322C83" w:rsidP="004F29C1">
      <w:pPr>
        <w:shd w:val="clear" w:color="auto" w:fill="FFFFFF"/>
        <w:tabs>
          <w:tab w:val="left" w:pos="709"/>
        </w:tabs>
        <w:ind w:right="-16"/>
        <w:jc w:val="both"/>
        <w:rPr>
          <w:b/>
          <w:bCs/>
          <w:spacing w:val="-1"/>
          <w:szCs w:val="22"/>
        </w:rPr>
      </w:pPr>
      <w:r w:rsidRPr="00625B2D">
        <w:rPr>
          <w:b/>
          <w:bCs/>
          <w:spacing w:val="-9"/>
          <w:szCs w:val="22"/>
          <w:highlight w:val="lightGray"/>
        </w:rPr>
        <w:t>14.</w:t>
      </w:r>
      <w:r w:rsidRPr="004F29C1">
        <w:rPr>
          <w:b/>
          <w:bCs/>
          <w:szCs w:val="22"/>
        </w:rPr>
        <w:tab/>
      </w:r>
      <w:r w:rsidR="00B86813" w:rsidRPr="004F29C1">
        <w:rPr>
          <w:b/>
          <w:bCs/>
          <w:spacing w:val="-1"/>
          <w:szCs w:val="22"/>
        </w:rPr>
        <w:t>Registrační čísla a velikosti balení</w:t>
      </w:r>
    </w:p>
    <w:p w14:paraId="00073D70" w14:textId="77777777" w:rsidR="004F29C1" w:rsidRPr="004F29C1" w:rsidRDefault="004F29C1" w:rsidP="00625B2D">
      <w:pPr>
        <w:shd w:val="clear" w:color="auto" w:fill="FFFFFF"/>
        <w:tabs>
          <w:tab w:val="left" w:pos="709"/>
        </w:tabs>
        <w:ind w:right="-16"/>
        <w:jc w:val="both"/>
        <w:rPr>
          <w:b/>
          <w:bCs/>
          <w:spacing w:val="-1"/>
          <w:szCs w:val="22"/>
        </w:rPr>
      </w:pPr>
    </w:p>
    <w:p w14:paraId="2AF765C9" w14:textId="77777777" w:rsidR="008C52C7" w:rsidRPr="00625B2D" w:rsidRDefault="008C52C7" w:rsidP="004F29C1">
      <w:pPr>
        <w:shd w:val="clear" w:color="auto" w:fill="FFFFFF"/>
        <w:tabs>
          <w:tab w:val="left" w:pos="480"/>
        </w:tabs>
        <w:ind w:right="-16"/>
        <w:jc w:val="both"/>
        <w:rPr>
          <w:spacing w:val="-1"/>
          <w:szCs w:val="22"/>
        </w:rPr>
      </w:pPr>
      <w:r w:rsidRPr="00625B2D">
        <w:rPr>
          <w:spacing w:val="-1"/>
          <w:szCs w:val="22"/>
        </w:rPr>
        <w:t>96/037/</w:t>
      </w:r>
      <w:proofErr w:type="gramStart"/>
      <w:r w:rsidRPr="00625B2D">
        <w:rPr>
          <w:spacing w:val="-1"/>
          <w:szCs w:val="22"/>
        </w:rPr>
        <w:t>10-C</w:t>
      </w:r>
      <w:proofErr w:type="gramEnd"/>
    </w:p>
    <w:p w14:paraId="70089301" w14:textId="77777777" w:rsidR="00B86813" w:rsidRPr="004F29C1" w:rsidRDefault="00B86813" w:rsidP="004F29C1">
      <w:pPr>
        <w:pStyle w:val="Style2"/>
        <w:widowControl/>
        <w:jc w:val="both"/>
        <w:rPr>
          <w:rStyle w:val="FontStyle11"/>
          <w:sz w:val="22"/>
          <w:szCs w:val="22"/>
          <w:u w:val="single"/>
          <w:lang w:val="cs-CZ" w:eastAsia="cs-CZ"/>
        </w:rPr>
      </w:pPr>
    </w:p>
    <w:p w14:paraId="13FC760B" w14:textId="77777777" w:rsidR="00DB09AD" w:rsidRPr="00625B2D" w:rsidRDefault="00DB09AD" w:rsidP="004F29C1">
      <w:pPr>
        <w:pStyle w:val="Style2"/>
        <w:widowControl/>
        <w:jc w:val="both"/>
        <w:rPr>
          <w:rStyle w:val="FontStyle11"/>
          <w:b/>
          <w:bCs/>
          <w:sz w:val="22"/>
          <w:szCs w:val="22"/>
          <w:u w:val="single"/>
          <w:lang w:val="cs-CZ" w:eastAsia="cs-CZ"/>
        </w:rPr>
      </w:pPr>
      <w:r w:rsidRPr="00625B2D">
        <w:rPr>
          <w:rStyle w:val="FontStyle11"/>
          <w:b/>
          <w:bCs/>
          <w:sz w:val="22"/>
          <w:szCs w:val="22"/>
          <w:u w:val="single"/>
          <w:lang w:val="cs-CZ" w:eastAsia="cs-CZ"/>
        </w:rPr>
        <w:t>Velikosti balení</w:t>
      </w:r>
    </w:p>
    <w:p w14:paraId="57492E08" w14:textId="77777777" w:rsidR="00B86813" w:rsidRPr="004F29C1" w:rsidRDefault="00B86813" w:rsidP="004F29C1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29C1">
        <w:rPr>
          <w:rStyle w:val="FontStyle11"/>
          <w:sz w:val="22"/>
          <w:szCs w:val="22"/>
          <w:lang w:val="cs-CZ" w:eastAsia="cs-CZ"/>
        </w:rPr>
        <w:t>Krabička s 1 injekční lahvičkou o objemu 100 ml.</w:t>
      </w:r>
    </w:p>
    <w:p w14:paraId="2D77BEED" w14:textId="77777777" w:rsidR="00DB09AD" w:rsidRPr="004F29C1" w:rsidRDefault="00DB09AD" w:rsidP="004F29C1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29C1">
        <w:rPr>
          <w:rStyle w:val="FontStyle11"/>
          <w:sz w:val="22"/>
          <w:szCs w:val="22"/>
          <w:lang w:val="cs-CZ" w:eastAsia="cs-CZ"/>
        </w:rPr>
        <w:t>Krabička s 5 injekčními lahvičkami o objemu 100 ml.</w:t>
      </w:r>
    </w:p>
    <w:p w14:paraId="65E451A7" w14:textId="77777777" w:rsidR="00DB09AD" w:rsidRPr="004F29C1" w:rsidRDefault="00DB09AD" w:rsidP="004F29C1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29C1">
        <w:rPr>
          <w:rStyle w:val="FontStyle11"/>
          <w:sz w:val="22"/>
          <w:szCs w:val="22"/>
          <w:lang w:val="cs-CZ" w:eastAsia="cs-CZ"/>
        </w:rPr>
        <w:t>Krabička s 10 injekčními lahvičkami o objemu 100 ml.</w:t>
      </w:r>
    </w:p>
    <w:p w14:paraId="031D5F6B" w14:textId="77777777" w:rsidR="00B86813" w:rsidRPr="004F29C1" w:rsidRDefault="00B86813" w:rsidP="004F29C1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8E246FE" w14:textId="77777777" w:rsidR="00B86813" w:rsidRPr="004F29C1" w:rsidRDefault="00B86813" w:rsidP="004F29C1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29C1">
        <w:rPr>
          <w:rStyle w:val="FontStyle11"/>
          <w:sz w:val="22"/>
          <w:szCs w:val="22"/>
          <w:lang w:val="cs-CZ" w:eastAsia="cs-CZ"/>
        </w:rPr>
        <w:t>Krabička s 1 injekční lahvičkou o objemu 250 ml.</w:t>
      </w:r>
    </w:p>
    <w:p w14:paraId="3BCA3DD1" w14:textId="77777777" w:rsidR="00DB09AD" w:rsidRPr="004F29C1" w:rsidRDefault="00DB09AD" w:rsidP="004F29C1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29C1">
        <w:rPr>
          <w:rStyle w:val="FontStyle11"/>
          <w:sz w:val="22"/>
          <w:szCs w:val="22"/>
          <w:lang w:val="cs-CZ" w:eastAsia="cs-CZ"/>
        </w:rPr>
        <w:t>Krabička s 5 injekčními lahvičkami o objemu 250 ml.</w:t>
      </w:r>
    </w:p>
    <w:p w14:paraId="58B2469A" w14:textId="77777777" w:rsidR="00B86813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bCs/>
          <w:spacing w:val="-1"/>
          <w:szCs w:val="22"/>
        </w:rPr>
      </w:pPr>
      <w:r w:rsidRPr="0049229D">
        <w:rPr>
          <w:rStyle w:val="FontStyle11"/>
          <w:sz w:val="22"/>
          <w:szCs w:val="22"/>
          <w:lang w:eastAsia="cs-CZ"/>
        </w:rPr>
        <w:t>Na trhu nemusí být všechny velikosti balení.</w:t>
      </w:r>
    </w:p>
    <w:p w14:paraId="4A4B6D51" w14:textId="77777777" w:rsidR="00322C83" w:rsidRDefault="00322C83" w:rsidP="004F29C1">
      <w:pPr>
        <w:shd w:val="clear" w:color="auto" w:fill="FFFFFF"/>
        <w:tabs>
          <w:tab w:val="left" w:pos="480"/>
        </w:tabs>
        <w:ind w:right="-16"/>
        <w:jc w:val="both"/>
        <w:rPr>
          <w:b/>
          <w:bCs/>
          <w:spacing w:val="-11"/>
          <w:szCs w:val="22"/>
        </w:rPr>
      </w:pPr>
    </w:p>
    <w:p w14:paraId="4AADA16E" w14:textId="634B4B4C" w:rsidR="00B86813" w:rsidRPr="00B86813" w:rsidRDefault="00B86813" w:rsidP="00625B2D">
      <w:pPr>
        <w:shd w:val="clear" w:color="auto" w:fill="FFFFFF"/>
        <w:ind w:left="-1418" w:right="-16" w:firstLine="1418"/>
        <w:jc w:val="both"/>
        <w:rPr>
          <w:b/>
          <w:bCs/>
          <w:spacing w:val="-11"/>
          <w:szCs w:val="22"/>
        </w:rPr>
      </w:pPr>
      <w:r w:rsidRPr="00625B2D">
        <w:rPr>
          <w:b/>
          <w:bCs/>
          <w:spacing w:val="-11"/>
          <w:szCs w:val="22"/>
          <w:highlight w:val="lightGray"/>
        </w:rPr>
        <w:t>15.</w:t>
      </w:r>
      <w:r w:rsidR="004F29C1">
        <w:rPr>
          <w:b/>
          <w:bCs/>
          <w:spacing w:val="-11"/>
          <w:szCs w:val="22"/>
        </w:rPr>
        <w:tab/>
      </w:r>
      <w:r w:rsidRPr="00B86813">
        <w:rPr>
          <w:b/>
          <w:bCs/>
          <w:spacing w:val="-11"/>
          <w:szCs w:val="22"/>
        </w:rPr>
        <w:t>Datum</w:t>
      </w:r>
      <w:r>
        <w:rPr>
          <w:b/>
          <w:bCs/>
          <w:spacing w:val="-11"/>
          <w:szCs w:val="22"/>
        </w:rPr>
        <w:t xml:space="preserve"> poslední </w:t>
      </w:r>
      <w:r w:rsidR="004F29C1">
        <w:rPr>
          <w:b/>
          <w:bCs/>
          <w:spacing w:val="-11"/>
          <w:szCs w:val="22"/>
        </w:rPr>
        <w:t>revize</w:t>
      </w:r>
      <w:r w:rsidR="00DB09AD">
        <w:rPr>
          <w:b/>
          <w:bCs/>
          <w:spacing w:val="-11"/>
          <w:szCs w:val="22"/>
        </w:rPr>
        <w:t xml:space="preserve"> </w:t>
      </w:r>
      <w:r w:rsidRPr="00B86813">
        <w:rPr>
          <w:b/>
          <w:bCs/>
          <w:spacing w:val="-11"/>
          <w:szCs w:val="22"/>
        </w:rPr>
        <w:t>příbalov</w:t>
      </w:r>
      <w:r>
        <w:rPr>
          <w:b/>
          <w:bCs/>
          <w:spacing w:val="-11"/>
          <w:szCs w:val="22"/>
        </w:rPr>
        <w:t>é</w:t>
      </w:r>
      <w:r w:rsidRPr="00B86813">
        <w:rPr>
          <w:b/>
          <w:bCs/>
          <w:spacing w:val="-11"/>
          <w:szCs w:val="22"/>
        </w:rPr>
        <w:t xml:space="preserve"> informace</w:t>
      </w:r>
    </w:p>
    <w:p w14:paraId="0216CD1C" w14:textId="77777777" w:rsidR="00B86813" w:rsidRPr="00B86813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b/>
          <w:bCs/>
          <w:spacing w:val="-11"/>
          <w:szCs w:val="22"/>
        </w:rPr>
      </w:pPr>
    </w:p>
    <w:p w14:paraId="65B63C86" w14:textId="1C9F0173" w:rsidR="00CA355F" w:rsidRDefault="00CA355F" w:rsidP="004F29C1">
      <w:pPr>
        <w:shd w:val="clear" w:color="auto" w:fill="FFFFFF"/>
        <w:tabs>
          <w:tab w:val="left" w:pos="0"/>
        </w:tabs>
        <w:ind w:left="0" w:right="-16" w:firstLine="0"/>
        <w:jc w:val="both"/>
        <w:rPr>
          <w:bCs/>
          <w:szCs w:val="22"/>
        </w:rPr>
      </w:pPr>
      <w:r>
        <w:rPr>
          <w:bCs/>
          <w:szCs w:val="22"/>
        </w:rPr>
        <w:t>0</w:t>
      </w:r>
      <w:r w:rsidR="00625B2D">
        <w:rPr>
          <w:bCs/>
          <w:szCs w:val="22"/>
        </w:rPr>
        <w:t>2</w:t>
      </w:r>
      <w:bookmarkStart w:id="0" w:name="_GoBack"/>
      <w:bookmarkEnd w:id="0"/>
      <w:r>
        <w:rPr>
          <w:bCs/>
          <w:szCs w:val="22"/>
        </w:rPr>
        <w:t>/2025</w:t>
      </w:r>
    </w:p>
    <w:p w14:paraId="09892FE8" w14:textId="77777777" w:rsidR="00CA355F" w:rsidRDefault="00CA355F" w:rsidP="004F29C1">
      <w:pPr>
        <w:shd w:val="clear" w:color="auto" w:fill="FFFFFF"/>
        <w:tabs>
          <w:tab w:val="left" w:pos="0"/>
        </w:tabs>
        <w:ind w:left="0" w:right="-16" w:firstLine="0"/>
        <w:jc w:val="both"/>
        <w:rPr>
          <w:bCs/>
          <w:szCs w:val="22"/>
        </w:rPr>
      </w:pPr>
    </w:p>
    <w:p w14:paraId="3FC75DF9" w14:textId="05B18B8A" w:rsidR="00DB09AD" w:rsidRDefault="00DB09AD" w:rsidP="004F29C1">
      <w:pPr>
        <w:shd w:val="clear" w:color="auto" w:fill="FFFFFF"/>
        <w:tabs>
          <w:tab w:val="left" w:pos="0"/>
        </w:tabs>
        <w:ind w:left="0" w:right="-16" w:firstLine="0"/>
        <w:jc w:val="both"/>
        <w:rPr>
          <w:bCs/>
          <w:szCs w:val="22"/>
        </w:rPr>
      </w:pPr>
      <w:r w:rsidRPr="00625B2D">
        <w:rPr>
          <w:bCs/>
          <w:szCs w:val="22"/>
        </w:rPr>
        <w:t>Podrobné informace o tomto veterinárním léčivém přípravku jsou dostupné v Databázi přípravků Unie (</w:t>
      </w:r>
      <w:hyperlink r:id="rId14" w:history="1">
        <w:r w:rsidR="00CA355F" w:rsidRPr="00625B2D">
          <w:rPr>
            <w:rStyle w:val="Hypertextovodkaz"/>
          </w:rPr>
          <w:t>https://medicines.health.europa.eu/veterinary</w:t>
        </w:r>
      </w:hyperlink>
      <w:r w:rsidRPr="00625B2D">
        <w:rPr>
          <w:bCs/>
          <w:szCs w:val="22"/>
        </w:rPr>
        <w:t>).</w:t>
      </w:r>
    </w:p>
    <w:p w14:paraId="1221FDEA" w14:textId="0742E34F" w:rsidR="00CA355F" w:rsidRDefault="00CA355F" w:rsidP="004F29C1">
      <w:pPr>
        <w:shd w:val="clear" w:color="auto" w:fill="FFFFFF"/>
        <w:tabs>
          <w:tab w:val="left" w:pos="0"/>
        </w:tabs>
        <w:ind w:left="0" w:right="-16" w:firstLine="0"/>
        <w:jc w:val="both"/>
        <w:rPr>
          <w:bCs/>
          <w:szCs w:val="22"/>
        </w:rPr>
      </w:pPr>
    </w:p>
    <w:p w14:paraId="0B74F76D" w14:textId="77777777" w:rsidR="00CA355F" w:rsidRPr="00B76010" w:rsidRDefault="00CA355F" w:rsidP="00CA355F">
      <w:pPr>
        <w:ind w:left="0" w:firstLine="0"/>
        <w:jc w:val="both"/>
      </w:pPr>
      <w:bookmarkStart w:id="1" w:name="_Hlk148432335"/>
      <w:r w:rsidRPr="00B76010">
        <w:t>Podrobné informace o tomto veterinárním léčivém přípravku naleznete také v národní databázi (</w:t>
      </w:r>
      <w:hyperlink r:id="rId15" w:history="1">
        <w:r w:rsidRPr="00B76010">
          <w:rPr>
            <w:rStyle w:val="Hypertextovodkaz"/>
          </w:rPr>
          <w:t>https://www.uskvbl.cz</w:t>
        </w:r>
      </w:hyperlink>
      <w:r w:rsidRPr="00B76010">
        <w:t>).</w:t>
      </w:r>
    </w:p>
    <w:bookmarkEnd w:id="1"/>
    <w:p w14:paraId="2C170DB1" w14:textId="77777777" w:rsidR="00CA355F" w:rsidRPr="00625B2D" w:rsidRDefault="00CA355F" w:rsidP="004F29C1">
      <w:pPr>
        <w:shd w:val="clear" w:color="auto" w:fill="FFFFFF"/>
        <w:tabs>
          <w:tab w:val="left" w:pos="0"/>
        </w:tabs>
        <w:ind w:left="0" w:right="-16" w:firstLine="0"/>
        <w:jc w:val="both"/>
        <w:rPr>
          <w:bCs/>
          <w:szCs w:val="22"/>
        </w:rPr>
      </w:pPr>
    </w:p>
    <w:p w14:paraId="5E6CF924" w14:textId="77777777" w:rsidR="00B86813" w:rsidRPr="0065113A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bCs/>
          <w:spacing w:val="-11"/>
          <w:szCs w:val="22"/>
        </w:rPr>
      </w:pPr>
    </w:p>
    <w:p w14:paraId="159EC933" w14:textId="4FEFC4DA" w:rsidR="00B86813" w:rsidRPr="005D6F59" w:rsidRDefault="00B86813" w:rsidP="00625B2D">
      <w:pPr>
        <w:shd w:val="clear" w:color="auto" w:fill="FFFFFF"/>
        <w:tabs>
          <w:tab w:val="left" w:pos="709"/>
        </w:tabs>
        <w:ind w:right="-16"/>
        <w:jc w:val="both"/>
        <w:rPr>
          <w:b/>
          <w:bCs/>
          <w:szCs w:val="22"/>
        </w:rPr>
      </w:pPr>
      <w:r w:rsidRPr="00625B2D">
        <w:rPr>
          <w:b/>
          <w:bCs/>
          <w:szCs w:val="22"/>
          <w:highlight w:val="lightGray"/>
        </w:rPr>
        <w:t>16.</w:t>
      </w:r>
      <w:r w:rsidR="004F29C1" w:rsidRPr="005D6F59">
        <w:rPr>
          <w:b/>
          <w:bCs/>
          <w:szCs w:val="22"/>
        </w:rPr>
        <w:tab/>
      </w:r>
      <w:r w:rsidRPr="005D6F59">
        <w:rPr>
          <w:b/>
          <w:bCs/>
          <w:szCs w:val="22"/>
        </w:rPr>
        <w:t>Kontaktní údaje</w:t>
      </w:r>
    </w:p>
    <w:p w14:paraId="07996B51" w14:textId="77777777" w:rsidR="00B86813" w:rsidRPr="005D6F59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bCs/>
          <w:szCs w:val="22"/>
        </w:rPr>
      </w:pPr>
    </w:p>
    <w:p w14:paraId="23B6C856" w14:textId="77777777" w:rsidR="00DB09AD" w:rsidRPr="00625B2D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bCs/>
          <w:szCs w:val="22"/>
          <w:u w:val="single"/>
        </w:rPr>
      </w:pPr>
      <w:r w:rsidRPr="00625B2D">
        <w:rPr>
          <w:bCs/>
          <w:szCs w:val="22"/>
          <w:u w:val="single"/>
        </w:rPr>
        <w:t xml:space="preserve">Držitel rozhodnutí o </w:t>
      </w:r>
      <w:r w:rsidR="00DB09AD" w:rsidRPr="00625B2D">
        <w:rPr>
          <w:bCs/>
          <w:szCs w:val="22"/>
          <w:u w:val="single"/>
        </w:rPr>
        <w:t>registraci a kontaktní údaje pro hlášení při podezření na nežádoucí účinky:</w:t>
      </w:r>
    </w:p>
    <w:p w14:paraId="339552FE" w14:textId="77777777" w:rsidR="00B86813" w:rsidRPr="005D6F59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bCs/>
          <w:szCs w:val="22"/>
        </w:rPr>
      </w:pPr>
      <w:proofErr w:type="spellStart"/>
      <w:r w:rsidRPr="005D6F59">
        <w:rPr>
          <w:bCs/>
          <w:szCs w:val="22"/>
        </w:rPr>
        <w:t>Ecuphar</w:t>
      </w:r>
      <w:proofErr w:type="spellEnd"/>
      <w:r w:rsidRPr="005D6F59">
        <w:rPr>
          <w:bCs/>
          <w:szCs w:val="22"/>
        </w:rPr>
        <w:t xml:space="preserve"> </w:t>
      </w:r>
      <w:proofErr w:type="spellStart"/>
      <w:r w:rsidRPr="005D6F59">
        <w:rPr>
          <w:bCs/>
          <w:szCs w:val="22"/>
        </w:rPr>
        <w:t>Veterinaria</w:t>
      </w:r>
      <w:proofErr w:type="spellEnd"/>
      <w:r w:rsidRPr="005D6F59">
        <w:rPr>
          <w:bCs/>
          <w:szCs w:val="22"/>
        </w:rPr>
        <w:t xml:space="preserve"> S.L.U.</w:t>
      </w:r>
    </w:p>
    <w:p w14:paraId="029DB637" w14:textId="77777777" w:rsidR="00B86813" w:rsidRPr="005D6F59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bCs/>
          <w:szCs w:val="22"/>
        </w:rPr>
      </w:pPr>
      <w:r w:rsidRPr="005D6F59">
        <w:rPr>
          <w:bCs/>
          <w:szCs w:val="22"/>
        </w:rPr>
        <w:lastRenderedPageBreak/>
        <w:t>C/</w:t>
      </w:r>
      <w:proofErr w:type="spellStart"/>
      <w:r w:rsidRPr="005D6F59">
        <w:rPr>
          <w:bCs/>
          <w:szCs w:val="22"/>
        </w:rPr>
        <w:t>Cerdanya</w:t>
      </w:r>
      <w:proofErr w:type="spellEnd"/>
      <w:r w:rsidRPr="005D6F59">
        <w:rPr>
          <w:bCs/>
          <w:szCs w:val="22"/>
        </w:rPr>
        <w:t>, 10-12 Planta 6º</w:t>
      </w:r>
    </w:p>
    <w:p w14:paraId="77640A95" w14:textId="77777777" w:rsidR="00B86813" w:rsidRPr="005D6F59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bCs/>
          <w:szCs w:val="22"/>
        </w:rPr>
      </w:pPr>
      <w:r w:rsidRPr="005D6F59">
        <w:rPr>
          <w:bCs/>
          <w:szCs w:val="22"/>
        </w:rPr>
        <w:t xml:space="preserve">08173 </w:t>
      </w:r>
      <w:proofErr w:type="spellStart"/>
      <w:r w:rsidRPr="005D6F59">
        <w:rPr>
          <w:bCs/>
          <w:szCs w:val="22"/>
        </w:rPr>
        <w:t>Sant</w:t>
      </w:r>
      <w:proofErr w:type="spellEnd"/>
      <w:r w:rsidRPr="005D6F59">
        <w:rPr>
          <w:bCs/>
          <w:szCs w:val="22"/>
        </w:rPr>
        <w:t xml:space="preserve"> </w:t>
      </w:r>
      <w:proofErr w:type="spellStart"/>
      <w:r w:rsidRPr="005D6F59">
        <w:rPr>
          <w:bCs/>
          <w:szCs w:val="22"/>
        </w:rPr>
        <w:t>Cugat</w:t>
      </w:r>
      <w:proofErr w:type="spellEnd"/>
      <w:r w:rsidRPr="005D6F59">
        <w:rPr>
          <w:bCs/>
          <w:szCs w:val="22"/>
        </w:rPr>
        <w:t xml:space="preserve"> </w:t>
      </w:r>
      <w:proofErr w:type="spellStart"/>
      <w:r w:rsidRPr="005D6F59">
        <w:rPr>
          <w:bCs/>
          <w:szCs w:val="22"/>
        </w:rPr>
        <w:t>del</w:t>
      </w:r>
      <w:proofErr w:type="spellEnd"/>
      <w:r w:rsidRPr="005D6F59">
        <w:rPr>
          <w:bCs/>
          <w:szCs w:val="22"/>
        </w:rPr>
        <w:t xml:space="preserve"> </w:t>
      </w:r>
      <w:proofErr w:type="spellStart"/>
      <w:r w:rsidRPr="005D6F59">
        <w:rPr>
          <w:bCs/>
          <w:szCs w:val="22"/>
        </w:rPr>
        <w:t>Valles</w:t>
      </w:r>
      <w:proofErr w:type="spellEnd"/>
    </w:p>
    <w:p w14:paraId="53F6F595" w14:textId="77777777" w:rsidR="00B86813" w:rsidRPr="005D6F59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bCs/>
          <w:szCs w:val="22"/>
        </w:rPr>
      </w:pPr>
      <w:r w:rsidRPr="005D6F59">
        <w:rPr>
          <w:bCs/>
          <w:szCs w:val="22"/>
        </w:rPr>
        <w:t>Barcelona</w:t>
      </w:r>
    </w:p>
    <w:p w14:paraId="443844D9" w14:textId="77777777" w:rsidR="00B86813" w:rsidRPr="005D6F59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bCs/>
          <w:szCs w:val="22"/>
        </w:rPr>
      </w:pPr>
      <w:r w:rsidRPr="005D6F59">
        <w:rPr>
          <w:bCs/>
          <w:szCs w:val="22"/>
        </w:rPr>
        <w:t>Španělsko</w:t>
      </w:r>
    </w:p>
    <w:p w14:paraId="38EEF89E" w14:textId="7D3FC8B8" w:rsidR="00725D7B" w:rsidRPr="005D6F59" w:rsidRDefault="00725D7B" w:rsidP="00625B2D">
      <w:pPr>
        <w:shd w:val="clear" w:color="auto" w:fill="FFFFFF"/>
        <w:tabs>
          <w:tab w:val="left" w:pos="567"/>
        </w:tabs>
        <w:ind w:right="-16"/>
        <w:jc w:val="both"/>
        <w:rPr>
          <w:bCs/>
          <w:szCs w:val="22"/>
        </w:rPr>
      </w:pPr>
      <w:r w:rsidRPr="005D6F59">
        <w:rPr>
          <w:bCs/>
          <w:szCs w:val="22"/>
        </w:rPr>
        <w:t>Tel: +34 935955000</w:t>
      </w:r>
    </w:p>
    <w:p w14:paraId="3DB60C01" w14:textId="77777777" w:rsidR="00B86813" w:rsidRPr="005D6F59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bCs/>
          <w:szCs w:val="22"/>
        </w:rPr>
      </w:pPr>
    </w:p>
    <w:p w14:paraId="0BF74DAB" w14:textId="77777777" w:rsidR="00DB09AD" w:rsidRPr="00625B2D" w:rsidRDefault="00DB09AD" w:rsidP="004F29C1">
      <w:pPr>
        <w:keepNext/>
        <w:shd w:val="clear" w:color="auto" w:fill="FFFFFF"/>
        <w:tabs>
          <w:tab w:val="left" w:pos="480"/>
        </w:tabs>
        <w:ind w:right="-17"/>
        <w:jc w:val="both"/>
        <w:rPr>
          <w:bCs/>
          <w:szCs w:val="22"/>
          <w:u w:val="single"/>
        </w:rPr>
      </w:pPr>
      <w:r w:rsidRPr="00625B2D">
        <w:rPr>
          <w:bCs/>
          <w:szCs w:val="22"/>
          <w:u w:val="single"/>
        </w:rPr>
        <w:t>Výrobce odpovědný za uvedení šarže na trhu:</w:t>
      </w:r>
    </w:p>
    <w:p w14:paraId="296B61A7" w14:textId="77777777" w:rsidR="00B86813" w:rsidRPr="005D6F59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bCs/>
          <w:szCs w:val="22"/>
        </w:rPr>
      </w:pPr>
      <w:proofErr w:type="spellStart"/>
      <w:r w:rsidRPr="005D6F59">
        <w:rPr>
          <w:bCs/>
          <w:szCs w:val="22"/>
        </w:rPr>
        <w:t>Zoetis</w:t>
      </w:r>
      <w:proofErr w:type="spellEnd"/>
      <w:r w:rsidRPr="005D6F59">
        <w:rPr>
          <w:bCs/>
          <w:szCs w:val="22"/>
        </w:rPr>
        <w:t xml:space="preserve"> </w:t>
      </w:r>
      <w:proofErr w:type="spellStart"/>
      <w:r w:rsidRPr="005D6F59">
        <w:rPr>
          <w:bCs/>
          <w:szCs w:val="22"/>
        </w:rPr>
        <w:t>Manufacturing</w:t>
      </w:r>
      <w:proofErr w:type="spellEnd"/>
      <w:r w:rsidRPr="005D6F59">
        <w:rPr>
          <w:bCs/>
          <w:szCs w:val="22"/>
        </w:rPr>
        <w:t xml:space="preserve"> &amp; </w:t>
      </w:r>
      <w:proofErr w:type="spellStart"/>
      <w:r w:rsidRPr="005D6F59">
        <w:rPr>
          <w:bCs/>
          <w:szCs w:val="22"/>
        </w:rPr>
        <w:t>Research</w:t>
      </w:r>
      <w:proofErr w:type="spellEnd"/>
      <w:r w:rsidRPr="005D6F59">
        <w:rPr>
          <w:bCs/>
          <w:szCs w:val="22"/>
        </w:rPr>
        <w:t xml:space="preserve"> Španělsko, S.L.</w:t>
      </w:r>
    </w:p>
    <w:p w14:paraId="178E16EB" w14:textId="77777777" w:rsidR="00B86813" w:rsidRPr="005D6F59" w:rsidRDefault="00B86813" w:rsidP="004F29C1">
      <w:pPr>
        <w:shd w:val="clear" w:color="auto" w:fill="FFFFFF"/>
        <w:tabs>
          <w:tab w:val="left" w:pos="480"/>
        </w:tabs>
        <w:ind w:right="-16"/>
        <w:jc w:val="both"/>
        <w:rPr>
          <w:bCs/>
          <w:szCs w:val="22"/>
        </w:rPr>
      </w:pPr>
      <w:proofErr w:type="spellStart"/>
      <w:r w:rsidRPr="005D6F59">
        <w:rPr>
          <w:bCs/>
          <w:szCs w:val="22"/>
        </w:rPr>
        <w:t>crta</w:t>
      </w:r>
      <w:proofErr w:type="spellEnd"/>
      <w:r w:rsidRPr="005D6F59">
        <w:rPr>
          <w:bCs/>
          <w:szCs w:val="22"/>
        </w:rPr>
        <w:t xml:space="preserve">. </w:t>
      </w:r>
      <w:proofErr w:type="spellStart"/>
      <w:r w:rsidRPr="005D6F59">
        <w:rPr>
          <w:bCs/>
          <w:szCs w:val="22"/>
        </w:rPr>
        <w:t>Camprodón</w:t>
      </w:r>
      <w:proofErr w:type="spellEnd"/>
      <w:r w:rsidRPr="005D6F59">
        <w:rPr>
          <w:bCs/>
          <w:szCs w:val="22"/>
        </w:rPr>
        <w:t xml:space="preserve"> s/n, 17813 </w:t>
      </w:r>
      <w:proofErr w:type="spellStart"/>
      <w:r w:rsidRPr="005D6F59">
        <w:rPr>
          <w:bCs/>
          <w:szCs w:val="22"/>
        </w:rPr>
        <w:t>Vall</w:t>
      </w:r>
      <w:proofErr w:type="spellEnd"/>
      <w:r w:rsidRPr="005D6F59">
        <w:rPr>
          <w:bCs/>
          <w:szCs w:val="22"/>
        </w:rPr>
        <w:t xml:space="preserve"> de </w:t>
      </w:r>
      <w:proofErr w:type="spellStart"/>
      <w:r w:rsidRPr="005D6F59">
        <w:rPr>
          <w:bCs/>
          <w:szCs w:val="22"/>
        </w:rPr>
        <w:t>Bianya</w:t>
      </w:r>
      <w:proofErr w:type="spellEnd"/>
      <w:r w:rsidRPr="005D6F59">
        <w:rPr>
          <w:bCs/>
          <w:szCs w:val="22"/>
        </w:rPr>
        <w:t xml:space="preserve"> (</w:t>
      </w:r>
      <w:proofErr w:type="spellStart"/>
      <w:r w:rsidRPr="005D6F59">
        <w:rPr>
          <w:bCs/>
          <w:szCs w:val="22"/>
        </w:rPr>
        <w:t>Girona</w:t>
      </w:r>
      <w:proofErr w:type="spellEnd"/>
      <w:r w:rsidRPr="005D6F59">
        <w:rPr>
          <w:bCs/>
          <w:szCs w:val="22"/>
        </w:rPr>
        <w:t>)</w:t>
      </w:r>
    </w:p>
    <w:p w14:paraId="1AEBCD4C" w14:textId="3E6FE9C5" w:rsidR="00322C83" w:rsidRPr="00660BB6" w:rsidRDefault="00B86813" w:rsidP="00625B2D">
      <w:pPr>
        <w:shd w:val="clear" w:color="auto" w:fill="FFFFFF"/>
        <w:tabs>
          <w:tab w:val="left" w:pos="480"/>
        </w:tabs>
        <w:ind w:right="-16"/>
        <w:jc w:val="both"/>
      </w:pPr>
      <w:r w:rsidRPr="005D6F59">
        <w:rPr>
          <w:bCs/>
          <w:szCs w:val="22"/>
        </w:rPr>
        <w:t>Španělsko</w:t>
      </w:r>
    </w:p>
    <w:sectPr w:rsidR="00322C83" w:rsidRPr="00660BB6" w:rsidSect="000F721E">
      <w:footerReference w:type="default" r:id="rId16"/>
      <w:headerReference w:type="first" r:id="rId17"/>
      <w:footerReference w:type="first" r:id="rId1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17959" w14:textId="77777777" w:rsidR="00096681" w:rsidRDefault="00096681">
      <w:r>
        <w:separator/>
      </w:r>
    </w:p>
  </w:endnote>
  <w:endnote w:type="continuationSeparator" w:id="0">
    <w:p w14:paraId="2BF56059" w14:textId="77777777" w:rsidR="00096681" w:rsidRDefault="0009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5BC2" w14:textId="77777777" w:rsidR="00A26C38" w:rsidRDefault="00A26C38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E6B14CA" w14:textId="77777777" w:rsidR="00A26C38" w:rsidRDefault="00A26C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86813"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4F4B" w14:textId="77777777" w:rsidR="00A26C38" w:rsidRDefault="00A26C38">
    <w:pPr>
      <w:pStyle w:val="Zpat"/>
      <w:tabs>
        <w:tab w:val="clear" w:pos="8930"/>
        <w:tab w:val="right" w:pos="8931"/>
      </w:tabs>
    </w:pPr>
  </w:p>
  <w:p w14:paraId="43B8F133" w14:textId="77777777" w:rsidR="00A26C38" w:rsidRDefault="00A26C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8681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97FA" w14:textId="77777777" w:rsidR="00096681" w:rsidRDefault="00096681">
      <w:r>
        <w:separator/>
      </w:r>
    </w:p>
  </w:footnote>
  <w:footnote w:type="continuationSeparator" w:id="0">
    <w:p w14:paraId="7A8C19FE" w14:textId="77777777" w:rsidR="00096681" w:rsidRDefault="0009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F284" w14:textId="77777777" w:rsidR="00BE217B" w:rsidRDefault="00BE21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A45754C"/>
    <w:multiLevelType w:val="singleLevel"/>
    <w:tmpl w:val="EF8EDB0E"/>
    <w:lvl w:ilvl="0">
      <w:start w:val="7"/>
      <w:numFmt w:val="decimal"/>
      <w:lvlText w:val="%1."/>
      <w:legacy w:legacy="1" w:legacySpace="0" w:legacyIndent="567"/>
      <w:lvlJc w:val="left"/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04F2BB6"/>
    <w:multiLevelType w:val="hybridMultilevel"/>
    <w:tmpl w:val="3DA2D75C"/>
    <w:lvl w:ilvl="0" w:tplc="EF8EDB0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9E0CD4"/>
    <w:multiLevelType w:val="hybridMultilevel"/>
    <w:tmpl w:val="639824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8E4757"/>
    <w:multiLevelType w:val="hybridMultilevel"/>
    <w:tmpl w:val="54DE56E4"/>
    <w:lvl w:ilvl="0" w:tplc="EF8EDB0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92FE0"/>
    <w:multiLevelType w:val="hybridMultilevel"/>
    <w:tmpl w:val="D26AD53A"/>
    <w:lvl w:ilvl="0" w:tplc="EF8EDB0E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4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9"/>
  </w:num>
  <w:num w:numId="5">
    <w:abstractNumId w:val="38"/>
  </w:num>
  <w:num w:numId="6">
    <w:abstractNumId w:val="13"/>
  </w:num>
  <w:num w:numId="7">
    <w:abstractNumId w:val="25"/>
  </w:num>
  <w:num w:numId="8">
    <w:abstractNumId w:val="24"/>
  </w:num>
  <w:num w:numId="9">
    <w:abstractNumId w:val="7"/>
  </w:num>
  <w:num w:numId="10">
    <w:abstractNumId w:val="36"/>
  </w:num>
  <w:num w:numId="11">
    <w:abstractNumId w:val="37"/>
  </w:num>
  <w:num w:numId="12">
    <w:abstractNumId w:val="18"/>
  </w:num>
  <w:num w:numId="13">
    <w:abstractNumId w:val="15"/>
  </w:num>
  <w:num w:numId="14">
    <w:abstractNumId w:val="2"/>
  </w:num>
  <w:num w:numId="15">
    <w:abstractNumId w:val="35"/>
  </w:num>
  <w:num w:numId="16">
    <w:abstractNumId w:val="22"/>
  </w:num>
  <w:num w:numId="17">
    <w:abstractNumId w:val="40"/>
  </w:num>
  <w:num w:numId="18">
    <w:abstractNumId w:val="8"/>
  </w:num>
  <w:num w:numId="19">
    <w:abstractNumId w:val="1"/>
  </w:num>
  <w:num w:numId="20">
    <w:abstractNumId w:val="20"/>
  </w:num>
  <w:num w:numId="21">
    <w:abstractNumId w:val="3"/>
  </w:num>
  <w:num w:numId="22">
    <w:abstractNumId w:val="5"/>
  </w:num>
  <w:num w:numId="23">
    <w:abstractNumId w:val="29"/>
  </w:num>
  <w:num w:numId="24">
    <w:abstractNumId w:val="12"/>
  </w:num>
  <w:num w:numId="25">
    <w:abstractNumId w:val="34"/>
  </w:num>
  <w:num w:numId="26">
    <w:abstractNumId w:val="28"/>
  </w:num>
  <w:num w:numId="27">
    <w:abstractNumId w:val="14"/>
  </w:num>
  <w:num w:numId="28">
    <w:abstractNumId w:val="10"/>
  </w:num>
  <w:num w:numId="29">
    <w:abstractNumId w:val="23"/>
  </w:num>
  <w:num w:numId="30">
    <w:abstractNumId w:val="26"/>
  </w:num>
  <w:num w:numId="31">
    <w:abstractNumId w:val="16"/>
  </w:num>
  <w:num w:numId="32">
    <w:abstractNumId w:val="9"/>
  </w:num>
  <w:num w:numId="33">
    <w:abstractNumId w:val="32"/>
  </w:num>
  <w:num w:numId="34">
    <w:abstractNumId w:val="33"/>
  </w:num>
  <w:num w:numId="35">
    <w:abstractNumId w:val="31"/>
  </w:num>
  <w:num w:numId="36">
    <w:abstractNumId w:val="17"/>
  </w:num>
  <w:num w:numId="37">
    <w:abstractNumId w:val="4"/>
  </w:num>
  <w:num w:numId="38">
    <w:abstractNumId w:val="41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27"/>
  </w:num>
  <w:num w:numId="42">
    <w:abstractNumId w:val="11"/>
  </w:num>
  <w:num w:numId="43">
    <w:abstractNumId w:val="2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0F721E"/>
    <w:rsid w:val="00010BD9"/>
    <w:rsid w:val="00096681"/>
    <w:rsid w:val="000C217F"/>
    <w:rsid w:val="000F721E"/>
    <w:rsid w:val="00162E47"/>
    <w:rsid w:val="001770B0"/>
    <w:rsid w:val="00194C67"/>
    <w:rsid w:val="001A4B2D"/>
    <w:rsid w:val="001D2C4E"/>
    <w:rsid w:val="001D44C3"/>
    <w:rsid w:val="001D5B63"/>
    <w:rsid w:val="001F00F1"/>
    <w:rsid w:val="00220A8A"/>
    <w:rsid w:val="002377C3"/>
    <w:rsid w:val="002D098C"/>
    <w:rsid w:val="002D17E2"/>
    <w:rsid w:val="00304E8A"/>
    <w:rsid w:val="00322C83"/>
    <w:rsid w:val="003D3865"/>
    <w:rsid w:val="0040647E"/>
    <w:rsid w:val="00421AAF"/>
    <w:rsid w:val="00431D81"/>
    <w:rsid w:val="00432DC9"/>
    <w:rsid w:val="00445517"/>
    <w:rsid w:val="004548D5"/>
    <w:rsid w:val="004E30FD"/>
    <w:rsid w:val="004F29C1"/>
    <w:rsid w:val="00527C87"/>
    <w:rsid w:val="005525E5"/>
    <w:rsid w:val="00556D3C"/>
    <w:rsid w:val="00556E42"/>
    <w:rsid w:val="005D6F59"/>
    <w:rsid w:val="0060045B"/>
    <w:rsid w:val="00615459"/>
    <w:rsid w:val="00625B2D"/>
    <w:rsid w:val="00630071"/>
    <w:rsid w:val="006479CD"/>
    <w:rsid w:val="0065113A"/>
    <w:rsid w:val="00660BB6"/>
    <w:rsid w:val="00660BD7"/>
    <w:rsid w:val="00663D40"/>
    <w:rsid w:val="00694EB9"/>
    <w:rsid w:val="006E7EF4"/>
    <w:rsid w:val="00714381"/>
    <w:rsid w:val="00723309"/>
    <w:rsid w:val="00725D7B"/>
    <w:rsid w:val="00770FD9"/>
    <w:rsid w:val="007D26A1"/>
    <w:rsid w:val="007E1A9C"/>
    <w:rsid w:val="0080006C"/>
    <w:rsid w:val="008143D5"/>
    <w:rsid w:val="00836FDA"/>
    <w:rsid w:val="0085109E"/>
    <w:rsid w:val="00865D41"/>
    <w:rsid w:val="0087388F"/>
    <w:rsid w:val="008C2118"/>
    <w:rsid w:val="008C4BE0"/>
    <w:rsid w:val="008C52C7"/>
    <w:rsid w:val="00915A5E"/>
    <w:rsid w:val="00933FF0"/>
    <w:rsid w:val="00937FBD"/>
    <w:rsid w:val="00946366"/>
    <w:rsid w:val="0097021D"/>
    <w:rsid w:val="009755AA"/>
    <w:rsid w:val="00A26C38"/>
    <w:rsid w:val="00A64EC8"/>
    <w:rsid w:val="00A81D35"/>
    <w:rsid w:val="00AC6066"/>
    <w:rsid w:val="00B64E2C"/>
    <w:rsid w:val="00B86813"/>
    <w:rsid w:val="00BA4F05"/>
    <w:rsid w:val="00BE217B"/>
    <w:rsid w:val="00BF387C"/>
    <w:rsid w:val="00CA355F"/>
    <w:rsid w:val="00CC42AB"/>
    <w:rsid w:val="00D955AC"/>
    <w:rsid w:val="00DB09AD"/>
    <w:rsid w:val="00E23D8C"/>
    <w:rsid w:val="00E433D8"/>
    <w:rsid w:val="00E56387"/>
    <w:rsid w:val="00E6157E"/>
    <w:rsid w:val="00EA4088"/>
    <w:rsid w:val="00ED02B5"/>
    <w:rsid w:val="00ED5962"/>
    <w:rsid w:val="00EF1C5A"/>
    <w:rsid w:val="00F053E9"/>
    <w:rsid w:val="00F35909"/>
    <w:rsid w:val="00F35FC3"/>
    <w:rsid w:val="00F73BAE"/>
    <w:rsid w:val="00F93C12"/>
    <w:rsid w:val="00FC24D6"/>
    <w:rsid w:val="00FD0307"/>
    <w:rsid w:val="00FD65D6"/>
    <w:rsid w:val="00F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357C6"/>
  <w15:chartTrackingRefBased/>
  <w15:docId w15:val="{85129103-09DA-40C4-A90F-90495A55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46D70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E46D7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E46D7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E46D7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E46D70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E46D70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E46D7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E46D7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E46D70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E46D70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6D70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E46D70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E46D70"/>
    <w:pPr>
      <w:ind w:left="1760"/>
    </w:pPr>
  </w:style>
  <w:style w:type="character" w:styleId="Odkaznavysvtlivky">
    <w:name w:val="endnote reference"/>
    <w:rsid w:val="00E46D70"/>
    <w:rPr>
      <w:vertAlign w:val="superscript"/>
    </w:rPr>
  </w:style>
  <w:style w:type="character" w:styleId="Znakapoznpodarou">
    <w:name w:val="footnote reference"/>
    <w:rsid w:val="00E46D70"/>
    <w:rPr>
      <w:vertAlign w:val="superscript"/>
    </w:rPr>
  </w:style>
  <w:style w:type="paragraph" w:styleId="Textpoznpodarou">
    <w:name w:val="footnote text"/>
    <w:basedOn w:val="Normln"/>
    <w:rsid w:val="00E46D70"/>
    <w:pPr>
      <w:jc w:val="both"/>
    </w:pPr>
    <w:rPr>
      <w:sz w:val="20"/>
    </w:rPr>
  </w:style>
  <w:style w:type="paragraph" w:styleId="Zkladntext">
    <w:name w:val="Body Text"/>
    <w:basedOn w:val="Normln"/>
    <w:rsid w:val="00E46D70"/>
    <w:pPr>
      <w:jc w:val="both"/>
    </w:pPr>
  </w:style>
  <w:style w:type="paragraph" w:styleId="Textvbloku">
    <w:name w:val="Block Text"/>
    <w:basedOn w:val="Normln"/>
    <w:rsid w:val="00E46D70"/>
    <w:pPr>
      <w:ind w:left="2268" w:right="1711"/>
    </w:pPr>
    <w:rPr>
      <w:b/>
    </w:rPr>
  </w:style>
  <w:style w:type="paragraph" w:styleId="Zkladntext2">
    <w:name w:val="Body Text 2"/>
    <w:basedOn w:val="Normln"/>
    <w:rsid w:val="00E46D70"/>
    <w:rPr>
      <w:b/>
    </w:rPr>
  </w:style>
  <w:style w:type="paragraph" w:styleId="Zkladntext3">
    <w:name w:val="Body Text 3"/>
    <w:basedOn w:val="Normln"/>
    <w:rsid w:val="00E46D70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E46D70"/>
  </w:style>
  <w:style w:type="character" w:styleId="Odkaznakoment">
    <w:name w:val="annotation reference"/>
    <w:rsid w:val="00E46D70"/>
    <w:rPr>
      <w:sz w:val="16"/>
    </w:rPr>
  </w:style>
  <w:style w:type="paragraph" w:styleId="Zkladntextodsazen2">
    <w:name w:val="Body Text Indent 2"/>
    <w:basedOn w:val="Normln"/>
    <w:rsid w:val="00E46D70"/>
    <w:pPr>
      <w:jc w:val="both"/>
    </w:pPr>
    <w:rPr>
      <w:b/>
    </w:rPr>
  </w:style>
  <w:style w:type="paragraph" w:styleId="Textkomente">
    <w:name w:val="annotation text"/>
    <w:basedOn w:val="Normln"/>
    <w:rsid w:val="00E46D70"/>
    <w:rPr>
      <w:sz w:val="20"/>
    </w:rPr>
  </w:style>
  <w:style w:type="paragraph" w:styleId="Zkladntextodsazen3">
    <w:name w:val="Body Text Indent 3"/>
    <w:basedOn w:val="Normln"/>
    <w:rsid w:val="00E46D70"/>
  </w:style>
  <w:style w:type="paragraph" w:customStyle="1" w:styleId="Bullet">
    <w:name w:val="Bullet"/>
    <w:basedOn w:val="Normln"/>
    <w:rsid w:val="00E46D70"/>
    <w:pPr>
      <w:numPr>
        <w:numId w:val="2"/>
      </w:numPr>
    </w:pPr>
  </w:style>
  <w:style w:type="paragraph" w:styleId="Textbubliny">
    <w:name w:val="Balloon Text"/>
    <w:basedOn w:val="Normln"/>
    <w:rsid w:val="00E46D70"/>
    <w:rPr>
      <w:rFonts w:ascii="Tahoma" w:hAnsi="Tahoma" w:cs="Tahoma"/>
      <w:sz w:val="16"/>
      <w:szCs w:val="16"/>
    </w:rPr>
  </w:style>
  <w:style w:type="character" w:styleId="Hypertextovodkaz">
    <w:name w:val="Hyperlink"/>
    <w:rsid w:val="00E46D70"/>
    <w:rPr>
      <w:color w:val="0000FF"/>
      <w:u w:val="single"/>
    </w:rPr>
  </w:style>
  <w:style w:type="paragraph" w:customStyle="1" w:styleId="AHeader1">
    <w:name w:val="AHeader 1"/>
    <w:basedOn w:val="Normln"/>
    <w:rsid w:val="00E46D70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E46D7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E46D7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E46D7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E46D7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E46D70"/>
    <w:rPr>
      <w:color w:val="800080"/>
      <w:u w:val="single"/>
    </w:rPr>
  </w:style>
  <w:style w:type="paragraph" w:customStyle="1" w:styleId="Style1">
    <w:name w:val="Style1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2">
    <w:name w:val="Style2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3">
    <w:name w:val="Style3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4">
    <w:name w:val="Style4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6">
    <w:name w:val="Style6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8">
    <w:name w:val="Style8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9">
    <w:name w:val="Style9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character" w:customStyle="1" w:styleId="FontStyle11">
    <w:name w:val="Font Style11"/>
    <w:rsid w:val="00E46D70"/>
    <w:rPr>
      <w:rFonts w:ascii="Times New Roman" w:hAnsi="Times New Roman" w:cs="Times New Roman" w:hint="default"/>
      <w:sz w:val="20"/>
      <w:szCs w:val="20"/>
      <w:lang w:bidi="he-IL"/>
    </w:rPr>
  </w:style>
  <w:style w:type="character" w:customStyle="1" w:styleId="FontStyle12">
    <w:name w:val="Font Style12"/>
    <w:rsid w:val="00E46D70"/>
    <w:rPr>
      <w:rFonts w:ascii="Times New Roman" w:hAnsi="Times New Roman" w:cs="Times New Roman" w:hint="default"/>
      <w:i/>
      <w:iCs/>
      <w:sz w:val="20"/>
      <w:szCs w:val="20"/>
      <w:lang w:bidi="he-IL"/>
    </w:rPr>
  </w:style>
  <w:style w:type="character" w:customStyle="1" w:styleId="FontStyle13">
    <w:name w:val="Font Style13"/>
    <w:rsid w:val="00E46D70"/>
    <w:rPr>
      <w:rFonts w:ascii="Times New Roman" w:hAnsi="Times New Roman" w:cs="Times New Roman" w:hint="default"/>
      <w:sz w:val="22"/>
      <w:szCs w:val="22"/>
      <w:lang w:bidi="he-IL"/>
    </w:rPr>
  </w:style>
  <w:style w:type="paragraph" w:customStyle="1" w:styleId="texte">
    <w:name w:val="texte"/>
    <w:basedOn w:val="Normln"/>
    <w:rsid w:val="00555DB3"/>
    <w:pPr>
      <w:ind w:left="426" w:firstLine="0"/>
    </w:pPr>
    <w:rPr>
      <w:rFonts w:ascii="Palatino" w:hAnsi="Palatino"/>
      <w:noProof/>
      <w:sz w:val="24"/>
      <w:lang w:val="en-US"/>
    </w:rPr>
  </w:style>
  <w:style w:type="paragraph" w:styleId="Normlnweb">
    <w:name w:val="Normal (Web)"/>
    <w:basedOn w:val="Normln"/>
    <w:rsid w:val="007D26A1"/>
    <w:pPr>
      <w:spacing w:before="96" w:after="96"/>
      <w:ind w:left="0" w:firstLine="0"/>
    </w:pPr>
    <w:rPr>
      <w:sz w:val="24"/>
      <w:szCs w:val="24"/>
      <w:lang w:eastAsia="cs-CZ"/>
    </w:rPr>
  </w:style>
  <w:style w:type="paragraph" w:customStyle="1" w:styleId="Style5">
    <w:name w:val="Style5"/>
    <w:basedOn w:val="Normln"/>
    <w:rsid w:val="00322C83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7">
    <w:name w:val="Style7"/>
    <w:basedOn w:val="Normln"/>
    <w:rsid w:val="00322C83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40">
    <w:name w:val="style4"/>
    <w:basedOn w:val="Normln"/>
    <w:rsid w:val="00322C83"/>
    <w:pPr>
      <w:autoSpaceDE w:val="0"/>
      <w:autoSpaceDN w:val="0"/>
      <w:ind w:left="0" w:firstLine="0"/>
    </w:pPr>
    <w:rPr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A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0BD7"/>
    <w:pPr>
      <w:spacing w:after="160" w:line="259" w:lineRule="auto"/>
      <w:ind w:left="720" w:firstLine="0"/>
      <w:contextualSpacing/>
    </w:pPr>
    <w:rPr>
      <w:rFonts w:ascii="Calibri" w:eastAsia="Calibri" w:hAnsi="Calibri"/>
      <w:szCs w:val="22"/>
      <w:lang w:val="es-ES"/>
    </w:rPr>
  </w:style>
  <w:style w:type="paragraph" w:styleId="Revize">
    <w:name w:val="Revision"/>
    <w:hidden/>
    <w:semiHidden/>
    <w:rsid w:val="00937FBD"/>
    <w:rPr>
      <w:sz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A3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dr@uskvbl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skvbl.c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Z4PXVSVYZU5C-2096723118-6434</_dlc_DocId>
    <_dlc_DocIdUrl xmlns="48f01c77-f52b-4e3c-9d55-32246b80b46f">
      <Url>https://ecucare.sharepoint.com/sites/VeevaVault/_layouts/15/DocIdRedir.aspx?ID=Z4PXVSVYZU5C-2096723118-6434</Url>
      <Description>Z4PXVSVYZU5C-2096723118-6434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8AA10658134C41A8ADB68CD388A6E7" ma:contentTypeVersion="8" ma:contentTypeDescription="Crear nuevo documento." ma:contentTypeScope="" ma:versionID="33d3ad69f95ad7e281168e3890d76583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666f17b9a4023992e05add232b0eef7c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3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F89D-950E-435E-B43D-D231B92B0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C6CB0-91B4-4720-B42A-AB0BC71898E5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3.xml><?xml version="1.0" encoding="utf-8"?>
<ds:datastoreItem xmlns:ds="http://schemas.openxmlformats.org/officeDocument/2006/customXml" ds:itemID="{D88963CE-2D60-44B1-B212-7B76B2766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3CB9B7-534A-4606-BB04-87A1215E58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7A433B-B718-484C-AFA1-73CB00EB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1774</Words>
  <Characters>10473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Šťastná Hana</dc:creator>
  <cp:keywords/>
  <dc:description/>
  <cp:lastModifiedBy>Neugebauerová Kateřina</cp:lastModifiedBy>
  <cp:revision>19</cp:revision>
  <cp:lastPrinted>2025-02-10T10:00:00Z</cp:lastPrinted>
  <dcterms:created xsi:type="dcterms:W3CDTF">2024-11-06T13:12:00Z</dcterms:created>
  <dcterms:modified xsi:type="dcterms:W3CDTF">2025-02-10T10:00:00Z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0x010100858AA10658134C41A8ADB68CD388A6E7</vt:lpwstr>
  </property>
  <property fmtid="{D5CDD505-2E9C-101B-9397-08002B2CF9AE}" pid="35" name="_dlc_DocIdItemGuid">
    <vt:lpwstr>44b26f69-56eb-4699-bea2-e97c30447759</vt:lpwstr>
  </property>
</Properties>
</file>