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05965"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bookmarkStart w:id="0" w:name="_GoBack"/>
      <w:bookmarkEnd w:id="0"/>
    </w:p>
    <w:p w14:paraId="4EA27BDD"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4A76B702"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4757ACE1"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99015D3"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77A1EA35"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9A2FA0D"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C5F95DF"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A055AFD"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5A80609E"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A077CE5"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5C4F1B75"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61DD2F2B"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7D677263"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49C4424"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79EEDC6F"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5B8B99D7"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599AF57"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43E8551A"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43159EA3"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2F73A50A"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28F319A"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4A6E8091"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C47072F"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BEB4BA7" w14:textId="77777777" w:rsidR="00505965" w:rsidRPr="00505965" w:rsidRDefault="00505965" w:rsidP="00505965">
      <w:pPr>
        <w:spacing w:after="0" w:line="240" w:lineRule="auto"/>
        <w:jc w:val="center"/>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14:ligatures w14:val="none"/>
        </w:rPr>
        <w:t>PŘÍBALOVÁ INFORMACE</w:t>
      </w:r>
    </w:p>
    <w:p w14:paraId="2CC1F446" w14:textId="77777777" w:rsidR="00505965" w:rsidRPr="00505965" w:rsidRDefault="00505965" w:rsidP="00505965">
      <w:pPr>
        <w:spacing w:after="0" w:line="240" w:lineRule="auto"/>
        <w:jc w:val="center"/>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szCs w:val="20"/>
          <w14:ligatures w14:val="none"/>
        </w:rPr>
        <w:br w:type="page"/>
      </w:r>
      <w:r w:rsidRPr="00505965">
        <w:rPr>
          <w:rFonts w:ascii="Times New Roman" w:eastAsia="Times New Roman" w:hAnsi="Times New Roman" w:cs="Times New Roman"/>
          <w:b/>
          <w:kern w:val="0"/>
          <w14:ligatures w14:val="none"/>
        </w:rPr>
        <w:lastRenderedPageBreak/>
        <w:t>PŘÍBALOVÁ INFORMACE</w:t>
      </w:r>
    </w:p>
    <w:p w14:paraId="27C4FA85"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4ACB9908"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7FBAA424"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w:t>
      </w:r>
      <w:r w:rsidRPr="00505965">
        <w:rPr>
          <w:rFonts w:ascii="Times New Roman" w:eastAsia="Times New Roman" w:hAnsi="Times New Roman" w:cs="Times New Roman"/>
          <w:b/>
          <w:kern w:val="0"/>
          <w14:ligatures w14:val="none"/>
        </w:rPr>
        <w:tab/>
        <w:t>Název veterinárního léčivého přípravku</w:t>
      </w:r>
    </w:p>
    <w:p w14:paraId="3637E9EC"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A15CB7E"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roofErr w:type="spellStart"/>
      <w:r w:rsidRPr="00505965">
        <w:rPr>
          <w:rFonts w:ascii="Times New Roman" w:eastAsia="Times New Roman" w:hAnsi="Times New Roman" w:cs="Times New Roman"/>
          <w:kern w:val="0"/>
          <w:szCs w:val="20"/>
          <w14:ligatures w14:val="none"/>
        </w:rPr>
        <w:t>PolyVar</w:t>
      </w:r>
      <w:proofErr w:type="spellEnd"/>
      <w:r w:rsidRPr="00505965">
        <w:rPr>
          <w:rFonts w:ascii="Times New Roman" w:eastAsia="Times New Roman" w:hAnsi="Times New Roman" w:cs="Times New Roman"/>
          <w:kern w:val="0"/>
          <w:szCs w:val="20"/>
          <w14:ligatures w14:val="none"/>
        </w:rPr>
        <w:t xml:space="preserve"> </w:t>
      </w:r>
      <w:proofErr w:type="spellStart"/>
      <w:r w:rsidRPr="00505965">
        <w:rPr>
          <w:rFonts w:ascii="Times New Roman" w:eastAsia="Times New Roman" w:hAnsi="Times New Roman" w:cs="Times New Roman"/>
          <w:kern w:val="0"/>
          <w:szCs w:val="20"/>
          <w14:ligatures w14:val="none"/>
        </w:rPr>
        <w:t>Yellow</w:t>
      </w:r>
      <w:proofErr w:type="spellEnd"/>
      <w:r w:rsidRPr="00505965">
        <w:rPr>
          <w:rFonts w:ascii="Times New Roman" w:eastAsia="Times New Roman" w:hAnsi="Times New Roman" w:cs="Times New Roman"/>
          <w:kern w:val="0"/>
          <w:szCs w:val="20"/>
          <w14:ligatures w14:val="none"/>
        </w:rPr>
        <w:t xml:space="preserve"> 275 mg proužek do úlu</w:t>
      </w:r>
    </w:p>
    <w:p w14:paraId="512C628F"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2ECDF439"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2E1EF43E"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2.</w:t>
      </w:r>
      <w:r w:rsidRPr="00505965">
        <w:rPr>
          <w:rFonts w:ascii="Times New Roman" w:eastAsia="Times New Roman" w:hAnsi="Times New Roman" w:cs="Times New Roman"/>
          <w:b/>
          <w:kern w:val="0"/>
          <w14:ligatures w14:val="none"/>
        </w:rPr>
        <w:tab/>
        <w:t>Složení</w:t>
      </w:r>
    </w:p>
    <w:p w14:paraId="748CB793"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556B866D" w14:textId="758B023A"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Každý proužek do úlu obsahuje:</w:t>
      </w:r>
    </w:p>
    <w:p w14:paraId="1910DF8A"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375C5FBD" w14:textId="77777777" w:rsidR="00505965" w:rsidRPr="00505965" w:rsidRDefault="00505965" w:rsidP="00505965">
      <w:pPr>
        <w:spacing w:after="0" w:line="240" w:lineRule="auto"/>
        <w:rPr>
          <w:rFonts w:ascii="Times New Roman" w:eastAsia="Times New Roman" w:hAnsi="Times New Roman" w:cs="Times New Roman"/>
          <w:b/>
          <w:bCs/>
          <w:kern w:val="0"/>
          <w14:ligatures w14:val="none"/>
        </w:rPr>
      </w:pPr>
      <w:r w:rsidRPr="00505965">
        <w:rPr>
          <w:rFonts w:ascii="Times New Roman" w:eastAsia="Times New Roman" w:hAnsi="Times New Roman" w:cs="Times New Roman"/>
          <w:b/>
          <w:bCs/>
          <w:kern w:val="0"/>
          <w14:ligatures w14:val="none"/>
        </w:rPr>
        <w:t>Léčivá látka:</w:t>
      </w:r>
    </w:p>
    <w:p w14:paraId="2029D478"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roofErr w:type="spellStart"/>
      <w:r w:rsidRPr="00505965">
        <w:rPr>
          <w:rFonts w:ascii="Times New Roman" w:eastAsia="Times New Roman" w:hAnsi="Times New Roman" w:cs="Times New Roman"/>
          <w:kern w:val="0"/>
          <w14:ligatures w14:val="none"/>
        </w:rPr>
        <w:t>Flumethrinum</w:t>
      </w:r>
      <w:proofErr w:type="spellEnd"/>
      <w:r w:rsidRPr="00505965">
        <w:rPr>
          <w:rFonts w:ascii="Times New Roman" w:eastAsia="Times New Roman" w:hAnsi="Times New Roman" w:cs="Times New Roman"/>
          <w:kern w:val="0"/>
          <w14:ligatures w14:val="none"/>
        </w:rPr>
        <w:t xml:space="preserve">   275 mg</w:t>
      </w:r>
    </w:p>
    <w:p w14:paraId="7FC8B577"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51E68712" w14:textId="77777777" w:rsid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Žluté plastové proužky s 15 otvory.</w:t>
      </w:r>
    </w:p>
    <w:p w14:paraId="1685821E" w14:textId="77777777" w:rsidR="00770913" w:rsidRPr="00505965" w:rsidRDefault="00770913" w:rsidP="00505965">
      <w:pPr>
        <w:spacing w:after="0" w:line="240" w:lineRule="auto"/>
        <w:rPr>
          <w:rFonts w:ascii="Times New Roman" w:eastAsia="Times New Roman" w:hAnsi="Times New Roman" w:cs="Times New Roman"/>
          <w:kern w:val="0"/>
          <w14:ligatures w14:val="none"/>
        </w:rPr>
      </w:pPr>
    </w:p>
    <w:p w14:paraId="13D8ACA9"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7A64912E"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3.</w:t>
      </w:r>
      <w:r w:rsidRPr="00505965">
        <w:rPr>
          <w:rFonts w:ascii="Times New Roman" w:eastAsia="Times New Roman" w:hAnsi="Times New Roman" w:cs="Times New Roman"/>
          <w:b/>
          <w:kern w:val="0"/>
          <w14:ligatures w14:val="none"/>
        </w:rPr>
        <w:tab/>
        <w:t>Cílové druhy zvířat</w:t>
      </w:r>
    </w:p>
    <w:p w14:paraId="7F227DFB"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6947F227" w14:textId="49993019" w:rsidR="00505965" w:rsidRPr="00505965" w:rsidRDefault="00505965" w:rsidP="00505965">
      <w:pPr>
        <w:tabs>
          <w:tab w:val="left" w:pos="567"/>
        </w:tabs>
        <w:spacing w:after="0" w:line="260" w:lineRule="exact"/>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Včely medonosné</w:t>
      </w:r>
      <w:r w:rsidR="00FB02CA">
        <w:rPr>
          <w:rFonts w:ascii="Times New Roman" w:eastAsia="Times New Roman" w:hAnsi="Times New Roman" w:cs="Times New Roman"/>
          <w:kern w:val="0"/>
          <w:szCs w:val="20"/>
          <w14:ligatures w14:val="none"/>
        </w:rPr>
        <w:t xml:space="preserve"> </w:t>
      </w:r>
      <w:r w:rsidRPr="00505965">
        <w:rPr>
          <w:rFonts w:ascii="Times New Roman" w:eastAsia="Times New Roman" w:hAnsi="Times New Roman" w:cs="Times New Roman"/>
          <w:kern w:val="0"/>
          <w:szCs w:val="20"/>
          <w14:ligatures w14:val="none"/>
        </w:rPr>
        <w:t>(</w:t>
      </w:r>
      <w:proofErr w:type="spellStart"/>
      <w:r w:rsidRPr="00505965">
        <w:rPr>
          <w:rFonts w:ascii="Times New Roman" w:eastAsia="Times New Roman" w:hAnsi="Times New Roman" w:cs="Times New Roman"/>
          <w:i/>
          <w:iCs/>
          <w:kern w:val="0"/>
          <w:szCs w:val="20"/>
          <w14:ligatures w14:val="none"/>
        </w:rPr>
        <w:t>Apis</w:t>
      </w:r>
      <w:proofErr w:type="spellEnd"/>
      <w:r w:rsidRPr="00505965">
        <w:rPr>
          <w:rFonts w:ascii="Times New Roman" w:eastAsia="Times New Roman" w:hAnsi="Times New Roman" w:cs="Times New Roman"/>
          <w:i/>
          <w:iCs/>
          <w:kern w:val="0"/>
          <w:szCs w:val="20"/>
          <w14:ligatures w14:val="none"/>
        </w:rPr>
        <w:t xml:space="preserve"> </w:t>
      </w:r>
      <w:proofErr w:type="spellStart"/>
      <w:r w:rsidRPr="00505965">
        <w:rPr>
          <w:rFonts w:ascii="Times New Roman" w:eastAsia="Times New Roman" w:hAnsi="Times New Roman" w:cs="Times New Roman"/>
          <w:i/>
          <w:iCs/>
          <w:kern w:val="0"/>
          <w:szCs w:val="20"/>
          <w14:ligatures w14:val="none"/>
        </w:rPr>
        <w:t>mellifera</w:t>
      </w:r>
      <w:proofErr w:type="spellEnd"/>
      <w:r w:rsidRPr="00505965">
        <w:rPr>
          <w:rFonts w:ascii="Times New Roman" w:eastAsia="Times New Roman" w:hAnsi="Times New Roman" w:cs="Times New Roman"/>
          <w:kern w:val="0"/>
          <w:szCs w:val="20"/>
          <w14:ligatures w14:val="none"/>
        </w:rPr>
        <w:t xml:space="preserve">). </w:t>
      </w:r>
    </w:p>
    <w:p w14:paraId="0821B8A2"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0B4D900"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4F586AE"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4.</w:t>
      </w:r>
      <w:r w:rsidRPr="00505965">
        <w:rPr>
          <w:rFonts w:ascii="Times New Roman" w:eastAsia="Times New Roman" w:hAnsi="Times New Roman" w:cs="Times New Roman"/>
          <w:b/>
          <w:kern w:val="0"/>
          <w14:ligatures w14:val="none"/>
        </w:rPr>
        <w:tab/>
        <w:t>Indikace pro použití</w:t>
      </w:r>
    </w:p>
    <w:p w14:paraId="5A3C8518"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5ECAD949" w14:textId="63013F2A" w:rsidR="00505965" w:rsidRPr="00505965" w:rsidRDefault="00033E28" w:rsidP="00505965">
      <w:pPr>
        <w:tabs>
          <w:tab w:val="left" w:pos="567"/>
        </w:tabs>
        <w:spacing w:after="0" w:line="260" w:lineRule="exac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w:t>
      </w:r>
      <w:r w:rsidR="00505965" w:rsidRPr="00505965">
        <w:rPr>
          <w:rFonts w:ascii="Times New Roman" w:eastAsia="Times New Roman" w:hAnsi="Times New Roman" w:cs="Times New Roman"/>
          <w:kern w:val="0"/>
          <w14:ligatures w14:val="none"/>
        </w:rPr>
        <w:t>éčb</w:t>
      </w:r>
      <w:r>
        <w:rPr>
          <w:rFonts w:ascii="Times New Roman" w:eastAsia="Times New Roman" w:hAnsi="Times New Roman" w:cs="Times New Roman"/>
          <w:kern w:val="0"/>
          <w14:ligatures w14:val="none"/>
        </w:rPr>
        <w:t>a</w:t>
      </w:r>
      <w:r w:rsidR="00505965" w:rsidRPr="00505965">
        <w:rPr>
          <w:rFonts w:ascii="Times New Roman" w:eastAsia="Times New Roman" w:hAnsi="Times New Roman" w:cs="Times New Roman"/>
          <w:kern w:val="0"/>
          <w14:ligatures w14:val="none"/>
        </w:rPr>
        <w:t xml:space="preserve"> </w:t>
      </w:r>
      <w:proofErr w:type="spellStart"/>
      <w:r w:rsidR="00505965" w:rsidRPr="00505965">
        <w:rPr>
          <w:rFonts w:ascii="Times New Roman" w:eastAsia="Times New Roman" w:hAnsi="Times New Roman" w:cs="Times New Roman"/>
          <w:kern w:val="0"/>
          <w14:ligatures w14:val="none"/>
        </w:rPr>
        <w:t>varroázy</w:t>
      </w:r>
      <w:proofErr w:type="spellEnd"/>
      <w:r w:rsidR="00505965" w:rsidRPr="00505965">
        <w:rPr>
          <w:rFonts w:ascii="Times New Roman" w:eastAsia="Times New Roman" w:hAnsi="Times New Roman" w:cs="Times New Roman"/>
          <w:kern w:val="0"/>
          <w14:ligatures w14:val="none"/>
        </w:rPr>
        <w:t xml:space="preserve"> u včel medonosných vyvolané roztočem </w:t>
      </w:r>
      <w:proofErr w:type="spellStart"/>
      <w:r w:rsidR="00505965" w:rsidRPr="00505965">
        <w:rPr>
          <w:rFonts w:ascii="Times New Roman" w:eastAsia="Times New Roman" w:hAnsi="Times New Roman" w:cs="Times New Roman"/>
          <w:i/>
          <w:kern w:val="0"/>
          <w14:ligatures w14:val="none"/>
        </w:rPr>
        <w:t>Varroa</w:t>
      </w:r>
      <w:proofErr w:type="spellEnd"/>
      <w:r w:rsidR="00505965" w:rsidRPr="00505965">
        <w:rPr>
          <w:rFonts w:ascii="Times New Roman" w:eastAsia="Times New Roman" w:hAnsi="Times New Roman" w:cs="Times New Roman"/>
          <w:i/>
          <w:kern w:val="0"/>
          <w14:ligatures w14:val="none"/>
        </w:rPr>
        <w:t xml:space="preserve"> </w:t>
      </w:r>
      <w:proofErr w:type="spellStart"/>
      <w:r w:rsidR="00505965" w:rsidRPr="00505965">
        <w:rPr>
          <w:rFonts w:ascii="Times New Roman" w:eastAsia="Times New Roman" w:hAnsi="Times New Roman" w:cs="Times New Roman"/>
          <w:i/>
          <w:kern w:val="0"/>
          <w14:ligatures w14:val="none"/>
        </w:rPr>
        <w:t>destructor</w:t>
      </w:r>
      <w:proofErr w:type="spellEnd"/>
      <w:r w:rsidR="00505965" w:rsidRPr="00505965">
        <w:rPr>
          <w:rFonts w:ascii="Times New Roman" w:eastAsia="Times New Roman" w:hAnsi="Times New Roman" w:cs="Times New Roman"/>
          <w:kern w:val="0"/>
          <w14:ligatures w14:val="none"/>
        </w:rPr>
        <w:t>.</w:t>
      </w:r>
    </w:p>
    <w:p w14:paraId="26FEB11E"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3DD9F72"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383AA032"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5.</w:t>
      </w:r>
      <w:r w:rsidRPr="00505965">
        <w:rPr>
          <w:rFonts w:ascii="Times New Roman" w:eastAsia="Times New Roman" w:hAnsi="Times New Roman" w:cs="Times New Roman"/>
          <w:b/>
          <w:kern w:val="0"/>
          <w14:ligatures w14:val="none"/>
        </w:rPr>
        <w:tab/>
        <w:t>Kontraindikace</w:t>
      </w:r>
    </w:p>
    <w:p w14:paraId="3C207874"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p>
    <w:p w14:paraId="44B9CF42" w14:textId="74AF4E55" w:rsidR="00505965" w:rsidRPr="00505965" w:rsidRDefault="00505965" w:rsidP="00505965">
      <w:pPr>
        <w:tabs>
          <w:tab w:val="left" w:pos="567"/>
        </w:tabs>
        <w:spacing w:after="0" w:line="260" w:lineRule="exact"/>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 xml:space="preserve">Nepoužívat v případech známé rezistence na </w:t>
      </w:r>
      <w:proofErr w:type="spellStart"/>
      <w:r w:rsidRPr="00505965">
        <w:rPr>
          <w:rFonts w:ascii="Times New Roman" w:eastAsia="Times New Roman" w:hAnsi="Times New Roman" w:cs="Times New Roman"/>
          <w:kern w:val="0"/>
          <w:szCs w:val="20"/>
          <w14:ligatures w14:val="none"/>
        </w:rPr>
        <w:t>pyrethroidy</w:t>
      </w:r>
      <w:proofErr w:type="spellEnd"/>
      <w:r w:rsidRPr="00505965">
        <w:rPr>
          <w:rFonts w:ascii="Times New Roman" w:eastAsia="Times New Roman" w:hAnsi="Times New Roman" w:cs="Times New Roman"/>
          <w:kern w:val="0"/>
          <w:szCs w:val="20"/>
          <w14:ligatures w14:val="none"/>
        </w:rPr>
        <w:t>, jak je popsáno v </w:t>
      </w:r>
      <w:r w:rsidR="00033E28">
        <w:rPr>
          <w:rFonts w:ascii="Times New Roman" w:eastAsia="Times New Roman" w:hAnsi="Times New Roman" w:cs="Times New Roman"/>
          <w:kern w:val="0"/>
          <w:szCs w:val="20"/>
          <w14:ligatures w14:val="none"/>
        </w:rPr>
        <w:t>bodu</w:t>
      </w:r>
      <w:r w:rsidR="00033E28" w:rsidRPr="00505965">
        <w:rPr>
          <w:rFonts w:ascii="Times New Roman" w:eastAsia="Times New Roman" w:hAnsi="Times New Roman" w:cs="Times New Roman"/>
          <w:kern w:val="0"/>
          <w:szCs w:val="20"/>
          <w14:ligatures w14:val="none"/>
        </w:rPr>
        <w:t xml:space="preserve"> </w:t>
      </w:r>
      <w:r w:rsidRPr="00505965">
        <w:rPr>
          <w:rFonts w:ascii="Times New Roman" w:eastAsia="Times New Roman" w:hAnsi="Times New Roman" w:cs="Times New Roman"/>
          <w:kern w:val="0"/>
          <w:szCs w:val="20"/>
          <w14:ligatures w14:val="none"/>
        </w:rPr>
        <w:t xml:space="preserve">„Zvláštní upozornění“, </w:t>
      </w:r>
      <w:proofErr w:type="spellStart"/>
      <w:r w:rsidRPr="00505965">
        <w:rPr>
          <w:rFonts w:ascii="Times New Roman" w:eastAsia="Times New Roman" w:hAnsi="Times New Roman" w:cs="Times New Roman"/>
          <w:kern w:val="0"/>
          <w:szCs w:val="20"/>
          <w14:ligatures w14:val="none"/>
        </w:rPr>
        <w:t>pod</w:t>
      </w:r>
      <w:r w:rsidR="00033E28">
        <w:rPr>
          <w:rFonts w:ascii="Times New Roman" w:eastAsia="Times New Roman" w:hAnsi="Times New Roman" w:cs="Times New Roman"/>
          <w:kern w:val="0"/>
          <w:szCs w:val="20"/>
          <w14:ligatures w14:val="none"/>
        </w:rPr>
        <w:t>bod</w:t>
      </w:r>
      <w:proofErr w:type="spellEnd"/>
      <w:r w:rsidRPr="00505965">
        <w:rPr>
          <w:rFonts w:ascii="Times New Roman" w:eastAsia="Times New Roman" w:hAnsi="Times New Roman" w:cs="Times New Roman"/>
          <w:kern w:val="0"/>
          <w:szCs w:val="20"/>
          <w14:ligatures w14:val="none"/>
        </w:rPr>
        <w:t xml:space="preserve"> „Zvláštní upozornění“. </w:t>
      </w:r>
    </w:p>
    <w:p w14:paraId="2750FE01"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692D3CD6"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783BABB"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6.</w:t>
      </w:r>
      <w:r w:rsidRPr="00505965">
        <w:rPr>
          <w:rFonts w:ascii="Times New Roman" w:eastAsia="Times New Roman" w:hAnsi="Times New Roman" w:cs="Times New Roman"/>
          <w:b/>
          <w:kern w:val="0"/>
          <w14:ligatures w14:val="none"/>
        </w:rPr>
        <w:tab/>
        <w:t>Zvláštní upozornění</w:t>
      </w:r>
    </w:p>
    <w:p w14:paraId="639F5B5E"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73811144" w14:textId="77777777" w:rsidR="00505965" w:rsidRPr="00505965" w:rsidRDefault="00505965" w:rsidP="00505965">
      <w:pPr>
        <w:spacing w:after="0" w:line="240" w:lineRule="auto"/>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u w:val="single"/>
          <w14:ligatures w14:val="none"/>
        </w:rPr>
        <w:t>Zvláštní upozornění</w:t>
      </w:r>
      <w:r w:rsidRPr="00505965">
        <w:rPr>
          <w:rFonts w:ascii="Times New Roman" w:eastAsia="Times New Roman" w:hAnsi="Times New Roman" w:cs="Times New Roman"/>
          <w:kern w:val="0"/>
          <w:szCs w:val="20"/>
          <w14:ligatures w14:val="none"/>
        </w:rPr>
        <w:t>:</w:t>
      </w:r>
    </w:p>
    <w:p w14:paraId="0D3D77FE" w14:textId="5904CB02"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 xml:space="preserve">Je třeba zvážit možnost, že zdrojem reinfekce </w:t>
      </w:r>
      <w:proofErr w:type="spellStart"/>
      <w:r w:rsidRPr="00505965">
        <w:rPr>
          <w:rFonts w:ascii="Times New Roman" w:eastAsia="Times New Roman" w:hAnsi="Times New Roman" w:cs="Times New Roman"/>
          <w:i/>
          <w:iCs/>
          <w:kern w:val="0"/>
          <w14:ligatures w14:val="none"/>
        </w:rPr>
        <w:t>Varroa</w:t>
      </w:r>
      <w:proofErr w:type="spellEnd"/>
      <w:r w:rsidRPr="00505965">
        <w:rPr>
          <w:rFonts w:ascii="Times New Roman" w:eastAsia="Times New Roman" w:hAnsi="Times New Roman" w:cs="Times New Roman"/>
          <w:i/>
          <w:iCs/>
          <w:kern w:val="0"/>
          <w14:ligatures w14:val="none"/>
        </w:rPr>
        <w:t xml:space="preserve"> </w:t>
      </w:r>
      <w:proofErr w:type="spellStart"/>
      <w:r w:rsidRPr="00505965">
        <w:rPr>
          <w:rFonts w:ascii="Times New Roman" w:eastAsia="Times New Roman" w:hAnsi="Times New Roman" w:cs="Times New Roman"/>
          <w:i/>
          <w:iCs/>
          <w:kern w:val="0"/>
          <w14:ligatures w14:val="none"/>
        </w:rPr>
        <w:t>destructor</w:t>
      </w:r>
      <w:proofErr w:type="spellEnd"/>
      <w:r w:rsidRPr="00505965">
        <w:rPr>
          <w:rFonts w:ascii="Times New Roman" w:eastAsia="Times New Roman" w:hAnsi="Times New Roman" w:cs="Times New Roman"/>
          <w:kern w:val="0"/>
          <w14:ligatures w14:val="none"/>
        </w:rPr>
        <w:t xml:space="preserve"> mohou být další včelstva umístěná na stejném včelíně, a tato včelstva by měla být ošetřena současně.</w:t>
      </w:r>
    </w:p>
    <w:p w14:paraId="0A310FC3"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17366011" w14:textId="21924A9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1DC5DA1B">
        <w:rPr>
          <w:rFonts w:ascii="Times New Roman" w:eastAsia="Times New Roman" w:hAnsi="Times New Roman" w:cs="Times New Roman"/>
        </w:rPr>
        <w:t xml:space="preserve">Nadbytečné použití </w:t>
      </w:r>
      <w:proofErr w:type="spellStart"/>
      <w:r w:rsidRPr="1DC5DA1B">
        <w:rPr>
          <w:rFonts w:ascii="Times New Roman" w:eastAsia="Times New Roman" w:hAnsi="Times New Roman" w:cs="Times New Roman"/>
        </w:rPr>
        <w:t>antiparazitik</w:t>
      </w:r>
      <w:proofErr w:type="spellEnd"/>
      <w:r w:rsidRPr="1DC5DA1B">
        <w:rPr>
          <w:rFonts w:ascii="Times New Roman" w:eastAsia="Times New Roman" w:hAnsi="Times New Roman" w:cs="Times New Roman"/>
        </w:rPr>
        <w:t xml:space="preserve"> nebo použití v rozporu s pokyny uvedenými v </w:t>
      </w:r>
      <w:r w:rsidR="74C51218" w:rsidRPr="1DC5DA1B">
        <w:rPr>
          <w:rFonts w:ascii="Times New Roman" w:eastAsia="Times New Roman" w:hAnsi="Times New Roman" w:cs="Times New Roman"/>
        </w:rPr>
        <w:t>příbalové informaci</w:t>
      </w:r>
      <w:r w:rsidRPr="1DC5DA1B">
        <w:rPr>
          <w:rFonts w:ascii="Times New Roman" w:eastAsia="Times New Roman" w:hAnsi="Times New Roman" w:cs="Times New Roman"/>
        </w:rPr>
        <w:t xml:space="preserve">, může zvýšit selekčním tlakem rezistenci a vést ke snížení účinnosti. Rozhodnutí o použití veterinárního léčivého přípravku by mělo být založeno na potvrzení druhu parazita a s ním spojené zátěži nebo na riziku napadení zohledňujícího dostupné epidemiologické údaje pro každé včelstvo. </w:t>
      </w:r>
    </w:p>
    <w:p w14:paraId="1C1036CF"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35135361" w14:textId="044451C2"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 xml:space="preserve">Veterinární léčivý přípravek je nutno používat jako součást integrovaného programu kontroly </w:t>
      </w:r>
      <w:proofErr w:type="spellStart"/>
      <w:r w:rsidRPr="00505965">
        <w:rPr>
          <w:rFonts w:ascii="Times New Roman" w:eastAsia="Times New Roman" w:hAnsi="Times New Roman" w:cs="Times New Roman"/>
          <w:kern w:val="0"/>
          <w14:ligatures w14:val="none"/>
        </w:rPr>
        <w:t>varroázy</w:t>
      </w:r>
      <w:proofErr w:type="spellEnd"/>
      <w:r w:rsidRPr="00505965">
        <w:rPr>
          <w:rFonts w:ascii="Times New Roman" w:eastAsia="Times New Roman" w:hAnsi="Times New Roman" w:cs="Times New Roman"/>
          <w:kern w:val="0"/>
          <w14:ligatures w14:val="none"/>
        </w:rPr>
        <w:t>.</w:t>
      </w:r>
    </w:p>
    <w:p w14:paraId="41728236"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60FA2084"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 xml:space="preserve">Rezistence na pyretroidy byla hlášena u </w:t>
      </w:r>
      <w:proofErr w:type="spellStart"/>
      <w:r w:rsidRPr="00E77DEA">
        <w:rPr>
          <w:rFonts w:ascii="Times New Roman" w:eastAsia="Times New Roman" w:hAnsi="Times New Roman" w:cs="Times New Roman"/>
          <w:i/>
          <w:iCs/>
          <w:kern w:val="0"/>
          <w14:ligatures w14:val="none"/>
        </w:rPr>
        <w:t>Varroa</w:t>
      </w:r>
      <w:proofErr w:type="spellEnd"/>
      <w:r w:rsidRPr="00E77DEA">
        <w:rPr>
          <w:rFonts w:ascii="Times New Roman" w:eastAsia="Times New Roman" w:hAnsi="Times New Roman" w:cs="Times New Roman"/>
          <w:i/>
          <w:iCs/>
          <w:kern w:val="0"/>
          <w14:ligatures w14:val="none"/>
        </w:rPr>
        <w:t xml:space="preserve"> </w:t>
      </w:r>
      <w:proofErr w:type="spellStart"/>
      <w:r w:rsidRPr="00E77DEA">
        <w:rPr>
          <w:rFonts w:ascii="Times New Roman" w:eastAsia="Times New Roman" w:hAnsi="Times New Roman" w:cs="Times New Roman"/>
          <w:i/>
          <w:iCs/>
          <w:kern w:val="0"/>
          <w14:ligatures w14:val="none"/>
        </w:rPr>
        <w:t>destructor</w:t>
      </w:r>
      <w:proofErr w:type="spellEnd"/>
      <w:r w:rsidRPr="00505965">
        <w:rPr>
          <w:rFonts w:ascii="Times New Roman" w:eastAsia="Times New Roman" w:hAnsi="Times New Roman" w:cs="Times New Roman"/>
          <w:kern w:val="0"/>
          <w14:ligatures w14:val="none"/>
        </w:rPr>
        <w:t xml:space="preserve"> u včel medonosných. Podle publikované literatury (2024) se rezistence na </w:t>
      </w:r>
      <w:proofErr w:type="spellStart"/>
      <w:r w:rsidRPr="00505965">
        <w:rPr>
          <w:rFonts w:ascii="Times New Roman" w:eastAsia="Times New Roman" w:hAnsi="Times New Roman" w:cs="Times New Roman"/>
          <w:kern w:val="0"/>
          <w14:ligatures w14:val="none"/>
        </w:rPr>
        <w:t>flumethrin</w:t>
      </w:r>
      <w:proofErr w:type="spellEnd"/>
      <w:r w:rsidRPr="00505965">
        <w:rPr>
          <w:rFonts w:ascii="Times New Roman" w:eastAsia="Times New Roman" w:hAnsi="Times New Roman" w:cs="Times New Roman"/>
          <w:kern w:val="0"/>
          <w14:ligatures w14:val="none"/>
        </w:rPr>
        <w:t xml:space="preserve"> u </w:t>
      </w:r>
      <w:proofErr w:type="spellStart"/>
      <w:r w:rsidRPr="00505965">
        <w:rPr>
          <w:rFonts w:ascii="Times New Roman" w:eastAsia="Times New Roman" w:hAnsi="Times New Roman" w:cs="Times New Roman"/>
          <w:i/>
          <w:iCs/>
          <w:kern w:val="0"/>
          <w14:ligatures w14:val="none"/>
        </w:rPr>
        <w:t>Varroa</w:t>
      </w:r>
      <w:proofErr w:type="spellEnd"/>
      <w:r w:rsidRPr="00505965">
        <w:rPr>
          <w:rFonts w:ascii="Times New Roman" w:eastAsia="Times New Roman" w:hAnsi="Times New Roman" w:cs="Times New Roman"/>
          <w:i/>
          <w:iCs/>
          <w:kern w:val="0"/>
          <w14:ligatures w14:val="none"/>
        </w:rPr>
        <w:t xml:space="preserve"> </w:t>
      </w:r>
      <w:proofErr w:type="spellStart"/>
      <w:r w:rsidRPr="00505965">
        <w:rPr>
          <w:rFonts w:ascii="Times New Roman" w:eastAsia="Times New Roman" w:hAnsi="Times New Roman" w:cs="Times New Roman"/>
          <w:i/>
          <w:iCs/>
          <w:kern w:val="0"/>
          <w14:ligatures w14:val="none"/>
        </w:rPr>
        <w:t>destructor</w:t>
      </w:r>
      <w:proofErr w:type="spellEnd"/>
      <w:r w:rsidRPr="00505965">
        <w:rPr>
          <w:rFonts w:ascii="Times New Roman" w:eastAsia="Times New Roman" w:hAnsi="Times New Roman" w:cs="Times New Roman"/>
          <w:kern w:val="0"/>
          <w14:ligatures w14:val="none"/>
        </w:rPr>
        <w:t xml:space="preserve"> v Turecku pohybovala od 51 % do 94 %. Navíc byla zjištěna celosvětově rozšířená rezistence na flumethrin, což poukazuje na převažující mutace ve středomořských zemích.</w:t>
      </w:r>
    </w:p>
    <w:p w14:paraId="76BE4C0E"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18ECBF5C"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 xml:space="preserve">Jako účinná metoda ke snížení rizika selekce rezistence se přípravky obsahující flumethrin – jako je tomu u jiných akaricidů – nesmí používat v po sobě jdoucích letech. Místo toho se musí využívat přesně vymezené střídání s přípravky obsahujícími léčivé látky z jiných chemických skupin. V závislosti na regionální situaci týkající se rezistence může být nezbytná přestávka v léčbě delší než </w:t>
      </w:r>
      <w:r w:rsidRPr="00505965">
        <w:rPr>
          <w:rFonts w:ascii="Times New Roman" w:eastAsia="Times New Roman" w:hAnsi="Times New Roman" w:cs="Times New Roman"/>
          <w:kern w:val="0"/>
          <w14:ligatures w14:val="none"/>
        </w:rPr>
        <w:lastRenderedPageBreak/>
        <w:t xml:space="preserve">jeden rok. Jelikož </w:t>
      </w:r>
      <w:proofErr w:type="spellStart"/>
      <w:r w:rsidRPr="00505965">
        <w:rPr>
          <w:rFonts w:ascii="Times New Roman" w:eastAsia="Times New Roman" w:hAnsi="Times New Roman" w:cs="Times New Roman"/>
          <w:kern w:val="0"/>
          <w14:ligatures w14:val="none"/>
        </w:rPr>
        <w:t>flumethrin</w:t>
      </w:r>
      <w:proofErr w:type="spellEnd"/>
      <w:r w:rsidRPr="00505965">
        <w:rPr>
          <w:rFonts w:ascii="Times New Roman" w:eastAsia="Times New Roman" w:hAnsi="Times New Roman" w:cs="Times New Roman"/>
          <w:kern w:val="0"/>
          <w14:ligatures w14:val="none"/>
        </w:rPr>
        <w:t xml:space="preserve"> a tau-</w:t>
      </w:r>
      <w:proofErr w:type="spellStart"/>
      <w:r w:rsidRPr="00505965">
        <w:rPr>
          <w:rFonts w:ascii="Times New Roman" w:eastAsia="Times New Roman" w:hAnsi="Times New Roman" w:cs="Times New Roman"/>
          <w:kern w:val="0"/>
          <w14:ligatures w14:val="none"/>
        </w:rPr>
        <w:t>fluvalinát</w:t>
      </w:r>
      <w:proofErr w:type="spellEnd"/>
      <w:r w:rsidRPr="00505965">
        <w:rPr>
          <w:rFonts w:ascii="Times New Roman" w:eastAsia="Times New Roman" w:hAnsi="Times New Roman" w:cs="Times New Roman"/>
          <w:kern w:val="0"/>
          <w14:ligatures w14:val="none"/>
        </w:rPr>
        <w:t xml:space="preserve"> patří do stejné skupiny, nejsou pro vzájemné střídání vhodné.</w:t>
      </w:r>
    </w:p>
    <w:p w14:paraId="4D75E84A"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Nevhodné používání tohoto veterinárního léčivého přípravku by mohlo vést ke zvýšenému riziku vzniku rezistence a mohlo by v konečném důsledku vést k neúčinné léčbě a ztrátám včelstev.</w:t>
      </w:r>
    </w:p>
    <w:p w14:paraId="3F5D3DBE"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345B61CE" w14:textId="789DF3F0" w:rsidR="00505965" w:rsidRPr="00505965" w:rsidRDefault="00505965" w:rsidP="00E77DEA">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 xml:space="preserve">Při používání tohoto veterinárního léčivého přípravku je třeba vzít v úvahu místní epidemiologickou informaci o aktuální citlivosti cílových parazitů, pokud jsou k dispozici. Doporučuje se dále vyšetřovat případy podezření na rezistenci pomocí vhodné diagnostické metody (např. biotesty nebo molekulární analýzy (PCR)). Při stávající rezistenci na </w:t>
      </w:r>
      <w:proofErr w:type="spellStart"/>
      <w:r w:rsidRPr="00505965">
        <w:rPr>
          <w:rFonts w:ascii="Times New Roman" w:eastAsia="Times New Roman" w:hAnsi="Times New Roman" w:cs="Times New Roman"/>
          <w:kern w:val="0"/>
          <w14:ligatures w14:val="none"/>
        </w:rPr>
        <w:t>pyrethroidy</w:t>
      </w:r>
      <w:proofErr w:type="spellEnd"/>
      <w:r w:rsidRPr="00505965">
        <w:rPr>
          <w:rFonts w:ascii="Times New Roman" w:eastAsia="Times New Roman" w:hAnsi="Times New Roman" w:cs="Times New Roman"/>
          <w:kern w:val="0"/>
          <w14:ligatures w14:val="none"/>
        </w:rPr>
        <w:t xml:space="preserve"> se přípravky obsahující flumethrin nesmí aplikovat. Tam, kde byla v minulých letech pozorována rezistence na </w:t>
      </w:r>
      <w:proofErr w:type="spellStart"/>
      <w:r w:rsidRPr="00505965">
        <w:rPr>
          <w:rFonts w:ascii="Times New Roman" w:eastAsia="Times New Roman" w:hAnsi="Times New Roman" w:cs="Times New Roman"/>
          <w:kern w:val="0"/>
          <w14:ligatures w14:val="none"/>
        </w:rPr>
        <w:t>pyrethroidy</w:t>
      </w:r>
      <w:proofErr w:type="spellEnd"/>
      <w:r w:rsidRPr="00505965">
        <w:rPr>
          <w:rFonts w:ascii="Times New Roman" w:eastAsia="Times New Roman" w:hAnsi="Times New Roman" w:cs="Times New Roman"/>
          <w:kern w:val="0"/>
          <w14:ligatures w14:val="none"/>
        </w:rPr>
        <w:t xml:space="preserve">, </w:t>
      </w:r>
      <w:r w:rsidR="00BE1C82">
        <w:rPr>
          <w:rFonts w:ascii="Times New Roman" w:eastAsia="Times New Roman" w:hAnsi="Times New Roman" w:cs="Times New Roman"/>
          <w:kern w:val="0"/>
          <w14:ligatures w14:val="none"/>
        </w:rPr>
        <w:t xml:space="preserve">by se </w:t>
      </w:r>
      <w:r w:rsidRPr="00505965">
        <w:rPr>
          <w:rFonts w:ascii="Times New Roman" w:eastAsia="Times New Roman" w:hAnsi="Times New Roman" w:cs="Times New Roman"/>
          <w:kern w:val="0"/>
          <w14:ligatures w14:val="none"/>
        </w:rPr>
        <w:t>mělo zvážit opakované testování stavu včelstva, protože za několik let se citlivost může vrátit. Potvrzená rezistence by měla být hlášena držiteli rozhodnutí o registraci nebo příslušným orgánům.</w:t>
      </w:r>
    </w:p>
    <w:p w14:paraId="30C3DCCD"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64FA6A74" w14:textId="77777777" w:rsid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K expozici léčivé látce je nutná letová aktivita. Při delších obdobích nízké letové aktivity, např. v důsledku špatného počasí, může být účinnost snížena.</w:t>
      </w:r>
    </w:p>
    <w:p w14:paraId="26D015A8" w14:textId="77777777" w:rsidR="00BF23C2" w:rsidRPr="00505965" w:rsidRDefault="00BF23C2" w:rsidP="00505965">
      <w:pPr>
        <w:spacing w:after="0" w:line="240" w:lineRule="auto"/>
        <w:rPr>
          <w:rFonts w:ascii="Times New Roman" w:eastAsia="Times New Roman" w:hAnsi="Times New Roman" w:cs="Times New Roman"/>
          <w:kern w:val="0"/>
          <w14:ligatures w14:val="none"/>
        </w:rPr>
      </w:pPr>
    </w:p>
    <w:p w14:paraId="75D2D701"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Úspěšnost léčby je nutno sledovat pomocí zavedených standardních testů, jako je kontinuální sledování přirozeného odpadávání roztočů pomocí lepivé zásuvné podložky nebo vyhodnocení roztočové zátěže na 100 včel, aby se stanovilo, zda není potřeba zimní ošetření např. kyselinou šťavelovou.</w:t>
      </w:r>
    </w:p>
    <w:p w14:paraId="348F2CA9"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73B12D6D" w14:textId="77777777" w:rsidR="00505965" w:rsidRPr="00505965" w:rsidRDefault="00505965" w:rsidP="00505965">
      <w:pPr>
        <w:spacing w:after="0" w:line="240" w:lineRule="auto"/>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u w:val="single"/>
          <w14:ligatures w14:val="none"/>
        </w:rPr>
        <w:t>Zvláštní opatření pro bezpečné použití u cílových druhů zvířat</w:t>
      </w:r>
      <w:r w:rsidRPr="00505965">
        <w:rPr>
          <w:rFonts w:ascii="Times New Roman" w:eastAsia="Times New Roman" w:hAnsi="Times New Roman" w:cs="Times New Roman"/>
          <w:kern w:val="0"/>
          <w:szCs w:val="20"/>
          <w14:ligatures w14:val="none"/>
        </w:rPr>
        <w:t>:</w:t>
      </w:r>
    </w:p>
    <w:p w14:paraId="6F28AD39"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szCs w:val="20"/>
          <w14:ligatures w14:val="none"/>
        </w:rPr>
        <w:t>Po instalaci veterinárního léčivého přípravku se včely mohou několik hodin u česna hromadit, než si na přípravek zvyknou.</w:t>
      </w:r>
    </w:p>
    <w:p w14:paraId="068A6304" w14:textId="77777777" w:rsidR="00505965" w:rsidRPr="00505965" w:rsidRDefault="00505965" w:rsidP="00505965">
      <w:pPr>
        <w:tabs>
          <w:tab w:val="left" w:pos="567"/>
        </w:tabs>
        <w:autoSpaceDE w:val="0"/>
        <w:autoSpaceDN w:val="0"/>
        <w:adjustRightInd w:val="0"/>
        <w:spacing w:after="0" w:line="260" w:lineRule="exact"/>
        <w:jc w:val="both"/>
        <w:rPr>
          <w:rFonts w:ascii="Times New Roman" w:eastAsia="Times New Roman" w:hAnsi="Times New Roman" w:cs="Times New Roman"/>
          <w:color w:val="000000"/>
          <w:kern w:val="0"/>
          <w:lang w:eastAsia="cs-CZ"/>
          <w14:ligatures w14:val="none"/>
        </w:rPr>
      </w:pPr>
      <w:r w:rsidRPr="00505965">
        <w:rPr>
          <w:rFonts w:ascii="Times New Roman" w:eastAsia="Times New Roman" w:hAnsi="Times New Roman" w:cs="Times New Roman"/>
          <w:color w:val="000000"/>
          <w:kern w:val="0"/>
          <w:lang w:eastAsia="cs-CZ"/>
          <w14:ligatures w14:val="none"/>
        </w:rPr>
        <w:t xml:space="preserve">Při horkém počasí je nutno zajistit dobré větrání úlu. </w:t>
      </w:r>
    </w:p>
    <w:p w14:paraId="060534F2" w14:textId="2684CB3B" w:rsidR="00505965" w:rsidRPr="00505965" w:rsidRDefault="00505965" w:rsidP="00505965">
      <w:pPr>
        <w:tabs>
          <w:tab w:val="left" w:pos="567"/>
        </w:tabs>
        <w:spacing w:after="0" w:line="260" w:lineRule="exact"/>
        <w:jc w:val="both"/>
        <w:rPr>
          <w:rFonts w:ascii="Times New Roman" w:eastAsia="Times New Roman" w:hAnsi="Times New Roman" w:cs="Times New Roman"/>
          <w:color w:val="000000"/>
          <w:kern w:val="0"/>
          <w:lang w:eastAsia="cs-CZ"/>
          <w14:ligatures w14:val="none"/>
        </w:rPr>
      </w:pPr>
      <w:r w:rsidRPr="00505965">
        <w:rPr>
          <w:rFonts w:ascii="Times New Roman" w:eastAsia="Times New Roman" w:hAnsi="Times New Roman" w:cs="Times New Roman"/>
          <w:color w:val="000000"/>
          <w:kern w:val="0"/>
          <w:lang w:eastAsia="cs-CZ"/>
          <w14:ligatures w14:val="none"/>
        </w:rPr>
        <w:t xml:space="preserve">Veterinární léčivý přípravek nebyl testován během </w:t>
      </w:r>
      <w:r w:rsidRPr="00505965">
        <w:rPr>
          <w:rFonts w:ascii="Times New Roman" w:eastAsia="Calibri" w:hAnsi="Times New Roman" w:cs="Times New Roman"/>
          <w:color w:val="000000"/>
          <w:kern w:val="0"/>
          <w:lang w:eastAsia="cs-CZ"/>
          <w14:ligatures w14:val="none"/>
        </w:rPr>
        <w:t>extrémně horkého počasí</w:t>
      </w:r>
      <w:r w:rsidRPr="00505965">
        <w:rPr>
          <w:rFonts w:ascii="Times New Roman" w:eastAsia="Times New Roman" w:hAnsi="Times New Roman" w:cs="Times New Roman"/>
          <w:color w:val="000000"/>
          <w:kern w:val="0"/>
          <w:lang w:eastAsia="cs-CZ"/>
          <w14:ligatures w14:val="none"/>
        </w:rPr>
        <w:t xml:space="preserve">. Tento </w:t>
      </w:r>
      <w:r w:rsidR="008A3ACB">
        <w:rPr>
          <w:rFonts w:ascii="Times New Roman" w:eastAsia="Times New Roman" w:hAnsi="Times New Roman" w:cs="Times New Roman"/>
          <w:color w:val="000000"/>
          <w:kern w:val="0"/>
          <w:lang w:eastAsia="cs-CZ"/>
          <w14:ligatures w14:val="none"/>
        </w:rPr>
        <w:t>v</w:t>
      </w:r>
      <w:r w:rsidR="008A3ACB" w:rsidRPr="00505965">
        <w:rPr>
          <w:rFonts w:ascii="Times New Roman" w:eastAsia="Times New Roman" w:hAnsi="Times New Roman" w:cs="Times New Roman"/>
          <w:color w:val="000000"/>
          <w:kern w:val="0"/>
          <w:lang w:eastAsia="cs-CZ"/>
          <w14:ligatures w14:val="none"/>
        </w:rPr>
        <w:t>eterinární léčivý</w:t>
      </w:r>
      <w:r w:rsidR="008A3ACB">
        <w:rPr>
          <w:rFonts w:ascii="Times New Roman" w:eastAsia="Times New Roman" w:hAnsi="Times New Roman" w:cs="Times New Roman"/>
          <w:color w:val="000000"/>
          <w:kern w:val="0"/>
          <w:lang w:eastAsia="cs-CZ"/>
          <w14:ligatures w14:val="none"/>
        </w:rPr>
        <w:t xml:space="preserve"> </w:t>
      </w:r>
      <w:r w:rsidRPr="00505965">
        <w:rPr>
          <w:rFonts w:ascii="Times New Roman" w:eastAsia="Times New Roman" w:hAnsi="Times New Roman" w:cs="Times New Roman"/>
          <w:color w:val="000000"/>
          <w:kern w:val="0"/>
          <w:lang w:eastAsia="cs-CZ"/>
          <w14:ligatures w14:val="none"/>
        </w:rPr>
        <w:t>přípravek může mít na větrání úlu vliv v míře podobné jako u standardních česnových reduktorů, a proto je nutno jej dočasně odstranit, pokud je to nezbytné.</w:t>
      </w:r>
    </w:p>
    <w:p w14:paraId="10CCED00"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20ACDE9C" w14:textId="77777777" w:rsidR="00505965" w:rsidRPr="00505965" w:rsidRDefault="00505965" w:rsidP="00E77DEA">
      <w:pPr>
        <w:keepNext/>
        <w:spacing w:after="0" w:line="240" w:lineRule="auto"/>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u w:val="single"/>
          <w14:ligatures w14:val="none"/>
        </w:rPr>
        <w:t>Zvláštní opatření pro osobu, která podává veterinární léčivý přípravek zvířatům</w:t>
      </w:r>
      <w:r w:rsidRPr="00505965">
        <w:rPr>
          <w:rFonts w:ascii="Times New Roman" w:eastAsia="Times New Roman" w:hAnsi="Times New Roman" w:cs="Times New Roman"/>
          <w:kern w:val="0"/>
          <w:szCs w:val="20"/>
          <w14:ligatures w14:val="none"/>
        </w:rPr>
        <w:t>:</w:t>
      </w:r>
    </w:p>
    <w:p w14:paraId="22E4D6B3"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Sáček s proužky do úlu uchovávejte do okamžiku použití ve vnějším obalu.</w:t>
      </w:r>
    </w:p>
    <w:p w14:paraId="400D4434"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Sáček otevřete těsně před použitím proužků.</w:t>
      </w:r>
    </w:p>
    <w:p w14:paraId="57FE5B0D"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Po nasazení proužků do úlu si umyjte ruce studenou vodou.</w:t>
      </w:r>
    </w:p>
    <w:p w14:paraId="6916194E"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u w:val="single"/>
          <w14:ligatures w14:val="none"/>
        </w:rPr>
      </w:pPr>
    </w:p>
    <w:p w14:paraId="0FD5C58B"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u w:val="single"/>
          <w14:ligatures w14:val="none"/>
        </w:rPr>
        <w:t>Interakce s jinými léčivými přípravky a další formy interakce</w:t>
      </w:r>
      <w:r w:rsidRPr="00505965">
        <w:rPr>
          <w:rFonts w:ascii="Times New Roman" w:eastAsia="Times New Roman" w:hAnsi="Times New Roman" w:cs="Times New Roman"/>
          <w:kern w:val="0"/>
          <w:szCs w:val="20"/>
          <w14:ligatures w14:val="none"/>
        </w:rPr>
        <w:t>:</w:t>
      </w:r>
    </w:p>
    <w:p w14:paraId="170810CF"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 xml:space="preserve">Nepoužívejte současně s dalšími akaricidy proti </w:t>
      </w:r>
      <w:proofErr w:type="spellStart"/>
      <w:r w:rsidRPr="00505965">
        <w:rPr>
          <w:rFonts w:ascii="Times New Roman" w:eastAsia="Times New Roman" w:hAnsi="Times New Roman" w:cs="Times New Roman"/>
          <w:kern w:val="0"/>
          <w14:ligatures w14:val="none"/>
        </w:rPr>
        <w:t>varroáze</w:t>
      </w:r>
      <w:proofErr w:type="spellEnd"/>
      <w:r w:rsidRPr="00505965">
        <w:rPr>
          <w:rFonts w:ascii="Times New Roman" w:eastAsia="Times New Roman" w:hAnsi="Times New Roman" w:cs="Times New Roman"/>
          <w:kern w:val="0"/>
          <w14:ligatures w14:val="none"/>
        </w:rPr>
        <w:t>.</w:t>
      </w:r>
    </w:p>
    <w:p w14:paraId="2B79883A"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706BE74B"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u w:val="single"/>
          <w14:ligatures w14:val="none"/>
        </w:rPr>
        <w:t>Předávkování</w:t>
      </w:r>
      <w:r w:rsidRPr="00505965">
        <w:rPr>
          <w:rFonts w:ascii="Times New Roman" w:eastAsia="Times New Roman" w:hAnsi="Times New Roman" w:cs="Times New Roman"/>
          <w:kern w:val="0"/>
          <w:szCs w:val="20"/>
          <w14:ligatures w14:val="none"/>
        </w:rPr>
        <w:t>:</w:t>
      </w:r>
    </w:p>
    <w:p w14:paraId="76951A5C" w14:textId="77777777" w:rsidR="00505965" w:rsidRPr="00505965" w:rsidRDefault="00505965" w:rsidP="00505965">
      <w:pPr>
        <w:tabs>
          <w:tab w:val="left" w:pos="567"/>
        </w:tabs>
        <w:spacing w:after="200" w:line="260" w:lineRule="exact"/>
        <w:jc w:val="both"/>
        <w:rPr>
          <w:rFonts w:ascii="Calibri" w:eastAsia="Calibri" w:hAnsi="Calibri" w:cs="Times New Roman"/>
          <w:kern w:val="0"/>
          <w14:ligatures w14:val="none"/>
        </w:rPr>
      </w:pPr>
      <w:r w:rsidRPr="00505965">
        <w:rPr>
          <w:rFonts w:ascii="Times New Roman" w:eastAsia="Calibri" w:hAnsi="Times New Roman" w:cs="Times New Roman"/>
          <w:kern w:val="0"/>
          <w14:ligatures w14:val="none"/>
        </w:rPr>
        <w:t xml:space="preserve">S ohledem na vlastnosti proužků do úlu je předávkování nepravděpodobné a příznaky předávkování se neočekávají. </w:t>
      </w:r>
    </w:p>
    <w:p w14:paraId="51212DD6" w14:textId="77777777" w:rsidR="00505965" w:rsidRPr="00505965" w:rsidRDefault="00505965" w:rsidP="00505965">
      <w:pPr>
        <w:spacing w:after="0" w:line="240" w:lineRule="auto"/>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u w:val="single"/>
          <w14:ligatures w14:val="none"/>
        </w:rPr>
        <w:t>Hlavní inkompatibility</w:t>
      </w:r>
      <w:r w:rsidRPr="00505965">
        <w:rPr>
          <w:rFonts w:ascii="Times New Roman" w:eastAsia="Times New Roman" w:hAnsi="Times New Roman" w:cs="Times New Roman"/>
          <w:kern w:val="0"/>
          <w:szCs w:val="20"/>
          <w14:ligatures w14:val="none"/>
        </w:rPr>
        <w:t>:</w:t>
      </w:r>
    </w:p>
    <w:p w14:paraId="00E852AC" w14:textId="77777777" w:rsidR="00505965" w:rsidRPr="00E77DEA" w:rsidRDefault="00505965" w:rsidP="00E77DEA">
      <w:pPr>
        <w:tabs>
          <w:tab w:val="left" w:pos="567"/>
        </w:tabs>
        <w:spacing w:after="200" w:line="260" w:lineRule="exact"/>
        <w:jc w:val="both"/>
        <w:rPr>
          <w:rFonts w:ascii="Calibri" w:eastAsia="Calibri" w:hAnsi="Calibri" w:cs="Times New Roman"/>
          <w:kern w:val="0"/>
          <w14:ligatures w14:val="none"/>
        </w:rPr>
      </w:pPr>
      <w:r w:rsidRPr="00505965">
        <w:rPr>
          <w:rFonts w:ascii="Times New Roman" w:eastAsia="Calibri" w:hAnsi="Times New Roman" w:cs="Times New Roman"/>
          <w:kern w:val="0"/>
          <w14:ligatures w14:val="none"/>
        </w:rPr>
        <w:t>Nejsou známy.</w:t>
      </w:r>
    </w:p>
    <w:p w14:paraId="6BB8417C"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6B52A50"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7.</w:t>
      </w:r>
      <w:r w:rsidRPr="00505965">
        <w:rPr>
          <w:rFonts w:ascii="Times New Roman" w:eastAsia="Times New Roman" w:hAnsi="Times New Roman" w:cs="Times New Roman"/>
          <w:b/>
          <w:kern w:val="0"/>
          <w14:ligatures w14:val="none"/>
        </w:rPr>
        <w:tab/>
        <w:t>Nežádoucí účinky</w:t>
      </w:r>
    </w:p>
    <w:p w14:paraId="3F24EC3F"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0687F4AC" w14:textId="1AAE9E31" w:rsidR="00505965" w:rsidRPr="00505965" w:rsidRDefault="00505965" w:rsidP="00505965">
      <w:pPr>
        <w:tabs>
          <w:tab w:val="left" w:pos="567"/>
        </w:tabs>
        <w:spacing w:after="0" w:line="260" w:lineRule="exact"/>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Včely medonosné (</w:t>
      </w:r>
      <w:proofErr w:type="spellStart"/>
      <w:r w:rsidRPr="00505965">
        <w:rPr>
          <w:rFonts w:ascii="Times New Roman" w:eastAsia="Times New Roman" w:hAnsi="Times New Roman" w:cs="Times New Roman"/>
          <w:i/>
          <w:iCs/>
          <w:kern w:val="0"/>
          <w:szCs w:val="20"/>
          <w14:ligatures w14:val="none"/>
        </w:rPr>
        <w:t>Apis</w:t>
      </w:r>
      <w:proofErr w:type="spellEnd"/>
      <w:r w:rsidRPr="00505965">
        <w:rPr>
          <w:rFonts w:ascii="Times New Roman" w:eastAsia="Times New Roman" w:hAnsi="Times New Roman" w:cs="Times New Roman"/>
          <w:i/>
          <w:iCs/>
          <w:kern w:val="0"/>
          <w:szCs w:val="20"/>
          <w14:ligatures w14:val="none"/>
        </w:rPr>
        <w:t xml:space="preserve"> </w:t>
      </w:r>
      <w:proofErr w:type="spellStart"/>
      <w:r w:rsidRPr="00505965">
        <w:rPr>
          <w:rFonts w:ascii="Times New Roman" w:eastAsia="Times New Roman" w:hAnsi="Times New Roman" w:cs="Times New Roman"/>
          <w:i/>
          <w:iCs/>
          <w:kern w:val="0"/>
          <w:szCs w:val="20"/>
          <w14:ligatures w14:val="none"/>
        </w:rPr>
        <w:t>mellifera</w:t>
      </w:r>
      <w:proofErr w:type="spellEnd"/>
      <w:r w:rsidRPr="00505965">
        <w:rPr>
          <w:rFonts w:ascii="Times New Roman" w:eastAsia="Times New Roman" w:hAnsi="Times New Roman" w:cs="Times New Roman"/>
          <w:kern w:val="0"/>
          <w:szCs w:val="20"/>
          <w14:ligatures w14:val="none"/>
        </w:rPr>
        <w:t>):</w:t>
      </w:r>
    </w:p>
    <w:p w14:paraId="3A157744" w14:textId="77777777" w:rsidR="00505965" w:rsidRPr="00505965" w:rsidRDefault="00505965" w:rsidP="00505965">
      <w:pPr>
        <w:spacing w:after="0" w:line="240" w:lineRule="auto"/>
        <w:rPr>
          <w:rFonts w:ascii="Times New Roman" w:eastAsia="Times New Roman" w:hAnsi="Times New Roman" w:cs="Times New Roman"/>
          <w:kern w:val="0"/>
          <w:szCs w:val="20"/>
          <w14:ligatures w14:val="none"/>
        </w:rPr>
      </w:pPr>
    </w:p>
    <w:p w14:paraId="648D2C5D"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r w:rsidRPr="00505965">
        <w:rPr>
          <w:rFonts w:ascii="Times New Roman" w:eastAsia="Times New Roman" w:hAnsi="Times New Roman" w:cs="Times New Roman"/>
          <w:kern w:val="0"/>
          <w:szCs w:val="20"/>
          <w14:ligatures w14:val="none"/>
        </w:rPr>
        <w:t>Nejsou.</w:t>
      </w:r>
    </w:p>
    <w:p w14:paraId="16EBE2A0"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7261CABF"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 </w:t>
      </w:r>
    </w:p>
    <w:p w14:paraId="2CABEB30" w14:textId="77777777" w:rsidR="00505965" w:rsidRPr="00505965" w:rsidRDefault="00505965" w:rsidP="00505965">
      <w:pPr>
        <w:tabs>
          <w:tab w:val="left" w:pos="567"/>
        </w:tabs>
        <w:spacing w:after="0" w:line="260" w:lineRule="exact"/>
        <w:rPr>
          <w:rFonts w:ascii="Times New Roman" w:eastAsia="Times New Roman" w:hAnsi="Times New Roman" w:cs="Times New Roman"/>
          <w:i/>
          <w:iCs/>
          <w:kern w:val="0"/>
          <w14:ligatures w14:val="none"/>
        </w:rPr>
      </w:pPr>
    </w:p>
    <w:p w14:paraId="5A6A5632" w14:textId="77777777" w:rsidR="00505965" w:rsidRPr="00505965" w:rsidRDefault="00505965" w:rsidP="00505965">
      <w:pPr>
        <w:tabs>
          <w:tab w:val="left" w:pos="-720"/>
          <w:tab w:val="left" w:pos="567"/>
        </w:tabs>
        <w:suppressAutoHyphens/>
        <w:spacing w:after="0" w:line="260" w:lineRule="exact"/>
        <w:rPr>
          <w:rFonts w:ascii="Times New Roman" w:eastAsia="Times New Roman" w:hAnsi="Times New Roman" w:cs="Times New Roman"/>
          <w:noProof/>
          <w:kern w:val="0"/>
          <w14:ligatures w14:val="none"/>
        </w:rPr>
      </w:pPr>
      <w:r w:rsidRPr="00505965">
        <w:rPr>
          <w:rFonts w:ascii="Times New Roman" w:eastAsia="Times New Roman" w:hAnsi="Times New Roman" w:cs="Times New Roman"/>
          <w:noProof/>
          <w:kern w:val="0"/>
          <w14:ligatures w14:val="none"/>
        </w:rPr>
        <w:t xml:space="preserve">Ústav pro státní kontrolu veterinárních biopreparátů a léčiv </w:t>
      </w:r>
    </w:p>
    <w:p w14:paraId="3C799A20" w14:textId="55504E5D" w:rsidR="00505965" w:rsidRPr="00505965" w:rsidRDefault="00505965" w:rsidP="00505965">
      <w:pPr>
        <w:tabs>
          <w:tab w:val="left" w:pos="-720"/>
          <w:tab w:val="left" w:pos="567"/>
        </w:tabs>
        <w:suppressAutoHyphens/>
        <w:spacing w:after="0" w:line="260" w:lineRule="exact"/>
        <w:rPr>
          <w:rFonts w:ascii="Times New Roman" w:eastAsia="Times New Roman" w:hAnsi="Times New Roman" w:cs="Times New Roman"/>
          <w:noProof/>
          <w:kern w:val="0"/>
          <w14:ligatures w14:val="none"/>
        </w:rPr>
      </w:pPr>
      <w:r w:rsidRPr="00505965">
        <w:rPr>
          <w:rFonts w:ascii="Times New Roman" w:eastAsia="Times New Roman" w:hAnsi="Times New Roman" w:cs="Times New Roman"/>
          <w:noProof/>
          <w:kern w:val="0"/>
          <w14:ligatures w14:val="none"/>
        </w:rPr>
        <w:t xml:space="preserve">Hudcova </w:t>
      </w:r>
      <w:r w:rsidR="00B9146E">
        <w:rPr>
          <w:rFonts w:ascii="Times New Roman" w:eastAsia="Times New Roman" w:hAnsi="Times New Roman" w:cs="Times New Roman"/>
          <w:noProof/>
          <w:kern w:val="0"/>
          <w14:ligatures w14:val="none"/>
        </w:rPr>
        <w:t>232/</w:t>
      </w:r>
      <w:r w:rsidRPr="00505965">
        <w:rPr>
          <w:rFonts w:ascii="Times New Roman" w:eastAsia="Times New Roman" w:hAnsi="Times New Roman" w:cs="Times New Roman"/>
          <w:noProof/>
          <w:kern w:val="0"/>
          <w14:ligatures w14:val="none"/>
        </w:rPr>
        <w:t xml:space="preserve">56a </w:t>
      </w:r>
    </w:p>
    <w:p w14:paraId="201A8EED" w14:textId="77777777" w:rsidR="00505965" w:rsidRPr="00505965" w:rsidRDefault="00505965" w:rsidP="00505965">
      <w:pPr>
        <w:tabs>
          <w:tab w:val="left" w:pos="-720"/>
          <w:tab w:val="left" w:pos="567"/>
        </w:tabs>
        <w:suppressAutoHyphens/>
        <w:spacing w:after="0" w:line="260" w:lineRule="exact"/>
        <w:rPr>
          <w:rFonts w:ascii="Times New Roman" w:eastAsia="Times New Roman" w:hAnsi="Times New Roman" w:cs="Times New Roman"/>
          <w:noProof/>
          <w:kern w:val="0"/>
          <w14:ligatures w14:val="none"/>
        </w:rPr>
      </w:pPr>
      <w:r w:rsidRPr="00505965">
        <w:rPr>
          <w:rFonts w:ascii="Times New Roman" w:eastAsia="Times New Roman" w:hAnsi="Times New Roman" w:cs="Times New Roman"/>
          <w:noProof/>
          <w:kern w:val="0"/>
          <w14:ligatures w14:val="none"/>
        </w:rPr>
        <w:t>621 00 Brno</w:t>
      </w:r>
    </w:p>
    <w:p w14:paraId="35E9D0A5" w14:textId="6402A5E6" w:rsidR="00505965" w:rsidRPr="00505965" w:rsidRDefault="00033E28" w:rsidP="00505965">
      <w:pPr>
        <w:tabs>
          <w:tab w:val="left" w:pos="-720"/>
          <w:tab w:val="left" w:pos="567"/>
        </w:tabs>
        <w:suppressAutoHyphens/>
        <w:spacing w:after="0" w:line="260" w:lineRule="exact"/>
        <w:rPr>
          <w:rFonts w:ascii="Times New Roman" w:eastAsia="Times New Roman" w:hAnsi="Times New Roman" w:cs="Times New Roman"/>
          <w:noProof/>
          <w:kern w:val="0"/>
          <w14:ligatures w14:val="none"/>
        </w:rPr>
      </w:pPr>
      <w:r>
        <w:rPr>
          <w:rFonts w:ascii="Times New Roman" w:eastAsia="Times New Roman" w:hAnsi="Times New Roman" w:cs="Times New Roman"/>
          <w:noProof/>
          <w:kern w:val="0"/>
          <w14:ligatures w14:val="none"/>
        </w:rPr>
        <w:t>e-m</w:t>
      </w:r>
      <w:r w:rsidR="00505965" w:rsidRPr="00505965">
        <w:rPr>
          <w:rFonts w:ascii="Times New Roman" w:eastAsia="Times New Roman" w:hAnsi="Times New Roman" w:cs="Times New Roman"/>
          <w:noProof/>
          <w:kern w:val="0"/>
          <w14:ligatures w14:val="none"/>
        </w:rPr>
        <w:t xml:space="preserve">ail: </w:t>
      </w:r>
      <w:hyperlink r:id="rId9" w:history="1">
        <w:r w:rsidR="00505965" w:rsidRPr="00505965">
          <w:rPr>
            <w:rFonts w:ascii="Times New Roman" w:eastAsia="Times New Roman" w:hAnsi="Times New Roman" w:cs="Times New Roman"/>
            <w:noProof/>
            <w:color w:val="0000FF"/>
            <w:kern w:val="0"/>
            <w:u w:val="single"/>
            <w14:ligatures w14:val="none"/>
          </w:rPr>
          <w:t>adr@uskvbl.cz</w:t>
        </w:r>
      </w:hyperlink>
    </w:p>
    <w:p w14:paraId="65F62CC5" w14:textId="77777777" w:rsidR="00505965" w:rsidRPr="00505965" w:rsidRDefault="00505965" w:rsidP="00505965">
      <w:pPr>
        <w:tabs>
          <w:tab w:val="left" w:pos="-720"/>
          <w:tab w:val="left" w:pos="567"/>
        </w:tabs>
        <w:suppressAutoHyphens/>
        <w:spacing w:after="0" w:line="260" w:lineRule="exact"/>
        <w:rPr>
          <w:rFonts w:ascii="Times New Roman" w:eastAsia="Times New Roman" w:hAnsi="Times New Roman" w:cs="Times New Roman"/>
          <w:noProof/>
          <w:kern w:val="0"/>
          <w14:ligatures w14:val="none"/>
        </w:rPr>
      </w:pPr>
      <w:r w:rsidRPr="00505965">
        <w:rPr>
          <w:rFonts w:ascii="Times New Roman" w:eastAsia="Times New Roman" w:hAnsi="Times New Roman" w:cs="Times New Roman"/>
          <w:noProof/>
          <w:kern w:val="0"/>
          <w14:ligatures w14:val="none"/>
        </w:rPr>
        <w:t>Webové stránky: http://www.uskvbl.cz/cs/farmakovigilance</w:t>
      </w:r>
    </w:p>
    <w:p w14:paraId="302071CF" w14:textId="77777777" w:rsidR="00505965" w:rsidRPr="00505965" w:rsidRDefault="00505965" w:rsidP="00505965">
      <w:pPr>
        <w:tabs>
          <w:tab w:val="left" w:pos="-720"/>
          <w:tab w:val="left" w:pos="567"/>
        </w:tabs>
        <w:suppressAutoHyphens/>
        <w:spacing w:after="0" w:line="260" w:lineRule="exact"/>
        <w:rPr>
          <w:rFonts w:ascii="Times New Roman" w:eastAsia="Times New Roman" w:hAnsi="Times New Roman" w:cs="Times New Roman"/>
          <w:noProof/>
          <w:kern w:val="0"/>
          <w14:ligatures w14:val="none"/>
        </w:rPr>
      </w:pPr>
    </w:p>
    <w:p w14:paraId="67BAEFC8"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098DC6D8"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8.</w:t>
      </w:r>
      <w:r w:rsidRPr="00505965">
        <w:rPr>
          <w:rFonts w:ascii="Times New Roman" w:eastAsia="Times New Roman" w:hAnsi="Times New Roman" w:cs="Times New Roman"/>
          <w:b/>
          <w:kern w:val="0"/>
          <w14:ligatures w14:val="none"/>
        </w:rPr>
        <w:tab/>
        <w:t>Dávkování pro každý druh, cesty a způsob podání</w:t>
      </w:r>
    </w:p>
    <w:p w14:paraId="1F11F143"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E6151F0" w14:textId="36A4BF26"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Podání ve včelím úlu. Použijte v česnu úlu jako branku.</w:t>
      </w:r>
    </w:p>
    <w:p w14:paraId="4784E396" w14:textId="731A2519" w:rsid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Na standardní úl použijte dva proužky</w:t>
      </w:r>
      <w:r w:rsidRPr="00505965" w:rsidDel="00092D15">
        <w:rPr>
          <w:rFonts w:ascii="Times New Roman" w:eastAsia="Times New Roman" w:hAnsi="Times New Roman" w:cs="Times New Roman"/>
          <w:kern w:val="0"/>
          <w14:ligatures w14:val="none"/>
        </w:rPr>
        <w:t xml:space="preserve"> </w:t>
      </w:r>
      <w:proofErr w:type="spellStart"/>
      <w:r w:rsidRPr="00505965">
        <w:rPr>
          <w:rFonts w:ascii="Times New Roman" w:eastAsia="Times New Roman" w:hAnsi="Times New Roman" w:cs="Times New Roman"/>
          <w:kern w:val="0"/>
          <w14:ligatures w14:val="none"/>
        </w:rPr>
        <w:t>Poddávkování</w:t>
      </w:r>
      <w:proofErr w:type="spellEnd"/>
      <w:r w:rsidRPr="00505965">
        <w:rPr>
          <w:rFonts w:ascii="Times New Roman" w:eastAsia="Times New Roman" w:hAnsi="Times New Roman" w:cs="Times New Roman"/>
          <w:kern w:val="0"/>
          <w14:ligatures w14:val="none"/>
        </w:rPr>
        <w:t xml:space="preserve"> by mohlo vést k neúčinnému použití a mohlo by podpořit rozvoj rezistence.</w:t>
      </w:r>
    </w:p>
    <w:p w14:paraId="51CCEB68" w14:textId="77777777" w:rsidR="00420A25" w:rsidRPr="00505965" w:rsidRDefault="00420A25" w:rsidP="00505965">
      <w:pPr>
        <w:spacing w:after="0" w:line="240" w:lineRule="auto"/>
        <w:rPr>
          <w:rFonts w:ascii="Times New Roman" w:eastAsia="Times New Roman" w:hAnsi="Times New Roman" w:cs="Times New Roman"/>
          <w:kern w:val="0"/>
          <w14:ligatures w14:val="none"/>
        </w:rPr>
      </w:pPr>
    </w:p>
    <w:p w14:paraId="501BBCF2"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532C6661"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9.</w:t>
      </w:r>
      <w:r w:rsidRPr="00505965">
        <w:rPr>
          <w:rFonts w:ascii="Times New Roman" w:eastAsia="Times New Roman" w:hAnsi="Times New Roman" w:cs="Times New Roman"/>
          <w:b/>
          <w:kern w:val="0"/>
          <w14:ligatures w14:val="none"/>
        </w:rPr>
        <w:tab/>
        <w:t>Informace o správném podávání</w:t>
      </w:r>
    </w:p>
    <w:p w14:paraId="6960889A"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37657554" w14:textId="77777777" w:rsidR="00505965" w:rsidRPr="00505965" w:rsidRDefault="00505965" w:rsidP="00505965">
      <w:pPr>
        <w:tabs>
          <w:tab w:val="left" w:pos="567"/>
        </w:tabs>
        <w:spacing w:after="0" w:line="260" w:lineRule="exact"/>
        <w:rPr>
          <w:rFonts w:ascii="Times New Roman" w:eastAsia="Times New Roman" w:hAnsi="Times New Roman" w:cs="Times New Roman"/>
          <w:noProof/>
          <w:kern w:val="0"/>
          <w:szCs w:val="20"/>
          <w:u w:val="single"/>
          <w:lang w:eastAsia="de-DE"/>
          <w14:ligatures w14:val="none"/>
        </w:rPr>
      </w:pPr>
      <w:r w:rsidRPr="00505965">
        <w:rPr>
          <w:rFonts w:ascii="Times New Roman" w:eastAsia="Times New Roman" w:hAnsi="Times New Roman" w:cs="Times New Roman"/>
          <w:noProof/>
          <w:kern w:val="0"/>
          <w:szCs w:val="20"/>
          <w:u w:val="single"/>
          <w:lang w:eastAsia="de-DE"/>
          <w14:ligatures w14:val="none"/>
        </w:rPr>
        <w:t>Aplikace proužků do úlu:</w:t>
      </w:r>
    </w:p>
    <w:p w14:paraId="4A52FB3F"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6C7D70A8" w14:textId="4D0E184F"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Calibri" w:hAnsi="Times New Roman" w:cs="Times New Roman"/>
          <w:kern w:val="0"/>
          <w14:ligatures w14:val="none"/>
        </w:rPr>
        <w:t>Léčbu je nutno zahájit krátce po velké snůšce a vytočení medu, aby byla zajištěna dostatečná letová aktivita, potřebná k dosažení léčebného účinku a zdravého zimního vývoje včel. Léčbu je nutno aplikovat po dobu nejméně 9 týdnů do konce letové aktivity, ne však déle než 4 měsíce. Pokud po 9 týdnech roztoči stále odpadávají, je nutno v léčbě pokračovat. Léčba tedy obvykle pokryje kritickou fázi potenciálního horizontálního přenosu roztočů, např. loupežemi mezi včelstvy. Úspěch léčby je nutno sledovat tak, jak je uvedeno v bodě</w:t>
      </w:r>
      <w:r w:rsidRPr="00505965">
        <w:rPr>
          <w:rFonts w:ascii="Calibri" w:eastAsia="Calibri" w:hAnsi="Calibri" w:cs="Times New Roman"/>
          <w:kern w:val="0"/>
          <w14:ligatures w14:val="none"/>
        </w:rPr>
        <w:t xml:space="preserve"> </w:t>
      </w:r>
      <w:r w:rsidRPr="00505965">
        <w:rPr>
          <w:rFonts w:ascii="Times New Roman" w:eastAsia="Times New Roman" w:hAnsi="Times New Roman" w:cs="Times New Roman"/>
          <w:kern w:val="0"/>
          <w14:ligatures w14:val="none"/>
        </w:rPr>
        <w:t xml:space="preserve">„Zvláštní upozornění“, </w:t>
      </w:r>
      <w:proofErr w:type="spellStart"/>
      <w:r w:rsidRPr="00505965">
        <w:rPr>
          <w:rFonts w:ascii="Times New Roman" w:eastAsia="Times New Roman" w:hAnsi="Times New Roman" w:cs="Times New Roman"/>
          <w:kern w:val="0"/>
          <w:szCs w:val="20"/>
          <w14:ligatures w14:val="none"/>
        </w:rPr>
        <w:t>pod</w:t>
      </w:r>
      <w:r w:rsidR="00033E28">
        <w:rPr>
          <w:rFonts w:ascii="Times New Roman" w:eastAsia="Times New Roman" w:hAnsi="Times New Roman" w:cs="Times New Roman"/>
          <w:kern w:val="0"/>
          <w:szCs w:val="20"/>
          <w14:ligatures w14:val="none"/>
        </w:rPr>
        <w:t>bod</w:t>
      </w:r>
      <w:proofErr w:type="spellEnd"/>
      <w:r w:rsidRPr="00505965">
        <w:rPr>
          <w:rFonts w:ascii="Times New Roman" w:eastAsia="Times New Roman" w:hAnsi="Times New Roman" w:cs="Times New Roman"/>
          <w:kern w:val="0"/>
          <w:szCs w:val="20"/>
          <w14:ligatures w14:val="none"/>
        </w:rPr>
        <w:t xml:space="preserve"> „Zvláštní upozornění“</w:t>
      </w:r>
      <w:r w:rsidRPr="00505965">
        <w:rPr>
          <w:rFonts w:ascii="Times New Roman" w:eastAsia="Times New Roman" w:hAnsi="Times New Roman" w:cs="Times New Roman"/>
          <w:kern w:val="0"/>
          <w14:ligatures w14:val="none"/>
        </w:rPr>
        <w:t xml:space="preserve">. </w:t>
      </w:r>
    </w:p>
    <w:p w14:paraId="78F8E391"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7F3F23CA" w14:textId="7E36337E"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 xml:space="preserve">Proužek do úlu se musí upevnit do česna tak, aby včely byly nuceny vstupovat do úlu a vylétat z něj pouze otvory v proužku. Celý povrch otvorů nesmí být zakryt, aby se zajistil kontakt včel s proužkem a větrání úlu. Proužky jsou navrženy tak, aby nezhoršovaly odstraňování </w:t>
      </w:r>
      <w:r w:rsidR="00BE1C82">
        <w:rPr>
          <w:rFonts w:ascii="Times New Roman" w:eastAsia="Times New Roman" w:hAnsi="Times New Roman" w:cs="Times New Roman"/>
          <w:kern w:val="0"/>
          <w14:ligatures w14:val="none"/>
        </w:rPr>
        <w:t>uhynulých</w:t>
      </w:r>
      <w:r w:rsidR="00BE1C82" w:rsidRPr="00505965">
        <w:rPr>
          <w:rFonts w:ascii="Times New Roman" w:eastAsia="Times New Roman" w:hAnsi="Times New Roman" w:cs="Times New Roman"/>
          <w:kern w:val="0"/>
          <w14:ligatures w14:val="none"/>
        </w:rPr>
        <w:t xml:space="preserve"> </w:t>
      </w:r>
      <w:r w:rsidRPr="00505965">
        <w:rPr>
          <w:rFonts w:ascii="Times New Roman" w:eastAsia="Times New Roman" w:hAnsi="Times New Roman" w:cs="Times New Roman"/>
          <w:kern w:val="0"/>
          <w14:ligatures w14:val="none"/>
        </w:rPr>
        <w:t>včel. Proužky se nesmějí stříhat.</w:t>
      </w:r>
    </w:p>
    <w:p w14:paraId="344CEECD"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0671F00A"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 xml:space="preserve">Toto balení obsahuje pouze proužky do úlu, nicméně podle typu a velikosti česna mohou být k upevnění proužků potřebné další nástroje, jako připínáčky, svorky, hřebíčky nebo dřevěné špalíky. Proužky lze připevnit různými způsoby zevnitř nebo zvenčí úlu. </w:t>
      </w:r>
    </w:p>
    <w:p w14:paraId="5C1260A2"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48121F1C" w14:textId="77777777" w:rsidR="00505965" w:rsidRPr="00505965" w:rsidRDefault="00505965" w:rsidP="00505965">
      <w:pPr>
        <w:tabs>
          <w:tab w:val="left" w:pos="567"/>
        </w:tabs>
        <w:spacing w:after="0" w:line="260" w:lineRule="exact"/>
        <w:rPr>
          <w:rFonts w:ascii="Times New Roman" w:eastAsia="Times New Roman" w:hAnsi="Times New Roman" w:cs="Times New Roman"/>
          <w:color w:val="000000"/>
          <w:kern w:val="0"/>
          <w:lang w:eastAsia="cs-CZ"/>
          <w14:ligatures w14:val="none"/>
        </w:rPr>
      </w:pPr>
      <w:r w:rsidRPr="00505965">
        <w:rPr>
          <w:rFonts w:ascii="Times New Roman" w:eastAsia="Times New Roman" w:hAnsi="Times New Roman" w:cs="Times New Roman"/>
          <w:color w:val="000000"/>
          <w:kern w:val="0"/>
          <w:lang w:eastAsia="cs-CZ"/>
          <w14:ligatures w14:val="none"/>
        </w:rPr>
        <w:t xml:space="preserve">U typů úlů se širokým česnem lze připevnit dva proužky vedle sebe (viz obrázek 3a, b např. u úlů </w:t>
      </w:r>
      <w:proofErr w:type="spellStart"/>
      <w:r w:rsidRPr="00505965">
        <w:rPr>
          <w:rFonts w:ascii="Times New Roman" w:eastAsia="Times New Roman" w:hAnsi="Times New Roman" w:cs="Times New Roman"/>
          <w:color w:val="000000"/>
          <w:kern w:val="0"/>
          <w:lang w:eastAsia="cs-CZ"/>
          <w14:ligatures w14:val="none"/>
        </w:rPr>
        <w:t>Boczonadi</w:t>
      </w:r>
      <w:proofErr w:type="spellEnd"/>
      <w:r w:rsidRPr="00505965">
        <w:rPr>
          <w:rFonts w:ascii="Times New Roman" w:eastAsia="Times New Roman" w:hAnsi="Times New Roman" w:cs="Times New Roman"/>
          <w:color w:val="000000"/>
          <w:kern w:val="0"/>
          <w:lang w:eastAsia="cs-CZ"/>
          <w14:ligatures w14:val="none"/>
        </w:rPr>
        <w:t xml:space="preserve">, </w:t>
      </w:r>
      <w:proofErr w:type="spellStart"/>
      <w:r w:rsidRPr="00505965">
        <w:rPr>
          <w:rFonts w:ascii="Times New Roman" w:eastAsia="Times New Roman" w:hAnsi="Times New Roman" w:cs="Times New Roman"/>
          <w:color w:val="000000"/>
          <w:kern w:val="0"/>
          <w:lang w:eastAsia="cs-CZ"/>
          <w14:ligatures w14:val="none"/>
        </w:rPr>
        <w:t>Dadant</w:t>
      </w:r>
      <w:proofErr w:type="spellEnd"/>
      <w:r w:rsidRPr="00505965">
        <w:rPr>
          <w:rFonts w:ascii="Times New Roman" w:eastAsia="Times New Roman" w:hAnsi="Times New Roman" w:cs="Times New Roman"/>
          <w:color w:val="000000"/>
          <w:kern w:val="0"/>
          <w:lang w:eastAsia="cs-CZ"/>
          <w14:ligatures w14:val="none"/>
        </w:rPr>
        <w:t xml:space="preserve">, </w:t>
      </w:r>
      <w:proofErr w:type="spellStart"/>
      <w:r w:rsidRPr="00505965">
        <w:rPr>
          <w:rFonts w:ascii="Times New Roman" w:eastAsia="Times New Roman" w:hAnsi="Times New Roman" w:cs="Times New Roman"/>
          <w:color w:val="000000"/>
          <w:kern w:val="0"/>
          <w:lang w:eastAsia="cs-CZ"/>
          <w14:ligatures w14:val="none"/>
        </w:rPr>
        <w:t>Deutsch</w:t>
      </w:r>
      <w:proofErr w:type="spellEnd"/>
      <w:r w:rsidRPr="00505965">
        <w:rPr>
          <w:rFonts w:ascii="Times New Roman" w:eastAsia="Times New Roman" w:hAnsi="Times New Roman" w:cs="Times New Roman"/>
          <w:color w:val="000000"/>
          <w:kern w:val="0"/>
          <w:lang w:eastAsia="cs-CZ"/>
          <w14:ligatures w14:val="none"/>
        </w:rPr>
        <w:t xml:space="preserve"> </w:t>
      </w:r>
      <w:proofErr w:type="spellStart"/>
      <w:r w:rsidRPr="00505965">
        <w:rPr>
          <w:rFonts w:ascii="Times New Roman" w:eastAsia="Times New Roman" w:hAnsi="Times New Roman" w:cs="Times New Roman"/>
          <w:color w:val="000000"/>
          <w:kern w:val="0"/>
          <w:lang w:eastAsia="cs-CZ"/>
          <w14:ligatures w14:val="none"/>
        </w:rPr>
        <w:t>normal</w:t>
      </w:r>
      <w:proofErr w:type="spellEnd"/>
      <w:r w:rsidRPr="00505965">
        <w:rPr>
          <w:rFonts w:ascii="Times New Roman" w:eastAsia="Times New Roman" w:hAnsi="Times New Roman" w:cs="Times New Roman"/>
          <w:color w:val="000000"/>
          <w:kern w:val="0"/>
          <w:lang w:eastAsia="cs-CZ"/>
          <w14:ligatures w14:val="none"/>
        </w:rPr>
        <w:t xml:space="preserve">, </w:t>
      </w:r>
      <w:proofErr w:type="spellStart"/>
      <w:r w:rsidRPr="00505965">
        <w:rPr>
          <w:rFonts w:ascii="Times New Roman" w:eastAsia="Times New Roman" w:hAnsi="Times New Roman" w:cs="Times New Roman"/>
          <w:color w:val="000000"/>
          <w:kern w:val="0"/>
          <w:lang w:eastAsia="cs-CZ"/>
          <w14:ligatures w14:val="none"/>
        </w:rPr>
        <w:t>Langstroth</w:t>
      </w:r>
      <w:proofErr w:type="spellEnd"/>
      <w:r w:rsidRPr="00505965">
        <w:rPr>
          <w:rFonts w:ascii="Times New Roman" w:eastAsia="Times New Roman" w:hAnsi="Times New Roman" w:cs="Times New Roman"/>
          <w:color w:val="000000"/>
          <w:kern w:val="0"/>
          <w:lang w:eastAsia="cs-CZ"/>
          <w14:ligatures w14:val="none"/>
        </w:rPr>
        <w:t xml:space="preserve">, Simplex, </w:t>
      </w:r>
      <w:proofErr w:type="spellStart"/>
      <w:r w:rsidRPr="00505965">
        <w:rPr>
          <w:rFonts w:ascii="Times New Roman" w:eastAsia="Times New Roman" w:hAnsi="Times New Roman" w:cs="Times New Roman"/>
          <w:color w:val="000000"/>
          <w:kern w:val="0"/>
          <w:lang w:eastAsia="cs-CZ"/>
          <w14:ligatures w14:val="none"/>
        </w:rPr>
        <w:t>Spaar</w:t>
      </w:r>
      <w:proofErr w:type="spellEnd"/>
      <w:r w:rsidRPr="00505965">
        <w:rPr>
          <w:rFonts w:ascii="Times New Roman" w:eastAsia="Times New Roman" w:hAnsi="Times New Roman" w:cs="Times New Roman"/>
          <w:color w:val="000000"/>
          <w:kern w:val="0"/>
          <w:lang w:eastAsia="cs-CZ"/>
          <w14:ligatures w14:val="none"/>
        </w:rPr>
        <w:t xml:space="preserve">-Kast a </w:t>
      </w:r>
      <w:proofErr w:type="spellStart"/>
      <w:r w:rsidRPr="00505965">
        <w:rPr>
          <w:rFonts w:ascii="Times New Roman" w:eastAsia="Times New Roman" w:hAnsi="Times New Roman" w:cs="Times New Roman"/>
          <w:color w:val="000000"/>
          <w:kern w:val="0"/>
          <w:lang w:eastAsia="cs-CZ"/>
          <w14:ligatures w14:val="none"/>
        </w:rPr>
        <w:t>Zander</w:t>
      </w:r>
      <w:proofErr w:type="spellEnd"/>
      <w:r w:rsidRPr="00505965">
        <w:rPr>
          <w:rFonts w:ascii="Times New Roman" w:eastAsia="Times New Roman" w:hAnsi="Times New Roman" w:cs="Times New Roman"/>
          <w:color w:val="000000"/>
          <w:kern w:val="0"/>
          <w:lang w:eastAsia="cs-CZ"/>
          <w14:ligatures w14:val="none"/>
        </w:rPr>
        <w:t xml:space="preserve">). </w:t>
      </w:r>
    </w:p>
    <w:p w14:paraId="7A406377" w14:textId="77777777" w:rsidR="00505965" w:rsidRPr="00505965" w:rsidRDefault="00505965" w:rsidP="00505965">
      <w:pPr>
        <w:tabs>
          <w:tab w:val="left" w:pos="567"/>
        </w:tabs>
        <w:spacing w:after="0" w:line="260" w:lineRule="exact"/>
        <w:rPr>
          <w:rFonts w:ascii="Times New Roman" w:eastAsia="Times New Roman" w:hAnsi="Times New Roman" w:cs="Times New Roman"/>
          <w:color w:val="000000"/>
          <w:kern w:val="0"/>
          <w:lang w:eastAsia="cs-CZ"/>
          <w14:ligatures w14:val="none"/>
        </w:rPr>
      </w:pPr>
    </w:p>
    <w:p w14:paraId="1334B475" w14:textId="77777777" w:rsidR="00505965" w:rsidRPr="00505965" w:rsidRDefault="00505965" w:rsidP="00505965">
      <w:pPr>
        <w:tabs>
          <w:tab w:val="left" w:pos="567"/>
        </w:tabs>
        <w:spacing w:after="0" w:line="260" w:lineRule="exact"/>
        <w:rPr>
          <w:rFonts w:ascii="Times New Roman" w:eastAsia="Times New Roman" w:hAnsi="Times New Roman" w:cs="Times New Roman"/>
          <w:color w:val="000000"/>
          <w:kern w:val="0"/>
          <w:lang w:eastAsia="cs-CZ"/>
          <w14:ligatures w14:val="none"/>
        </w:rPr>
      </w:pPr>
      <w:r w:rsidRPr="00505965">
        <w:rPr>
          <w:rFonts w:ascii="Times New Roman" w:eastAsia="Times New Roman" w:hAnsi="Times New Roman" w:cs="Times New Roman"/>
          <w:color w:val="000000"/>
          <w:kern w:val="0"/>
          <w:lang w:eastAsia="cs-CZ"/>
          <w14:ligatures w14:val="none"/>
        </w:rPr>
        <w:t xml:space="preserve">U úlů s malým česnem lze proužky připevnit ve tvaru hranolu před česnem (viz obrázek 3c, např. u úlů </w:t>
      </w:r>
      <w:proofErr w:type="spellStart"/>
      <w:r w:rsidRPr="00505965">
        <w:rPr>
          <w:rFonts w:ascii="Times New Roman" w:eastAsia="Times New Roman" w:hAnsi="Times New Roman" w:cs="Times New Roman"/>
          <w:color w:val="000000"/>
          <w:kern w:val="0"/>
          <w:lang w:eastAsia="cs-CZ"/>
          <w14:ligatures w14:val="none"/>
        </w:rPr>
        <w:t>Layens</w:t>
      </w:r>
      <w:proofErr w:type="spellEnd"/>
      <w:r w:rsidRPr="00505965">
        <w:rPr>
          <w:rFonts w:ascii="Times New Roman" w:eastAsia="Times New Roman" w:hAnsi="Times New Roman" w:cs="Times New Roman"/>
          <w:color w:val="000000"/>
          <w:kern w:val="0"/>
          <w:lang w:eastAsia="cs-CZ"/>
          <w14:ligatures w14:val="none"/>
        </w:rPr>
        <w:t xml:space="preserve">, A-Ž). </w:t>
      </w:r>
    </w:p>
    <w:p w14:paraId="67FBB974" w14:textId="77777777" w:rsidR="00505965" w:rsidRPr="00505965" w:rsidRDefault="00505965" w:rsidP="00505965">
      <w:pPr>
        <w:tabs>
          <w:tab w:val="left" w:pos="567"/>
        </w:tabs>
        <w:spacing w:after="0" w:line="260" w:lineRule="exact"/>
        <w:rPr>
          <w:rFonts w:ascii="Times New Roman" w:eastAsia="Times New Roman" w:hAnsi="Times New Roman" w:cs="Times New Roman"/>
          <w:color w:val="000000"/>
          <w:kern w:val="0"/>
          <w:lang w:eastAsia="cs-CZ"/>
          <w14:ligatures w14:val="none"/>
        </w:rPr>
      </w:pPr>
    </w:p>
    <w:p w14:paraId="3F0685E3"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r w:rsidRPr="00E77DEA">
        <w:rPr>
          <w:rFonts w:ascii="Times New Roman" w:eastAsia="Times New Roman" w:hAnsi="Times New Roman" w:cs="Times New Roman"/>
          <w:iCs/>
          <w:kern w:val="0"/>
          <w:highlight w:val="lightGray"/>
          <w14:ligatures w14:val="none"/>
        </w:rPr>
        <w:t>Pouze pro jednojazyčné balení:</w:t>
      </w:r>
    </w:p>
    <w:p w14:paraId="784B1AC5"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r w:rsidRPr="00505965">
        <w:rPr>
          <w:rFonts w:ascii="Times New Roman" w:eastAsia="Times New Roman" w:hAnsi="Times New Roman" w:cs="Times New Roman"/>
          <w:iCs/>
          <w:kern w:val="0"/>
          <w14:ligatures w14:val="none"/>
        </w:rPr>
        <w:t>&lt;Příklady jsou uvedeny níže. &gt;</w:t>
      </w:r>
    </w:p>
    <w:p w14:paraId="744EF871"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149DF114"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r w:rsidRPr="00E77DEA">
        <w:rPr>
          <w:rFonts w:ascii="Times New Roman" w:eastAsia="Times New Roman" w:hAnsi="Times New Roman" w:cs="Times New Roman"/>
          <w:iCs/>
          <w:kern w:val="0"/>
          <w:highlight w:val="lightGray"/>
          <w14:ligatures w14:val="none"/>
        </w:rPr>
        <w:t>Pouze pro vícejazyčné balení:</w:t>
      </w:r>
    </w:p>
    <w:p w14:paraId="0A3640A5" w14:textId="006259D8" w:rsidR="00505965" w:rsidRPr="00505965" w:rsidRDefault="00505965" w:rsidP="00505965">
      <w:pPr>
        <w:spacing w:after="0" w:line="240" w:lineRule="auto"/>
        <w:rPr>
          <w:rFonts w:ascii="Times New Roman" w:eastAsia="Times New Roman" w:hAnsi="Times New Roman" w:cs="Times New Roman"/>
          <w:iCs/>
          <w:kern w:val="0"/>
          <w14:ligatures w14:val="none"/>
        </w:rPr>
      </w:pPr>
      <w:r w:rsidRPr="00505965">
        <w:rPr>
          <w:rFonts w:ascii="Times New Roman" w:eastAsia="Times New Roman" w:hAnsi="Times New Roman" w:cs="Times New Roman"/>
          <w:iCs/>
          <w:kern w:val="0"/>
          <w14:ligatures w14:val="none"/>
        </w:rPr>
        <w:t>&lt;Příklady jsou uvedeny na konci příbalové informace.&gt;</w:t>
      </w:r>
    </w:p>
    <w:p w14:paraId="5E5AAC24"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578AD5BE"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r w:rsidRPr="00505965">
        <w:rPr>
          <w:rFonts w:ascii="Times New Roman" w:eastAsia="Times New Roman" w:hAnsi="Times New Roman" w:cs="Times New Roman"/>
          <w:iCs/>
          <w:noProof/>
          <w:kern w:val="0"/>
          <w14:ligatures w14:val="none"/>
        </w:rPr>
        <w:lastRenderedPageBreak/>
        <w:drawing>
          <wp:inline distT="0" distB="0" distL="0" distR="0" wp14:anchorId="2D99E2CA" wp14:editId="1F85D12C">
            <wp:extent cx="5723890" cy="4314190"/>
            <wp:effectExtent l="0" t="0" r="0" b="0"/>
            <wp:docPr id="791392728" name="Obrázek 791392728" descr="A diagram of a bee hi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92728" name="Obrázek 791392728" descr="A diagram of a bee hiv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4314190"/>
                    </a:xfrm>
                    <a:prstGeom prst="rect">
                      <a:avLst/>
                    </a:prstGeom>
                    <a:noFill/>
                  </pic:spPr>
                </pic:pic>
              </a:graphicData>
            </a:graphic>
          </wp:inline>
        </w:drawing>
      </w:r>
    </w:p>
    <w:p w14:paraId="0436ACC0"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408DE33E"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Proužky do úlů nepoužívejte opakovaně.</w:t>
      </w:r>
    </w:p>
    <w:p w14:paraId="1E53A2C8"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0998A3A8"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3FCB2512"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10.</w:t>
      </w:r>
      <w:r w:rsidRPr="00505965">
        <w:rPr>
          <w:rFonts w:ascii="Times New Roman" w:eastAsia="Times New Roman" w:hAnsi="Times New Roman" w:cs="Times New Roman"/>
          <w:b/>
          <w:kern w:val="0"/>
          <w14:ligatures w14:val="none"/>
        </w:rPr>
        <w:tab/>
        <w:t>Ochranné lhůty</w:t>
      </w:r>
    </w:p>
    <w:p w14:paraId="6F59F07D"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p>
    <w:p w14:paraId="686BDA27"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Med: Bez ochranných lhůt.</w:t>
      </w:r>
    </w:p>
    <w:p w14:paraId="0C9CF5FE" w14:textId="4C39C7CD" w:rsidR="00505965" w:rsidRPr="00505965" w:rsidRDefault="00505965" w:rsidP="00505965">
      <w:pPr>
        <w:tabs>
          <w:tab w:val="left" w:pos="567"/>
        </w:tabs>
        <w:spacing w:after="0" w:line="260" w:lineRule="exact"/>
        <w:rPr>
          <w:rFonts w:ascii="Times New Roman" w:eastAsia="Times New Roman" w:hAnsi="Times New Roman" w:cs="Times New Roman"/>
          <w:iCs/>
          <w:kern w:val="0"/>
          <w14:ligatures w14:val="none"/>
        </w:rPr>
      </w:pPr>
      <w:r w:rsidRPr="00505965">
        <w:rPr>
          <w:rFonts w:ascii="Times New Roman" w:eastAsia="Times New Roman" w:hAnsi="Times New Roman" w:cs="Times New Roman"/>
          <w:kern w:val="0"/>
          <w14:ligatures w14:val="none"/>
        </w:rPr>
        <w:t>Nepoužívejte v období</w:t>
      </w:r>
      <w:r w:rsidR="00732259">
        <w:rPr>
          <w:rFonts w:ascii="Times New Roman" w:eastAsia="Times New Roman" w:hAnsi="Times New Roman" w:cs="Times New Roman"/>
          <w:kern w:val="0"/>
          <w14:ligatures w14:val="none"/>
        </w:rPr>
        <w:t xml:space="preserve"> </w:t>
      </w:r>
      <w:r w:rsidRPr="00505965">
        <w:rPr>
          <w:rFonts w:ascii="Times New Roman" w:eastAsia="Times New Roman" w:hAnsi="Times New Roman" w:cs="Times New Roman"/>
          <w:kern w:val="0"/>
          <w14:ligatures w14:val="none"/>
        </w:rPr>
        <w:t>snůšky medu.</w:t>
      </w:r>
    </w:p>
    <w:p w14:paraId="7C95D35B"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1ADA5235" w14:textId="77777777" w:rsidR="00505965" w:rsidRPr="00505965" w:rsidRDefault="00505965" w:rsidP="00505965">
      <w:pPr>
        <w:spacing w:after="0" w:line="240" w:lineRule="auto"/>
        <w:rPr>
          <w:rFonts w:ascii="Times New Roman" w:eastAsia="Times New Roman" w:hAnsi="Times New Roman" w:cs="Times New Roman"/>
          <w:iCs/>
          <w:kern w:val="0"/>
          <w14:ligatures w14:val="none"/>
        </w:rPr>
      </w:pPr>
    </w:p>
    <w:p w14:paraId="44907061"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11.</w:t>
      </w:r>
      <w:r w:rsidRPr="00505965">
        <w:rPr>
          <w:rFonts w:ascii="Times New Roman" w:eastAsia="Times New Roman" w:hAnsi="Times New Roman" w:cs="Times New Roman"/>
          <w:b/>
          <w:kern w:val="0"/>
          <w14:ligatures w14:val="none"/>
        </w:rPr>
        <w:tab/>
        <w:t>Zvláštní opatření pro uchovávání</w:t>
      </w:r>
    </w:p>
    <w:p w14:paraId="74340AC2" w14:textId="77777777" w:rsidR="00505965" w:rsidRPr="00505965" w:rsidRDefault="00505965" w:rsidP="00505965">
      <w:pPr>
        <w:numPr>
          <w:ilvl w:val="12"/>
          <w:numId w:val="0"/>
        </w:numPr>
        <w:spacing w:after="0" w:line="240" w:lineRule="auto"/>
        <w:rPr>
          <w:rFonts w:ascii="Times New Roman" w:eastAsia="Times New Roman" w:hAnsi="Times New Roman" w:cs="Times New Roman"/>
          <w:kern w:val="0"/>
          <w14:ligatures w14:val="none"/>
        </w:rPr>
      </w:pPr>
    </w:p>
    <w:p w14:paraId="0B8DA64C" w14:textId="5FB2DFB5" w:rsidR="00505965" w:rsidRPr="00505965" w:rsidRDefault="00505965" w:rsidP="00505965">
      <w:pPr>
        <w:numPr>
          <w:ilvl w:val="12"/>
          <w:numId w:val="0"/>
        </w:numPr>
        <w:tabs>
          <w:tab w:val="left" w:pos="567"/>
        </w:tabs>
        <w:spacing w:after="0" w:line="260" w:lineRule="exact"/>
        <w:jc w:val="both"/>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Uchováv</w:t>
      </w:r>
      <w:r w:rsidR="00C45FEE">
        <w:rPr>
          <w:rFonts w:ascii="Times New Roman" w:eastAsia="Times New Roman" w:hAnsi="Times New Roman" w:cs="Times New Roman"/>
          <w:kern w:val="0"/>
          <w:szCs w:val="20"/>
          <w14:ligatures w14:val="none"/>
        </w:rPr>
        <w:t>ejte</w:t>
      </w:r>
      <w:r w:rsidRPr="00505965">
        <w:rPr>
          <w:rFonts w:ascii="Times New Roman" w:eastAsia="Times New Roman" w:hAnsi="Times New Roman" w:cs="Times New Roman"/>
          <w:kern w:val="0"/>
          <w:szCs w:val="20"/>
          <w14:ligatures w14:val="none"/>
        </w:rPr>
        <w:t xml:space="preserve"> mimo dohled a dosah dětí.</w:t>
      </w:r>
    </w:p>
    <w:p w14:paraId="543161CA" w14:textId="77777777" w:rsidR="00505965" w:rsidRPr="00505965" w:rsidRDefault="00505965" w:rsidP="00505965">
      <w:pPr>
        <w:numPr>
          <w:ilvl w:val="12"/>
          <w:numId w:val="0"/>
        </w:numPr>
        <w:tabs>
          <w:tab w:val="left" w:pos="567"/>
        </w:tabs>
        <w:spacing w:after="0" w:line="260" w:lineRule="exact"/>
        <w:jc w:val="both"/>
        <w:rPr>
          <w:rFonts w:ascii="Times New Roman" w:eastAsia="Times New Roman" w:hAnsi="Times New Roman" w:cs="Times New Roman"/>
          <w:kern w:val="0"/>
          <w14:ligatures w14:val="none"/>
        </w:rPr>
      </w:pPr>
    </w:p>
    <w:p w14:paraId="0581545C"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szCs w:val="20"/>
          <w14:ligatures w14:val="none"/>
        </w:rPr>
        <w:t>Tento veterinární léčivý přípravek nevyžaduje žádné zvláštní podmínky uchovávání</w:t>
      </w:r>
      <w:r w:rsidRPr="00505965">
        <w:rPr>
          <w:rFonts w:ascii="Times New Roman" w:eastAsia="Times New Roman" w:hAnsi="Times New Roman" w:cs="Times New Roman"/>
          <w:kern w:val="0"/>
          <w14:ligatures w14:val="none"/>
        </w:rPr>
        <w:t>.</w:t>
      </w:r>
    </w:p>
    <w:p w14:paraId="4D8DF5F5"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14:ligatures w14:val="none"/>
        </w:rPr>
      </w:pPr>
    </w:p>
    <w:p w14:paraId="5A219C1B" w14:textId="7E259D2F" w:rsidR="00505965" w:rsidRPr="00505965" w:rsidRDefault="00505965" w:rsidP="00505965">
      <w:pPr>
        <w:tabs>
          <w:tab w:val="left" w:pos="567"/>
        </w:tabs>
        <w:spacing w:after="0" w:line="260" w:lineRule="exact"/>
        <w:jc w:val="both"/>
        <w:rPr>
          <w:rFonts w:ascii="Times New Roman" w:eastAsia="Times New Roman" w:hAnsi="Times New Roman" w:cs="Times New Roman"/>
          <w:kern w:val="0"/>
          <w14:ligatures w14:val="none"/>
        </w:rPr>
      </w:pPr>
      <w:r w:rsidRPr="351238C5">
        <w:rPr>
          <w:rFonts w:ascii="Times New Roman" w:eastAsia="Times New Roman" w:hAnsi="Times New Roman" w:cs="Times New Roman"/>
          <w:kern w:val="0"/>
          <w14:ligatures w14:val="none"/>
        </w:rPr>
        <w:t xml:space="preserve">Nepoužívejte tento veterinární léčivý přípravek po uplynutí doby použitelnosti uvedené na </w:t>
      </w:r>
      <w:r w:rsidR="4A8C2990" w:rsidRPr="351238C5">
        <w:rPr>
          <w:rFonts w:ascii="Times New Roman" w:eastAsia="Times New Roman" w:hAnsi="Times New Roman" w:cs="Times New Roman"/>
          <w:kern w:val="0"/>
          <w14:ligatures w14:val="none"/>
        </w:rPr>
        <w:t>sáčku</w:t>
      </w:r>
      <w:r w:rsidRPr="351238C5">
        <w:rPr>
          <w:rFonts w:ascii="Times New Roman" w:eastAsia="Times New Roman" w:hAnsi="Times New Roman" w:cs="Times New Roman"/>
          <w:kern w:val="0"/>
          <w14:ligatures w14:val="none"/>
        </w:rPr>
        <w:t xml:space="preserve"> a krabičce po E</w:t>
      </w:r>
      <w:r w:rsidR="00556B9E" w:rsidRPr="351238C5">
        <w:rPr>
          <w:rFonts w:ascii="Times New Roman" w:eastAsia="Times New Roman" w:hAnsi="Times New Roman" w:cs="Times New Roman"/>
        </w:rPr>
        <w:t>xp</w:t>
      </w:r>
      <w:r w:rsidRPr="351238C5">
        <w:rPr>
          <w:rFonts w:ascii="Times New Roman" w:eastAsia="Times New Roman" w:hAnsi="Times New Roman" w:cs="Times New Roman"/>
          <w:kern w:val="0"/>
          <w14:ligatures w14:val="none"/>
        </w:rPr>
        <w:t>. Doba použitelnosti končí posledním dnem v uvedeném měsíci.</w:t>
      </w:r>
    </w:p>
    <w:p w14:paraId="566EAB6C"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14:ligatures w14:val="none"/>
        </w:rPr>
      </w:pPr>
    </w:p>
    <w:p w14:paraId="6EB3327C" w14:textId="77777777" w:rsidR="00505965" w:rsidRPr="00505965" w:rsidRDefault="00505965" w:rsidP="00505965">
      <w:pPr>
        <w:tabs>
          <w:tab w:val="left" w:pos="567"/>
        </w:tabs>
        <w:spacing w:after="0" w:line="260" w:lineRule="exact"/>
        <w:jc w:val="both"/>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Doba použitelnosti po prvním otevření vnitřního obalu: spotřebujte ihned. Zbývající veterinární léčivý přípravek musí být znehodnocen.</w:t>
      </w:r>
    </w:p>
    <w:p w14:paraId="6BA4C098"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2A7D89AC"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2D17481A" w14:textId="77777777" w:rsidR="00505965" w:rsidRPr="00505965" w:rsidRDefault="00505965" w:rsidP="00FA5C78">
      <w:pPr>
        <w:keepNext/>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12.</w:t>
      </w:r>
      <w:r w:rsidRPr="00505965">
        <w:rPr>
          <w:rFonts w:ascii="Times New Roman" w:eastAsia="Times New Roman" w:hAnsi="Times New Roman" w:cs="Times New Roman"/>
          <w:b/>
          <w:kern w:val="0"/>
          <w14:ligatures w14:val="none"/>
        </w:rPr>
        <w:tab/>
        <w:t>Zvláštní opatření pro likvidaci</w:t>
      </w:r>
    </w:p>
    <w:p w14:paraId="7135E542" w14:textId="77777777" w:rsidR="00505965" w:rsidRPr="00505965" w:rsidRDefault="00505965" w:rsidP="00FA5C78">
      <w:pPr>
        <w:keepNext/>
        <w:spacing w:after="0" w:line="240" w:lineRule="auto"/>
        <w:rPr>
          <w:rFonts w:ascii="Times New Roman" w:eastAsia="Times New Roman" w:hAnsi="Times New Roman" w:cs="Times New Roman"/>
          <w:kern w:val="0"/>
          <w14:ligatures w14:val="none"/>
        </w:rPr>
      </w:pPr>
    </w:p>
    <w:p w14:paraId="5F3DF150" w14:textId="77777777" w:rsidR="00505965" w:rsidRPr="00505965" w:rsidRDefault="00505965" w:rsidP="00FA5C78">
      <w:pPr>
        <w:spacing w:after="0" w:line="240" w:lineRule="auto"/>
        <w:jc w:val="both"/>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szCs w:val="20"/>
          <w14:ligatures w14:val="none"/>
        </w:rPr>
        <w:t>Léčivé přípravky se nesmí likvidovat prostřednictvím odpadní vody či domovního odpadu.</w:t>
      </w:r>
    </w:p>
    <w:p w14:paraId="665F8192" w14:textId="77777777" w:rsidR="00505965" w:rsidRPr="00505965" w:rsidRDefault="00505965" w:rsidP="00FA5C78">
      <w:pPr>
        <w:spacing w:after="0" w:line="240" w:lineRule="auto"/>
        <w:jc w:val="both"/>
        <w:rPr>
          <w:rFonts w:ascii="Times New Roman" w:eastAsia="Times New Roman" w:hAnsi="Times New Roman" w:cs="Times New Roman"/>
          <w:kern w:val="0"/>
          <w14:ligatures w14:val="none"/>
        </w:rPr>
      </w:pPr>
    </w:p>
    <w:p w14:paraId="78FAB360" w14:textId="77777777" w:rsidR="00505965" w:rsidRPr="00505965" w:rsidRDefault="00505965" w:rsidP="00FA5C78">
      <w:pPr>
        <w:spacing w:after="0" w:line="240" w:lineRule="auto"/>
        <w:jc w:val="both"/>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szCs w:val="20"/>
          <w14:ligatures w14:val="none"/>
        </w:rPr>
        <w:t>Tento veterinární léčivý přípravek nesmí kontaminovat vodní toky, protože flumethrin může být nebezpečný pro ryby a další vodní organismy.</w:t>
      </w:r>
    </w:p>
    <w:p w14:paraId="44C054F3"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2187B77C" w14:textId="3B8913B1" w:rsidR="00505965" w:rsidRDefault="00505965" w:rsidP="00FA5C78">
      <w:pPr>
        <w:tabs>
          <w:tab w:val="left" w:pos="567"/>
        </w:tabs>
        <w:spacing w:after="0" w:line="240" w:lineRule="auto"/>
        <w:jc w:val="both"/>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lastRenderedPageBreak/>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14C53B01" w14:textId="5A2F150D" w:rsidR="00B97094" w:rsidRPr="00505965" w:rsidRDefault="00B97094" w:rsidP="00FA5C78">
      <w:pPr>
        <w:tabs>
          <w:tab w:val="left" w:pos="567"/>
        </w:tabs>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 možnostech likvidace nepotřebných léčivých přípravků </w:t>
      </w:r>
      <w:r w:rsidR="009C16F5">
        <w:rPr>
          <w:rFonts w:ascii="Times New Roman" w:eastAsia="Times New Roman" w:hAnsi="Times New Roman" w:cs="Times New Roman"/>
          <w:kern w:val="0"/>
          <w14:ligatures w14:val="none"/>
        </w:rPr>
        <w:t>se poraďte s vaším veterinárním lékařem nebo lékárníkem.</w:t>
      </w:r>
    </w:p>
    <w:p w14:paraId="6E96D547"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2B80FEB4" w14:textId="77777777" w:rsidR="00505965" w:rsidRPr="00505965" w:rsidRDefault="00505965" w:rsidP="00505965">
      <w:pPr>
        <w:spacing w:after="0" w:line="240" w:lineRule="auto"/>
        <w:rPr>
          <w:rFonts w:ascii="Times New Roman" w:eastAsia="Times New Roman" w:hAnsi="Times New Roman" w:cs="Times New Roman"/>
          <w:bCs/>
          <w:kern w:val="0"/>
          <w:highlight w:val="lightGray"/>
          <w14:ligatures w14:val="none"/>
        </w:rPr>
      </w:pPr>
    </w:p>
    <w:p w14:paraId="0EB80740"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13.</w:t>
      </w:r>
      <w:r w:rsidRPr="00505965">
        <w:rPr>
          <w:rFonts w:ascii="Times New Roman" w:eastAsia="Times New Roman" w:hAnsi="Times New Roman" w:cs="Times New Roman"/>
          <w:b/>
          <w:kern w:val="0"/>
          <w14:ligatures w14:val="none"/>
        </w:rPr>
        <w:tab/>
        <w:t>Klasifikace veterinárních léčivých přípravků</w:t>
      </w:r>
    </w:p>
    <w:p w14:paraId="44FADD25"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6702A570" w14:textId="77777777" w:rsidR="00505965" w:rsidRPr="00505965" w:rsidRDefault="00505965" w:rsidP="00505965">
      <w:pPr>
        <w:tabs>
          <w:tab w:val="left" w:pos="567"/>
        </w:tabs>
        <w:spacing w:after="200" w:line="276" w:lineRule="auto"/>
        <w:rPr>
          <w:rFonts w:ascii="Times New Roman" w:eastAsia="Calibri" w:hAnsi="Times New Roman" w:cs="Times New Roman"/>
          <w:kern w:val="0"/>
          <w14:ligatures w14:val="none"/>
        </w:rPr>
      </w:pPr>
      <w:r w:rsidRPr="00505965">
        <w:rPr>
          <w:rFonts w:ascii="Times New Roman" w:eastAsia="Calibri" w:hAnsi="Times New Roman" w:cs="Times New Roman"/>
          <w:kern w:val="0"/>
          <w14:ligatures w14:val="none"/>
        </w:rPr>
        <w:t>Veterinární léčivý přípravek je vydáván pouze na předpis.</w:t>
      </w:r>
    </w:p>
    <w:p w14:paraId="6B91A116"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4CDDBC4E"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14.</w:t>
      </w:r>
      <w:r w:rsidRPr="00505965">
        <w:rPr>
          <w:rFonts w:ascii="Times New Roman" w:eastAsia="Times New Roman" w:hAnsi="Times New Roman" w:cs="Times New Roman"/>
          <w:b/>
          <w:kern w:val="0"/>
          <w14:ligatures w14:val="none"/>
        </w:rPr>
        <w:tab/>
        <w:t>Registrační čísla a velikosti balení</w:t>
      </w:r>
    </w:p>
    <w:p w14:paraId="718DEB27"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6C8329CE"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96/025/17-C</w:t>
      </w:r>
    </w:p>
    <w:p w14:paraId="7EE7C0BD" w14:textId="77777777"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p>
    <w:p w14:paraId="1BDA0B13" w14:textId="66D66418" w:rsidR="00505965" w:rsidRPr="00505965" w:rsidRDefault="00505965" w:rsidP="00505965">
      <w:pPr>
        <w:tabs>
          <w:tab w:val="left" w:pos="567"/>
        </w:tabs>
        <w:spacing w:after="0" w:line="260" w:lineRule="exact"/>
        <w:rPr>
          <w:rFonts w:ascii="Times New Roman" w:eastAsia="Times New Roman" w:hAnsi="Times New Roman" w:cs="Times New Roman"/>
          <w:bCs/>
          <w:iCs/>
          <w:color w:val="000000"/>
          <w:kern w:val="0"/>
          <w14:ligatures w14:val="none"/>
        </w:rPr>
      </w:pPr>
      <w:r w:rsidRPr="00505965">
        <w:rPr>
          <w:rFonts w:ascii="Times New Roman" w:eastAsia="Times New Roman" w:hAnsi="Times New Roman" w:cs="Times New Roman"/>
          <w:bCs/>
          <w:iCs/>
          <w:kern w:val="0"/>
          <w14:ligatures w14:val="none"/>
        </w:rPr>
        <w:t>Fóliový sáček složený z polyesteru/hliníku/</w:t>
      </w:r>
      <w:proofErr w:type="spellStart"/>
      <w:r w:rsidRPr="00505965">
        <w:rPr>
          <w:rFonts w:ascii="Times New Roman" w:eastAsia="Times New Roman" w:hAnsi="Times New Roman" w:cs="Times New Roman"/>
          <w:bCs/>
          <w:iCs/>
          <w:kern w:val="0"/>
          <w14:ligatures w14:val="none"/>
        </w:rPr>
        <w:t>polyethylenu</w:t>
      </w:r>
      <w:proofErr w:type="spellEnd"/>
      <w:r w:rsidRPr="00505965">
        <w:rPr>
          <w:rFonts w:ascii="Times New Roman" w:eastAsia="Times New Roman" w:hAnsi="Times New Roman" w:cs="Times New Roman"/>
          <w:bCs/>
          <w:iCs/>
          <w:kern w:val="0"/>
          <w14:ligatures w14:val="none"/>
        </w:rPr>
        <w:t xml:space="preserve"> o nízké hustotě obsahující 10 proužků </w:t>
      </w:r>
      <w:r w:rsidR="00BE1C82">
        <w:rPr>
          <w:rFonts w:ascii="Times New Roman" w:eastAsia="Times New Roman" w:hAnsi="Times New Roman" w:cs="Times New Roman"/>
          <w:bCs/>
          <w:iCs/>
          <w:kern w:val="0"/>
          <w14:ligatures w14:val="none"/>
        </w:rPr>
        <w:t xml:space="preserve">do úlu </w:t>
      </w:r>
      <w:r w:rsidRPr="00505965">
        <w:rPr>
          <w:rFonts w:ascii="Times New Roman" w:eastAsia="Times New Roman" w:hAnsi="Times New Roman" w:cs="Times New Roman"/>
          <w:bCs/>
          <w:iCs/>
          <w:kern w:val="0"/>
          <w14:ligatures w14:val="none"/>
        </w:rPr>
        <w:t>ve vnější kartonové krabičce</w:t>
      </w:r>
      <w:r w:rsidRPr="00505965">
        <w:rPr>
          <w:rFonts w:ascii="Times New Roman" w:eastAsia="Times New Roman" w:hAnsi="Times New Roman" w:cs="Times New Roman"/>
          <w:bCs/>
          <w:iCs/>
          <w:color w:val="000000"/>
          <w:kern w:val="0"/>
          <w14:ligatures w14:val="none"/>
        </w:rPr>
        <w:t>.</w:t>
      </w:r>
    </w:p>
    <w:p w14:paraId="16E7877C" w14:textId="77777777" w:rsidR="00505965" w:rsidRPr="00505965" w:rsidRDefault="00505965" w:rsidP="00505965">
      <w:pPr>
        <w:tabs>
          <w:tab w:val="left" w:pos="567"/>
        </w:tabs>
        <w:spacing w:after="0" w:line="260" w:lineRule="exact"/>
        <w:rPr>
          <w:rFonts w:ascii="Times New Roman" w:eastAsia="Times New Roman" w:hAnsi="Times New Roman" w:cs="Times New Roman"/>
          <w:bCs/>
          <w:iCs/>
          <w:color w:val="000000"/>
          <w:kern w:val="0"/>
          <w14:ligatures w14:val="none"/>
        </w:rPr>
      </w:pPr>
    </w:p>
    <w:p w14:paraId="3F9916B8" w14:textId="2DAB7CCA" w:rsidR="00505965" w:rsidRPr="00505965" w:rsidRDefault="00505965" w:rsidP="00505965">
      <w:pPr>
        <w:tabs>
          <w:tab w:val="left" w:pos="567"/>
        </w:tabs>
        <w:spacing w:after="0" w:line="260" w:lineRule="exact"/>
        <w:rPr>
          <w:rFonts w:ascii="Times New Roman" w:eastAsia="Times New Roman" w:hAnsi="Times New Roman" w:cs="Times New Roman"/>
          <w:bCs/>
          <w:iCs/>
          <w:color w:val="000000"/>
          <w:kern w:val="0"/>
          <w14:ligatures w14:val="none"/>
        </w:rPr>
      </w:pPr>
      <w:r w:rsidRPr="00505965">
        <w:rPr>
          <w:rFonts w:ascii="Times New Roman" w:eastAsia="Times New Roman" w:hAnsi="Times New Roman" w:cs="Times New Roman"/>
          <w:bCs/>
          <w:iCs/>
          <w:color w:val="000000"/>
          <w:kern w:val="0"/>
          <w14:ligatures w14:val="none"/>
        </w:rPr>
        <w:t>Velikosti balení: kartonová krabička obsahující 1 nebo 10 fóliových sáčků.</w:t>
      </w:r>
    </w:p>
    <w:p w14:paraId="6F0971F3" w14:textId="77777777" w:rsidR="00505965" w:rsidRPr="00505965" w:rsidRDefault="00505965" w:rsidP="00505965">
      <w:pPr>
        <w:tabs>
          <w:tab w:val="left" w:pos="567"/>
        </w:tabs>
        <w:spacing w:after="0" w:line="260" w:lineRule="exact"/>
        <w:rPr>
          <w:rFonts w:ascii="Times New Roman" w:eastAsia="Times New Roman" w:hAnsi="Times New Roman" w:cs="Times New Roman"/>
          <w:bCs/>
          <w:iCs/>
          <w:color w:val="000000"/>
          <w:kern w:val="0"/>
          <w14:ligatures w14:val="none"/>
        </w:rPr>
      </w:pPr>
    </w:p>
    <w:p w14:paraId="586560B3"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szCs w:val="20"/>
          <w14:ligatures w14:val="none"/>
        </w:rPr>
        <w:t>Na trhu nemusí být všechny velikosti balení.</w:t>
      </w:r>
    </w:p>
    <w:p w14:paraId="443BA2BF"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3EDF4C8F"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1788D541"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15.</w:t>
      </w:r>
      <w:r w:rsidRPr="00505965">
        <w:rPr>
          <w:rFonts w:ascii="Times New Roman" w:eastAsia="Times New Roman" w:hAnsi="Times New Roman" w:cs="Times New Roman"/>
          <w:b/>
          <w:kern w:val="0"/>
          <w14:ligatures w14:val="none"/>
        </w:rPr>
        <w:tab/>
        <w:t>Datum poslední revize příbalové informace</w:t>
      </w:r>
    </w:p>
    <w:p w14:paraId="77045612" w14:textId="7C66EC18" w:rsidR="00D73341" w:rsidRDefault="00D73341" w:rsidP="00505965">
      <w:pPr>
        <w:spacing w:after="0" w:line="240" w:lineRule="auto"/>
        <w:rPr>
          <w:rFonts w:ascii="Times New Roman" w:eastAsia="Times New Roman" w:hAnsi="Times New Roman" w:cs="Times New Roman"/>
          <w:kern w:val="0"/>
          <w14:ligatures w14:val="none"/>
        </w:rPr>
      </w:pPr>
    </w:p>
    <w:p w14:paraId="137C42CB" w14:textId="39402535" w:rsidR="00D73341" w:rsidRPr="00FB02CA" w:rsidRDefault="00033E28" w:rsidP="00505965">
      <w:pPr>
        <w:spacing w:after="0" w:line="240" w:lineRule="auto"/>
        <w:rPr>
          <w:rFonts w:ascii="Times New Roman" w:eastAsia="Times New Roman" w:hAnsi="Times New Roman" w:cs="Times New Roman"/>
          <w:kern w:val="0"/>
          <w14:ligatures w14:val="none"/>
        </w:rPr>
      </w:pPr>
      <w:r w:rsidRPr="00E77DEA">
        <w:rPr>
          <w:rFonts w:ascii="Times New Roman" w:hAnsi="Times New Roman" w:cs="Times New Roman"/>
        </w:rPr>
        <w:t>0</w:t>
      </w:r>
      <w:r w:rsidR="00E77DEA">
        <w:rPr>
          <w:rFonts w:ascii="Times New Roman" w:hAnsi="Times New Roman" w:cs="Times New Roman"/>
        </w:rPr>
        <w:t>3</w:t>
      </w:r>
      <w:r w:rsidRPr="00E77DEA">
        <w:rPr>
          <w:rFonts w:ascii="Times New Roman" w:hAnsi="Times New Roman" w:cs="Times New Roman"/>
        </w:rPr>
        <w:t>/2025</w:t>
      </w:r>
    </w:p>
    <w:p w14:paraId="7578B748"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331C36E6"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szCs w:val="20"/>
          <w14:ligatures w14:val="none"/>
        </w:rPr>
        <w:t xml:space="preserve">Podrobné informace o tomto veterinárním léčivém přípravku jsou k dispozici v databázi přípravků Unie </w:t>
      </w:r>
      <w:r w:rsidRPr="00505965">
        <w:rPr>
          <w:rFonts w:ascii="Times New Roman" w:eastAsia="Times New Roman" w:hAnsi="Times New Roman" w:cs="Times New Roman"/>
          <w:kern w:val="0"/>
          <w14:ligatures w14:val="none"/>
        </w:rPr>
        <w:t>(</w:t>
      </w:r>
      <w:hyperlink r:id="rId11" w:history="1">
        <w:r w:rsidRPr="00505965">
          <w:rPr>
            <w:rFonts w:ascii="Times New Roman" w:eastAsia="Times New Roman" w:hAnsi="Times New Roman" w:cs="Times New Roman"/>
            <w:color w:val="0000FF"/>
            <w:kern w:val="0"/>
            <w:u w:val="single"/>
            <w14:ligatures w14:val="none"/>
          </w:rPr>
          <w:t>https://medicines.health.europa.eu/veterinary</w:t>
        </w:r>
      </w:hyperlink>
      <w:r w:rsidRPr="00505965">
        <w:rPr>
          <w:rFonts w:ascii="Times New Roman" w:eastAsia="Times New Roman" w:hAnsi="Times New Roman" w:cs="Times New Roman"/>
          <w:kern w:val="0"/>
          <w14:ligatures w14:val="none"/>
        </w:rPr>
        <w:t>).</w:t>
      </w:r>
    </w:p>
    <w:p w14:paraId="5C72E534"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3ECFD8F4" w14:textId="77777777" w:rsidR="00505965" w:rsidRPr="00505965" w:rsidRDefault="00505965" w:rsidP="00505965">
      <w:pPr>
        <w:tabs>
          <w:tab w:val="left" w:pos="567"/>
        </w:tabs>
        <w:spacing w:after="0" w:line="240" w:lineRule="auto"/>
        <w:jc w:val="both"/>
        <w:rPr>
          <w:rFonts w:ascii="Times New Roman" w:eastAsia="Times New Roman" w:hAnsi="Times New Roman" w:cs="Times New Roman"/>
          <w:kern w:val="0"/>
          <w:szCs w:val="20"/>
          <w14:ligatures w14:val="none"/>
        </w:rPr>
      </w:pPr>
      <w:r w:rsidRPr="00505965">
        <w:rPr>
          <w:rFonts w:ascii="Times New Roman" w:eastAsia="Times New Roman" w:hAnsi="Times New Roman" w:cs="Times New Roman"/>
          <w:kern w:val="0"/>
          <w:szCs w:val="20"/>
          <w14:ligatures w14:val="none"/>
        </w:rPr>
        <w:t>Podrobné informace o tomto veterinárním léčivém přípravku naleznete také v národní databázi (</w:t>
      </w:r>
      <w:hyperlink r:id="rId12" w:history="1">
        <w:r w:rsidRPr="00505965">
          <w:rPr>
            <w:rFonts w:ascii="Times New Roman" w:eastAsia="Times New Roman" w:hAnsi="Times New Roman" w:cs="Times New Roman"/>
            <w:color w:val="0000FF"/>
            <w:kern w:val="0"/>
            <w:szCs w:val="20"/>
            <w:u w:val="single"/>
            <w14:ligatures w14:val="none"/>
          </w:rPr>
          <w:t>https://www.uskvbl.cz</w:t>
        </w:r>
      </w:hyperlink>
      <w:r w:rsidRPr="00505965">
        <w:rPr>
          <w:rFonts w:ascii="Times New Roman" w:eastAsia="Times New Roman" w:hAnsi="Times New Roman" w:cs="Times New Roman"/>
          <w:kern w:val="0"/>
          <w:szCs w:val="20"/>
          <w14:ligatures w14:val="none"/>
        </w:rPr>
        <w:t>).</w:t>
      </w:r>
    </w:p>
    <w:p w14:paraId="46C2D30B"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3B2734FF"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6A28F8F8"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16.</w:t>
      </w:r>
      <w:r w:rsidRPr="00505965">
        <w:rPr>
          <w:rFonts w:ascii="Times New Roman" w:eastAsia="Times New Roman" w:hAnsi="Times New Roman" w:cs="Times New Roman"/>
          <w:b/>
          <w:kern w:val="0"/>
          <w14:ligatures w14:val="none"/>
        </w:rPr>
        <w:tab/>
        <w:t>Kontaktní údaje</w:t>
      </w:r>
    </w:p>
    <w:p w14:paraId="40E4363C"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
    <w:p w14:paraId="0E01641B" w14:textId="01DF3C74" w:rsidR="00505965" w:rsidRPr="00505965" w:rsidRDefault="00505965" w:rsidP="00505965">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iCs/>
          <w:kern w:val="0"/>
          <w:u w:val="single"/>
          <w14:ligatures w14:val="none"/>
        </w:rPr>
        <w:t>Držitel rozhodnutí o registraci</w:t>
      </w:r>
      <w:r w:rsidR="007D4B37">
        <w:rPr>
          <w:rFonts w:ascii="Times New Roman" w:eastAsia="Times New Roman" w:hAnsi="Times New Roman" w:cs="Times New Roman"/>
          <w:iCs/>
          <w:kern w:val="0"/>
          <w:u w:val="single"/>
          <w14:ligatures w14:val="none"/>
        </w:rPr>
        <w:t xml:space="preserve"> </w:t>
      </w:r>
      <w:r w:rsidR="007D4B37" w:rsidRPr="007D4B37">
        <w:rPr>
          <w:rFonts w:ascii="Times New Roman" w:eastAsia="Times New Roman" w:hAnsi="Times New Roman" w:cs="Times New Roman"/>
          <w:iCs/>
          <w:kern w:val="0"/>
          <w:u w:val="single"/>
          <w14:ligatures w14:val="none"/>
        </w:rPr>
        <w:t>a kontaktní údaje pro hlášení podezření na nežádoucí účinky</w:t>
      </w:r>
      <w:r w:rsidRPr="00505965">
        <w:rPr>
          <w:rFonts w:ascii="Times New Roman" w:eastAsia="Times New Roman" w:hAnsi="Times New Roman" w:cs="Times New Roman"/>
          <w:iCs/>
          <w:kern w:val="0"/>
          <w:u w:val="single"/>
          <w14:ligatures w14:val="none"/>
        </w:rPr>
        <w:t>:</w:t>
      </w:r>
    </w:p>
    <w:p w14:paraId="666A1E26" w14:textId="77777777" w:rsidR="00505965" w:rsidRPr="00505965" w:rsidRDefault="00505965" w:rsidP="00505965">
      <w:pPr>
        <w:spacing w:after="0" w:line="240" w:lineRule="auto"/>
        <w:rPr>
          <w:rFonts w:ascii="Times New Roman" w:eastAsia="Times New Roman" w:hAnsi="Times New Roman" w:cs="Times New Roman"/>
          <w:kern w:val="0"/>
          <w14:ligatures w14:val="none"/>
        </w:rPr>
      </w:pPr>
      <w:proofErr w:type="spellStart"/>
      <w:r w:rsidRPr="00505965">
        <w:rPr>
          <w:rFonts w:ascii="Times New Roman" w:eastAsia="Times New Roman" w:hAnsi="Times New Roman" w:cs="Times New Roman"/>
          <w:kern w:val="0"/>
          <w14:ligatures w14:val="none"/>
        </w:rPr>
        <w:t>Elanco</w:t>
      </w:r>
      <w:proofErr w:type="spellEnd"/>
      <w:r w:rsidRPr="00505965">
        <w:rPr>
          <w:rFonts w:ascii="Times New Roman" w:eastAsia="Times New Roman" w:hAnsi="Times New Roman" w:cs="Times New Roman"/>
          <w:kern w:val="0"/>
          <w14:ligatures w14:val="none"/>
        </w:rPr>
        <w:t xml:space="preserve"> Animal Health </w:t>
      </w:r>
      <w:proofErr w:type="spellStart"/>
      <w:r w:rsidRPr="00505965">
        <w:rPr>
          <w:rFonts w:ascii="Times New Roman" w:eastAsia="Times New Roman" w:hAnsi="Times New Roman" w:cs="Times New Roman"/>
          <w:kern w:val="0"/>
          <w14:ligatures w14:val="none"/>
        </w:rPr>
        <w:t>GmbH</w:t>
      </w:r>
      <w:proofErr w:type="spellEnd"/>
      <w:r w:rsidRPr="00505965">
        <w:rPr>
          <w:rFonts w:ascii="Times New Roman" w:eastAsia="Times New Roman" w:hAnsi="Times New Roman" w:cs="Times New Roman"/>
          <w:kern w:val="0"/>
          <w14:ligatures w14:val="none"/>
        </w:rPr>
        <w:t xml:space="preserve">, Alfred-Nobel-Str. 50, 40789 </w:t>
      </w:r>
      <w:proofErr w:type="spellStart"/>
      <w:r w:rsidRPr="00505965">
        <w:rPr>
          <w:rFonts w:ascii="Times New Roman" w:eastAsia="Times New Roman" w:hAnsi="Times New Roman" w:cs="Times New Roman"/>
          <w:kern w:val="0"/>
          <w14:ligatures w14:val="none"/>
        </w:rPr>
        <w:t>Monheim</w:t>
      </w:r>
      <w:proofErr w:type="spellEnd"/>
      <w:r w:rsidRPr="00505965">
        <w:rPr>
          <w:rFonts w:ascii="Times New Roman" w:eastAsia="Times New Roman" w:hAnsi="Times New Roman" w:cs="Times New Roman"/>
          <w:kern w:val="0"/>
          <w14:ligatures w14:val="none"/>
        </w:rPr>
        <w:t>, Německo</w:t>
      </w:r>
    </w:p>
    <w:p w14:paraId="77B7FD35" w14:textId="77777777" w:rsidR="005C40CC" w:rsidRPr="00505965" w:rsidRDefault="005C40CC" w:rsidP="005C40CC">
      <w:pPr>
        <w:tabs>
          <w:tab w:val="left" w:pos="567"/>
        </w:tabs>
        <w:spacing w:after="0" w:line="260" w:lineRule="exact"/>
        <w:rPr>
          <w:rFonts w:ascii="Times New Roman" w:eastAsia="Times New Roman" w:hAnsi="Times New Roman" w:cs="Times New Roman"/>
          <w:kern w:val="0"/>
          <w14:ligatures w14:val="none"/>
        </w:rPr>
      </w:pPr>
      <w:r w:rsidRPr="00505965">
        <w:rPr>
          <w:rFonts w:ascii="Times New Roman" w:eastAsia="Times New Roman" w:hAnsi="Times New Roman" w:cs="Times New Roman"/>
          <w:kern w:val="0"/>
          <w14:ligatures w14:val="none"/>
        </w:rPr>
        <w:t>Tel: +420 228880231</w:t>
      </w:r>
    </w:p>
    <w:p w14:paraId="6879E3E5" w14:textId="71D557C8" w:rsidR="005C40CC" w:rsidRPr="00505965" w:rsidRDefault="003F074A" w:rsidP="005C40CC">
      <w:pPr>
        <w:tabs>
          <w:tab w:val="left" w:pos="567"/>
        </w:tabs>
        <w:spacing w:after="0" w:line="260" w:lineRule="exact"/>
        <w:rPr>
          <w:rFonts w:ascii="Times New Roman" w:eastAsia="Times New Roman" w:hAnsi="Times New Roman" w:cs="Times New Roman"/>
          <w:kern w:val="0"/>
          <w14:ligatures w14:val="none"/>
        </w:rPr>
      </w:pPr>
      <w:hyperlink r:id="rId13" w:history="1">
        <w:r w:rsidR="00011E3B" w:rsidRPr="00505965">
          <w:rPr>
            <w:rStyle w:val="Hypertextovodkaz"/>
            <w:rFonts w:ascii="Times New Roman" w:eastAsia="Times New Roman" w:hAnsi="Times New Roman" w:cs="Times New Roman"/>
            <w:kern w:val="0"/>
            <w14:ligatures w14:val="none"/>
          </w:rPr>
          <w:t>PV.CZE@elancoah.com</w:t>
        </w:r>
      </w:hyperlink>
      <w:r w:rsidR="00011E3B">
        <w:rPr>
          <w:rFonts w:ascii="Times New Roman" w:eastAsia="Times New Roman" w:hAnsi="Times New Roman" w:cs="Times New Roman"/>
          <w:kern w:val="0"/>
          <w14:ligatures w14:val="none"/>
        </w:rPr>
        <w:t xml:space="preserve"> </w:t>
      </w:r>
    </w:p>
    <w:p w14:paraId="10137671" w14:textId="77777777" w:rsidR="00505965" w:rsidRPr="00505965" w:rsidRDefault="00505965" w:rsidP="00505965">
      <w:pPr>
        <w:tabs>
          <w:tab w:val="left" w:pos="567"/>
        </w:tabs>
        <w:spacing w:after="0" w:line="260" w:lineRule="exact"/>
        <w:rPr>
          <w:rFonts w:ascii="Times New Roman" w:eastAsia="Times New Roman" w:hAnsi="Times New Roman" w:cs="Times New Roman"/>
          <w:b/>
          <w:bCs/>
          <w:kern w:val="0"/>
          <w14:ligatures w14:val="none"/>
        </w:rPr>
      </w:pPr>
    </w:p>
    <w:p w14:paraId="55B39056" w14:textId="77777777" w:rsidR="00505965" w:rsidRPr="00505965" w:rsidRDefault="00505965" w:rsidP="00505965">
      <w:pPr>
        <w:tabs>
          <w:tab w:val="left" w:pos="567"/>
        </w:tabs>
        <w:spacing w:after="0" w:line="260" w:lineRule="exact"/>
        <w:rPr>
          <w:rFonts w:ascii="Times New Roman" w:eastAsia="Times New Roman" w:hAnsi="Times New Roman" w:cs="Times New Roman"/>
          <w:bCs/>
          <w:kern w:val="0"/>
          <w14:ligatures w14:val="none"/>
        </w:rPr>
      </w:pPr>
      <w:r w:rsidRPr="00505965">
        <w:rPr>
          <w:rFonts w:ascii="Times New Roman" w:eastAsia="Times New Roman" w:hAnsi="Times New Roman" w:cs="Times New Roman"/>
          <w:bCs/>
          <w:kern w:val="0"/>
          <w:u w:val="single"/>
          <w14:ligatures w14:val="none"/>
        </w:rPr>
        <w:t>Výrobce odpovědný za uvolnění šarže</w:t>
      </w:r>
      <w:r w:rsidRPr="00505965">
        <w:rPr>
          <w:rFonts w:ascii="Times New Roman" w:eastAsia="Times New Roman" w:hAnsi="Times New Roman" w:cs="Times New Roman"/>
          <w:kern w:val="0"/>
          <w14:ligatures w14:val="none"/>
        </w:rPr>
        <w:t>:</w:t>
      </w:r>
    </w:p>
    <w:p w14:paraId="64B5116D" w14:textId="77777777" w:rsidR="00505965" w:rsidRPr="00505965" w:rsidRDefault="00505965" w:rsidP="00505965">
      <w:pPr>
        <w:tabs>
          <w:tab w:val="left" w:pos="567"/>
        </w:tabs>
        <w:spacing w:after="0" w:line="260" w:lineRule="exact"/>
        <w:rPr>
          <w:rFonts w:ascii="Times New Roman" w:eastAsia="Times New Roman" w:hAnsi="Times New Roman" w:cs="Times New Roman"/>
          <w:bCs/>
          <w:kern w:val="0"/>
          <w14:ligatures w14:val="none"/>
        </w:rPr>
      </w:pPr>
      <w:r w:rsidRPr="00505965">
        <w:rPr>
          <w:rFonts w:ascii="Times New Roman" w:eastAsia="Times New Roman" w:hAnsi="Times New Roman" w:cs="Times New Roman"/>
          <w:bCs/>
          <w:kern w:val="0"/>
          <w14:ligatures w14:val="none"/>
        </w:rPr>
        <w:t xml:space="preserve">KVP </w:t>
      </w:r>
      <w:proofErr w:type="spellStart"/>
      <w:r w:rsidRPr="00505965">
        <w:rPr>
          <w:rFonts w:ascii="Times New Roman" w:eastAsia="Times New Roman" w:hAnsi="Times New Roman" w:cs="Times New Roman"/>
          <w:bCs/>
          <w:kern w:val="0"/>
          <w14:ligatures w14:val="none"/>
        </w:rPr>
        <w:t>Pharma</w:t>
      </w:r>
      <w:proofErr w:type="spellEnd"/>
      <w:r w:rsidRPr="00505965">
        <w:rPr>
          <w:rFonts w:ascii="Times New Roman" w:eastAsia="Times New Roman" w:hAnsi="Times New Roman" w:cs="Times New Roman"/>
          <w:bCs/>
          <w:kern w:val="0"/>
          <w14:ligatures w14:val="none"/>
        </w:rPr>
        <w:t xml:space="preserve"> + </w:t>
      </w:r>
      <w:proofErr w:type="spellStart"/>
      <w:r w:rsidRPr="00505965">
        <w:rPr>
          <w:rFonts w:ascii="Times New Roman" w:eastAsia="Times New Roman" w:hAnsi="Times New Roman" w:cs="Times New Roman"/>
          <w:bCs/>
          <w:kern w:val="0"/>
          <w14:ligatures w14:val="none"/>
        </w:rPr>
        <w:t>Veterinär</w:t>
      </w:r>
      <w:proofErr w:type="spellEnd"/>
      <w:r w:rsidRPr="00505965">
        <w:rPr>
          <w:rFonts w:ascii="Times New Roman" w:eastAsia="Times New Roman" w:hAnsi="Times New Roman" w:cs="Times New Roman"/>
          <w:bCs/>
          <w:kern w:val="0"/>
          <w14:ligatures w14:val="none"/>
        </w:rPr>
        <w:t xml:space="preserve"> Produkte </w:t>
      </w:r>
      <w:proofErr w:type="spellStart"/>
      <w:r w:rsidRPr="00505965">
        <w:rPr>
          <w:rFonts w:ascii="Times New Roman" w:eastAsia="Times New Roman" w:hAnsi="Times New Roman" w:cs="Times New Roman"/>
          <w:bCs/>
          <w:kern w:val="0"/>
          <w14:ligatures w14:val="none"/>
        </w:rPr>
        <w:t>GmbH</w:t>
      </w:r>
      <w:proofErr w:type="spellEnd"/>
      <w:r w:rsidRPr="00505965">
        <w:rPr>
          <w:rFonts w:ascii="Times New Roman" w:eastAsia="Times New Roman" w:hAnsi="Times New Roman" w:cs="Times New Roman"/>
          <w:bCs/>
          <w:kern w:val="0"/>
          <w14:ligatures w14:val="none"/>
        </w:rPr>
        <w:t xml:space="preserve">, </w:t>
      </w:r>
      <w:proofErr w:type="spellStart"/>
      <w:r w:rsidRPr="00505965">
        <w:rPr>
          <w:rFonts w:ascii="Times New Roman" w:eastAsia="Times New Roman" w:hAnsi="Times New Roman" w:cs="Times New Roman"/>
          <w:bCs/>
          <w:kern w:val="0"/>
          <w14:ligatures w14:val="none"/>
        </w:rPr>
        <w:t>Projensdorfer</w:t>
      </w:r>
      <w:proofErr w:type="spellEnd"/>
      <w:r w:rsidRPr="00505965">
        <w:rPr>
          <w:rFonts w:ascii="Times New Roman" w:eastAsia="Times New Roman" w:hAnsi="Times New Roman" w:cs="Times New Roman"/>
          <w:bCs/>
          <w:kern w:val="0"/>
          <w14:ligatures w14:val="none"/>
        </w:rPr>
        <w:t xml:space="preserve"> Str. 324, 24106 Kiel, Německo</w:t>
      </w:r>
    </w:p>
    <w:p w14:paraId="06BEE842"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p>
    <w:p w14:paraId="64E0E8AB"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p>
    <w:p w14:paraId="234AC6E8"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r w:rsidRPr="00505965">
        <w:rPr>
          <w:rFonts w:ascii="Times New Roman" w:eastAsia="Times New Roman" w:hAnsi="Times New Roman" w:cs="Times New Roman"/>
          <w:b/>
          <w:kern w:val="0"/>
          <w:highlight w:val="lightGray"/>
          <w14:ligatures w14:val="none"/>
        </w:rPr>
        <w:t>17.</w:t>
      </w:r>
      <w:r w:rsidRPr="00505965">
        <w:rPr>
          <w:rFonts w:ascii="Times New Roman" w:eastAsia="Times New Roman" w:hAnsi="Times New Roman" w:cs="Times New Roman"/>
          <w:b/>
          <w:kern w:val="0"/>
          <w14:ligatures w14:val="none"/>
        </w:rPr>
        <w:tab/>
        <w:t>Další informace</w:t>
      </w:r>
    </w:p>
    <w:p w14:paraId="06BD8382" w14:textId="77777777" w:rsidR="00505965" w:rsidRPr="00505965" w:rsidRDefault="00505965" w:rsidP="00505965">
      <w:pPr>
        <w:tabs>
          <w:tab w:val="left" w:pos="0"/>
        </w:tabs>
        <w:spacing w:after="0" w:line="240" w:lineRule="auto"/>
        <w:ind w:left="567" w:hanging="567"/>
        <w:rPr>
          <w:rFonts w:ascii="Times New Roman" w:eastAsia="Times New Roman" w:hAnsi="Times New Roman" w:cs="Times New Roman"/>
          <w:b/>
          <w:kern w:val="0"/>
          <w14:ligatures w14:val="none"/>
        </w:rPr>
      </w:pPr>
    </w:p>
    <w:p w14:paraId="42EEE8D2" w14:textId="6BA38F84" w:rsidR="00B8739A" w:rsidRDefault="00BE1C82">
      <w:r w:rsidRPr="00967C85">
        <w:rPr>
          <w:rFonts w:ascii="Times New Roman" w:eastAsia="Times New Roman" w:hAnsi="Times New Roman" w:cs="Times New Roman"/>
          <w:kern w:val="0"/>
          <w14:ligatures w14:val="none"/>
        </w:rPr>
        <w:t xml:space="preserve">Včely jsou léčivé látce vystaveny přímým kontaktem při vstupu brankou do úlu a při vylétání a sociálním kontaktem v úlu. Léčivá látka se neodpařuje. </w:t>
      </w:r>
    </w:p>
    <w:sectPr w:rsidR="00B8739A" w:rsidSect="00505965">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20A3" w14:textId="77777777" w:rsidR="003F074A" w:rsidRDefault="003F074A">
      <w:pPr>
        <w:spacing w:after="0" w:line="240" w:lineRule="auto"/>
      </w:pPr>
      <w:r>
        <w:separator/>
      </w:r>
    </w:p>
  </w:endnote>
  <w:endnote w:type="continuationSeparator" w:id="0">
    <w:p w14:paraId="4CBCF7E6" w14:textId="77777777" w:rsidR="003F074A" w:rsidRDefault="003F074A">
      <w:pPr>
        <w:spacing w:after="0" w:line="240" w:lineRule="auto"/>
      </w:pPr>
      <w:r>
        <w:continuationSeparator/>
      </w:r>
    </w:p>
  </w:endnote>
  <w:endnote w:type="continuationNotice" w:id="1">
    <w:p w14:paraId="0F0AF959" w14:textId="77777777" w:rsidR="003F074A" w:rsidRDefault="003F0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6D92" w14:textId="77777777" w:rsidR="00011E3B" w:rsidRPr="00E0068C" w:rsidRDefault="00011E3B">
    <w:pPr>
      <w:pStyle w:val="Zpat"/>
      <w:tabs>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9584" w14:textId="77777777" w:rsidR="00011E3B" w:rsidRPr="00E0068C" w:rsidRDefault="00011E3B">
    <w:pPr>
      <w:pStyle w:val="Zpat"/>
      <w:tabs>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312E" w14:textId="77777777" w:rsidR="003F074A" w:rsidRDefault="003F074A">
      <w:pPr>
        <w:spacing w:after="0" w:line="240" w:lineRule="auto"/>
      </w:pPr>
      <w:r>
        <w:separator/>
      </w:r>
    </w:p>
  </w:footnote>
  <w:footnote w:type="continuationSeparator" w:id="0">
    <w:p w14:paraId="3CE71BE9" w14:textId="77777777" w:rsidR="003F074A" w:rsidRDefault="003F074A">
      <w:pPr>
        <w:spacing w:after="0" w:line="240" w:lineRule="auto"/>
      </w:pPr>
      <w:r>
        <w:continuationSeparator/>
      </w:r>
    </w:p>
  </w:footnote>
  <w:footnote w:type="continuationNotice" w:id="1">
    <w:p w14:paraId="26625FD4" w14:textId="77777777" w:rsidR="003F074A" w:rsidRDefault="003F074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65"/>
    <w:rsid w:val="00011E3B"/>
    <w:rsid w:val="00030142"/>
    <w:rsid w:val="00031BDB"/>
    <w:rsid w:val="00033E28"/>
    <w:rsid w:val="00034612"/>
    <w:rsid w:val="0004281C"/>
    <w:rsid w:val="000840CB"/>
    <w:rsid w:val="001C30C1"/>
    <w:rsid w:val="001C7063"/>
    <w:rsid w:val="002A6E76"/>
    <w:rsid w:val="00331EF3"/>
    <w:rsid w:val="003F074A"/>
    <w:rsid w:val="00420A25"/>
    <w:rsid w:val="00505965"/>
    <w:rsid w:val="0052558F"/>
    <w:rsid w:val="00556B9E"/>
    <w:rsid w:val="0056428F"/>
    <w:rsid w:val="005C40CC"/>
    <w:rsid w:val="00625B70"/>
    <w:rsid w:val="00695939"/>
    <w:rsid w:val="00732259"/>
    <w:rsid w:val="0075011B"/>
    <w:rsid w:val="0076210C"/>
    <w:rsid w:val="00770913"/>
    <w:rsid w:val="007A08C3"/>
    <w:rsid w:val="007A2A09"/>
    <w:rsid w:val="007D4B37"/>
    <w:rsid w:val="007F35F8"/>
    <w:rsid w:val="008514C9"/>
    <w:rsid w:val="008A3ACB"/>
    <w:rsid w:val="008E1196"/>
    <w:rsid w:val="00920143"/>
    <w:rsid w:val="00934764"/>
    <w:rsid w:val="009C16F5"/>
    <w:rsid w:val="00A0212B"/>
    <w:rsid w:val="00A76739"/>
    <w:rsid w:val="00A81897"/>
    <w:rsid w:val="00AE294F"/>
    <w:rsid w:val="00B00C80"/>
    <w:rsid w:val="00B8739A"/>
    <w:rsid w:val="00B9146E"/>
    <w:rsid w:val="00B97094"/>
    <w:rsid w:val="00BE1C82"/>
    <w:rsid w:val="00BF23C2"/>
    <w:rsid w:val="00C45FEE"/>
    <w:rsid w:val="00C9051F"/>
    <w:rsid w:val="00C93FC7"/>
    <w:rsid w:val="00D73341"/>
    <w:rsid w:val="00D77E3D"/>
    <w:rsid w:val="00DB740D"/>
    <w:rsid w:val="00E106AC"/>
    <w:rsid w:val="00E55E81"/>
    <w:rsid w:val="00E56A7F"/>
    <w:rsid w:val="00E77DEA"/>
    <w:rsid w:val="00F04C0B"/>
    <w:rsid w:val="00F1513F"/>
    <w:rsid w:val="00F77E8A"/>
    <w:rsid w:val="00F9243A"/>
    <w:rsid w:val="00F92CB7"/>
    <w:rsid w:val="00FA5C78"/>
    <w:rsid w:val="00FB02CA"/>
    <w:rsid w:val="00FC68DD"/>
    <w:rsid w:val="00FD3287"/>
    <w:rsid w:val="1DC5DA1B"/>
    <w:rsid w:val="351238C5"/>
    <w:rsid w:val="4A8C2990"/>
    <w:rsid w:val="74C5121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334C5"/>
  <w15:chartTrackingRefBased/>
  <w15:docId w15:val="{F332CA19-3491-4876-AB03-05190DCB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05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05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0596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0596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0596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0596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0596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0596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0596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QRD">
    <w:name w:val="QRD"/>
    <w:basedOn w:val="Style1"/>
    <w:link w:val="QRDChar"/>
    <w:qFormat/>
    <w:rsid w:val="00F92CB7"/>
    <w:rPr>
      <w:color w:val="auto"/>
      <w:lang w:val="sl-SI" w:eastAsia="sl-SI"/>
    </w:rPr>
  </w:style>
  <w:style w:type="character" w:customStyle="1" w:styleId="QRDChar">
    <w:name w:val="QRD Char"/>
    <w:basedOn w:val="Style1Char"/>
    <w:link w:val="QRD"/>
    <w:rsid w:val="00F92CB7"/>
    <w:rPr>
      <w:b/>
      <w:color w:val="000000"/>
      <w:lang w:val="sl-SI" w:eastAsia="sl-SI"/>
    </w:rPr>
  </w:style>
  <w:style w:type="paragraph" w:customStyle="1" w:styleId="Style1">
    <w:name w:val="Style1"/>
    <w:basedOn w:val="Normln"/>
    <w:link w:val="Style1Char"/>
    <w:qFormat/>
    <w:rsid w:val="001C30C1"/>
    <w:pPr>
      <w:spacing w:after="0" w:line="240" w:lineRule="auto"/>
      <w:jc w:val="center"/>
    </w:pPr>
    <w:rPr>
      <w:b/>
      <w:color w:val="000000"/>
      <w:lang w:val="lv-LV"/>
    </w:rPr>
  </w:style>
  <w:style w:type="character" w:customStyle="1" w:styleId="Style1Char">
    <w:name w:val="Style1 Char"/>
    <w:basedOn w:val="Standardnpsmoodstavce"/>
    <w:link w:val="Style1"/>
    <w:rsid w:val="001C30C1"/>
    <w:rPr>
      <w:b/>
      <w:color w:val="000000"/>
      <w:lang w:val="lv-LV"/>
    </w:rPr>
  </w:style>
  <w:style w:type="paragraph" w:customStyle="1" w:styleId="TitleA">
    <w:name w:val="Title A"/>
    <w:basedOn w:val="Normln"/>
    <w:link w:val="TitleAChar"/>
    <w:qFormat/>
    <w:rsid w:val="00D77E3D"/>
    <w:pPr>
      <w:spacing w:after="0" w:line="240" w:lineRule="auto"/>
      <w:jc w:val="center"/>
    </w:pPr>
    <w:rPr>
      <w:b/>
    </w:rPr>
  </w:style>
  <w:style w:type="character" w:customStyle="1" w:styleId="TitleAChar">
    <w:name w:val="Title A Char"/>
    <w:basedOn w:val="Standardnpsmoodstavce"/>
    <w:link w:val="TitleA"/>
    <w:rsid w:val="00D77E3D"/>
    <w:rPr>
      <w:b/>
    </w:rPr>
  </w:style>
  <w:style w:type="paragraph" w:customStyle="1" w:styleId="TitleB">
    <w:name w:val="Title B"/>
    <w:basedOn w:val="Normln"/>
    <w:link w:val="TitleBChar"/>
    <w:qFormat/>
    <w:rsid w:val="00D77E3D"/>
    <w:pPr>
      <w:widowControl w:val="0"/>
      <w:tabs>
        <w:tab w:val="left" w:pos="567"/>
      </w:tabs>
      <w:autoSpaceDE w:val="0"/>
      <w:autoSpaceDN w:val="0"/>
      <w:spacing w:after="0" w:line="240" w:lineRule="auto"/>
    </w:pPr>
    <w:rPr>
      <w:lang w:val="en-US"/>
    </w:rPr>
  </w:style>
  <w:style w:type="character" w:customStyle="1" w:styleId="TitleBChar">
    <w:name w:val="Title B Char"/>
    <w:basedOn w:val="Standardnpsmoodstavce"/>
    <w:link w:val="TitleB"/>
    <w:rsid w:val="00D77E3D"/>
    <w:rPr>
      <w:lang w:val="en-US"/>
    </w:rPr>
  </w:style>
  <w:style w:type="paragraph" w:customStyle="1" w:styleId="titleA0">
    <w:name w:val="title A"/>
    <w:basedOn w:val="Normln"/>
    <w:link w:val="titleAChar0"/>
    <w:qFormat/>
    <w:rsid w:val="007A2A09"/>
    <w:pPr>
      <w:spacing w:after="0" w:line="240" w:lineRule="auto"/>
      <w:jc w:val="center"/>
    </w:pPr>
    <w:rPr>
      <w:b/>
    </w:rPr>
  </w:style>
  <w:style w:type="character" w:customStyle="1" w:styleId="titleAChar0">
    <w:name w:val="title A Char"/>
    <w:basedOn w:val="Standardnpsmoodstavce"/>
    <w:link w:val="titleA0"/>
    <w:rsid w:val="007A2A09"/>
    <w:rPr>
      <w:b/>
    </w:rPr>
  </w:style>
  <w:style w:type="paragraph" w:customStyle="1" w:styleId="QRDTitle">
    <w:name w:val="QRD Title"/>
    <w:basedOn w:val="TitleA"/>
    <w:link w:val="QRDTitleChar"/>
    <w:autoRedefine/>
    <w:qFormat/>
    <w:rsid w:val="00FD3287"/>
  </w:style>
  <w:style w:type="character" w:customStyle="1" w:styleId="QRDTitleChar">
    <w:name w:val="QRD Title Char"/>
    <w:basedOn w:val="TitleAChar"/>
    <w:link w:val="QRDTitle"/>
    <w:rsid w:val="00FD3287"/>
    <w:rPr>
      <w:b/>
    </w:rPr>
  </w:style>
  <w:style w:type="character" w:customStyle="1" w:styleId="Nadpis1Char">
    <w:name w:val="Nadpis 1 Char"/>
    <w:basedOn w:val="Standardnpsmoodstavce"/>
    <w:link w:val="Nadpis1"/>
    <w:uiPriority w:val="9"/>
    <w:rsid w:val="0050596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0596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0596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0596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0596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0596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0596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0596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05965"/>
    <w:rPr>
      <w:rFonts w:eastAsiaTheme="majorEastAsia" w:cstheme="majorBidi"/>
      <w:color w:val="272727" w:themeColor="text1" w:themeTint="D8"/>
    </w:rPr>
  </w:style>
  <w:style w:type="paragraph" w:styleId="Nzev">
    <w:name w:val="Title"/>
    <w:basedOn w:val="Normln"/>
    <w:next w:val="Normln"/>
    <w:link w:val="NzevChar"/>
    <w:uiPriority w:val="10"/>
    <w:qFormat/>
    <w:rsid w:val="00505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0596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0596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0596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05965"/>
    <w:pPr>
      <w:spacing w:before="160"/>
      <w:jc w:val="center"/>
    </w:pPr>
    <w:rPr>
      <w:i/>
      <w:iCs/>
      <w:color w:val="404040" w:themeColor="text1" w:themeTint="BF"/>
    </w:rPr>
  </w:style>
  <w:style w:type="character" w:customStyle="1" w:styleId="CittChar">
    <w:name w:val="Citát Char"/>
    <w:basedOn w:val="Standardnpsmoodstavce"/>
    <w:link w:val="Citt"/>
    <w:uiPriority w:val="29"/>
    <w:rsid w:val="00505965"/>
    <w:rPr>
      <w:i/>
      <w:iCs/>
      <w:color w:val="404040" w:themeColor="text1" w:themeTint="BF"/>
    </w:rPr>
  </w:style>
  <w:style w:type="paragraph" w:styleId="Odstavecseseznamem">
    <w:name w:val="List Paragraph"/>
    <w:basedOn w:val="Normln"/>
    <w:uiPriority w:val="34"/>
    <w:qFormat/>
    <w:rsid w:val="00505965"/>
    <w:pPr>
      <w:ind w:left="720"/>
      <w:contextualSpacing/>
    </w:pPr>
  </w:style>
  <w:style w:type="character" w:styleId="Zdraznnintenzivn">
    <w:name w:val="Intense Emphasis"/>
    <w:basedOn w:val="Standardnpsmoodstavce"/>
    <w:uiPriority w:val="21"/>
    <w:qFormat/>
    <w:rsid w:val="00505965"/>
    <w:rPr>
      <w:i/>
      <w:iCs/>
      <w:color w:val="0F4761" w:themeColor="accent1" w:themeShade="BF"/>
    </w:rPr>
  </w:style>
  <w:style w:type="paragraph" w:styleId="Vrazncitt">
    <w:name w:val="Intense Quote"/>
    <w:basedOn w:val="Normln"/>
    <w:next w:val="Normln"/>
    <w:link w:val="VrazncittChar"/>
    <w:uiPriority w:val="30"/>
    <w:qFormat/>
    <w:rsid w:val="00505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05965"/>
    <w:rPr>
      <w:i/>
      <w:iCs/>
      <w:color w:val="0F4761" w:themeColor="accent1" w:themeShade="BF"/>
    </w:rPr>
  </w:style>
  <w:style w:type="character" w:styleId="Odkazintenzivn">
    <w:name w:val="Intense Reference"/>
    <w:basedOn w:val="Standardnpsmoodstavce"/>
    <w:uiPriority w:val="32"/>
    <w:qFormat/>
    <w:rsid w:val="00505965"/>
    <w:rPr>
      <w:b/>
      <w:bCs/>
      <w:smallCaps/>
      <w:color w:val="0F4761" w:themeColor="accent1" w:themeShade="BF"/>
      <w:spacing w:val="5"/>
    </w:rPr>
  </w:style>
  <w:style w:type="paragraph" w:styleId="Zpat">
    <w:name w:val="footer"/>
    <w:basedOn w:val="Normln"/>
    <w:link w:val="ZpatChar"/>
    <w:uiPriority w:val="99"/>
    <w:unhideWhenUsed/>
    <w:rsid w:val="00505965"/>
    <w:pPr>
      <w:tabs>
        <w:tab w:val="center" w:pos="4513"/>
        <w:tab w:val="right" w:pos="9026"/>
      </w:tabs>
      <w:spacing w:after="0" w:line="240" w:lineRule="auto"/>
    </w:pPr>
  </w:style>
  <w:style w:type="character" w:customStyle="1" w:styleId="ZpatChar">
    <w:name w:val="Zápatí Char"/>
    <w:basedOn w:val="Standardnpsmoodstavce"/>
    <w:link w:val="Zpat"/>
    <w:uiPriority w:val="99"/>
    <w:rsid w:val="00505965"/>
  </w:style>
  <w:style w:type="paragraph" w:styleId="Revize">
    <w:name w:val="Revision"/>
    <w:hidden/>
    <w:uiPriority w:val="99"/>
    <w:semiHidden/>
    <w:rsid w:val="005C40CC"/>
    <w:pPr>
      <w:spacing w:after="0" w:line="240" w:lineRule="auto"/>
    </w:pPr>
  </w:style>
  <w:style w:type="character" w:styleId="Odkaznakoment">
    <w:name w:val="annotation reference"/>
    <w:basedOn w:val="Standardnpsmoodstavce"/>
    <w:uiPriority w:val="99"/>
    <w:semiHidden/>
    <w:unhideWhenUsed/>
    <w:rsid w:val="00BF23C2"/>
    <w:rPr>
      <w:sz w:val="16"/>
      <w:szCs w:val="16"/>
    </w:rPr>
  </w:style>
  <w:style w:type="paragraph" w:styleId="Textkomente">
    <w:name w:val="annotation text"/>
    <w:basedOn w:val="Normln"/>
    <w:link w:val="TextkomenteChar"/>
    <w:uiPriority w:val="99"/>
    <w:unhideWhenUsed/>
    <w:rsid w:val="00BF23C2"/>
    <w:pPr>
      <w:spacing w:line="240" w:lineRule="auto"/>
    </w:pPr>
    <w:rPr>
      <w:sz w:val="20"/>
      <w:szCs w:val="20"/>
    </w:rPr>
  </w:style>
  <w:style w:type="character" w:customStyle="1" w:styleId="TextkomenteChar">
    <w:name w:val="Text komentáře Char"/>
    <w:basedOn w:val="Standardnpsmoodstavce"/>
    <w:link w:val="Textkomente"/>
    <w:uiPriority w:val="99"/>
    <w:rsid w:val="00BF23C2"/>
    <w:rPr>
      <w:sz w:val="20"/>
      <w:szCs w:val="20"/>
    </w:rPr>
  </w:style>
  <w:style w:type="paragraph" w:styleId="Pedmtkomente">
    <w:name w:val="annotation subject"/>
    <w:basedOn w:val="Textkomente"/>
    <w:next w:val="Textkomente"/>
    <w:link w:val="PedmtkomenteChar"/>
    <w:uiPriority w:val="99"/>
    <w:semiHidden/>
    <w:unhideWhenUsed/>
    <w:rsid w:val="00BF23C2"/>
    <w:rPr>
      <w:b/>
      <w:bCs/>
    </w:rPr>
  </w:style>
  <w:style w:type="character" w:customStyle="1" w:styleId="PedmtkomenteChar">
    <w:name w:val="Předmět komentáře Char"/>
    <w:basedOn w:val="TextkomenteChar"/>
    <w:link w:val="Pedmtkomente"/>
    <w:uiPriority w:val="99"/>
    <w:semiHidden/>
    <w:rsid w:val="00BF23C2"/>
    <w:rPr>
      <w:b/>
      <w:bCs/>
      <w:sz w:val="20"/>
      <w:szCs w:val="20"/>
    </w:rPr>
  </w:style>
  <w:style w:type="character" w:styleId="Zmnka">
    <w:name w:val="Mention"/>
    <w:basedOn w:val="Standardnpsmoodstavce"/>
    <w:uiPriority w:val="99"/>
    <w:unhideWhenUsed/>
    <w:rsid w:val="00BF23C2"/>
    <w:rPr>
      <w:color w:val="2B579A"/>
      <w:shd w:val="clear" w:color="auto" w:fill="E1DFDD"/>
    </w:rPr>
  </w:style>
  <w:style w:type="character" w:styleId="Hypertextovodkaz">
    <w:name w:val="Hyperlink"/>
    <w:basedOn w:val="Standardnpsmoodstavce"/>
    <w:uiPriority w:val="99"/>
    <w:unhideWhenUsed/>
    <w:rsid w:val="00011E3B"/>
    <w:rPr>
      <w:color w:val="467886" w:themeColor="hyperlink"/>
      <w:u w:val="single"/>
    </w:rPr>
  </w:style>
  <w:style w:type="character" w:styleId="Nevyeenzmnka">
    <w:name w:val="Unresolved Mention"/>
    <w:basedOn w:val="Standardnpsmoodstavce"/>
    <w:uiPriority w:val="99"/>
    <w:semiHidden/>
    <w:unhideWhenUsed/>
    <w:rsid w:val="00011E3B"/>
    <w:rPr>
      <w:color w:val="605E5C"/>
      <w:shd w:val="clear" w:color="auto" w:fill="E1DFDD"/>
    </w:rPr>
  </w:style>
  <w:style w:type="paragraph" w:styleId="Zhlav">
    <w:name w:val="header"/>
    <w:basedOn w:val="Normln"/>
    <w:link w:val="ZhlavChar"/>
    <w:uiPriority w:val="99"/>
    <w:unhideWhenUsed/>
    <w:rsid w:val="008A3ACB"/>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A3ACB"/>
  </w:style>
  <w:style w:type="paragraph" w:styleId="Textbubliny">
    <w:name w:val="Balloon Text"/>
    <w:basedOn w:val="Normln"/>
    <w:link w:val="TextbublinyChar"/>
    <w:uiPriority w:val="99"/>
    <w:semiHidden/>
    <w:unhideWhenUsed/>
    <w:rsid w:val="007F35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3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V.CZE@elancoah.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cines.health.europa.eu/veterin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adr@uskvbl.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a6acc-be1c-48dd-afcb-431185f47cbf" xsi:nil="true"/>
    <lcf76f155ced4ddcb4097134ff3c332f xmlns="7b288429-e676-4570-873a-a7c5b5599b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51EC9E53B62418B8933E2A491A52C" ma:contentTypeVersion="18" ma:contentTypeDescription="Create a new document." ma:contentTypeScope="" ma:versionID="ac513afeef9761e65aa450cf589879cc">
  <xsd:schema xmlns:xsd="http://www.w3.org/2001/XMLSchema" xmlns:xs="http://www.w3.org/2001/XMLSchema" xmlns:p="http://schemas.microsoft.com/office/2006/metadata/properties" xmlns:ns2="7b288429-e676-4570-873a-a7c5b5599bbf" xmlns:ns3="97aa6acc-be1c-48dd-afcb-431185f47cbf" targetNamespace="http://schemas.microsoft.com/office/2006/metadata/properties" ma:root="true" ma:fieldsID="7eda2f621cc96b32d0f8184ef342baab" ns2:_="" ns3:_="">
    <xsd:import namespace="7b288429-e676-4570-873a-a7c5b5599bbf"/>
    <xsd:import namespace="97aa6acc-be1c-48dd-afcb-431185f47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88429-e676-4570-873a-a7c5b5599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a6acc-be1c-48dd-afcb-431185f47c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d173d0-6b72-416a-b325-1a38a4162763}" ma:internalName="TaxCatchAll" ma:showField="CatchAllData" ma:web="97aa6acc-be1c-48dd-afcb-431185f47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069BB-D3AA-42F4-AB7B-3FC605E621A2}">
  <ds:schemaRefs>
    <ds:schemaRef ds:uri="http://schemas.microsoft.com/office/2006/metadata/properties"/>
    <ds:schemaRef ds:uri="http://schemas.microsoft.com/office/infopath/2007/PartnerControls"/>
    <ds:schemaRef ds:uri="97aa6acc-be1c-48dd-afcb-431185f47cbf"/>
    <ds:schemaRef ds:uri="7b288429-e676-4570-873a-a7c5b5599bbf"/>
  </ds:schemaRefs>
</ds:datastoreItem>
</file>

<file path=customXml/itemProps2.xml><?xml version="1.0" encoding="utf-8"?>
<ds:datastoreItem xmlns:ds="http://schemas.openxmlformats.org/officeDocument/2006/customXml" ds:itemID="{C17AFDB8-D211-4527-9E2A-3E527B15E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88429-e676-4570-873a-a7c5b5599bbf"/>
    <ds:schemaRef ds:uri="97aa6acc-be1c-48dd-afcb-431185f47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C493E-F786-4D1E-8E3B-ACA390C414AF}">
  <ds:schemaRefs>
    <ds:schemaRef ds:uri="http://schemas.microsoft.com/sharepoint/v3/contenttype/forms"/>
  </ds:schemaRefs>
</ds:datastoreItem>
</file>

<file path=docMetadata/LabelInfo.xml><?xml version="1.0" encoding="utf-8"?>
<clbl:labelList xmlns:clbl="http://schemas.microsoft.com/office/2020/mipLabelMetadata">
  <clbl:label id="{8e41bacc-baba-48d6-9fcb-708bd1208e38}" enabled="0" method="" siteId="{8e41bacc-baba-48d6-9fcb-708bd1208e38}" removed="1"/>
</clbl:labelList>
</file>

<file path=docProps/app.xml><?xml version="1.0" encoding="utf-8"?>
<Properties xmlns="http://schemas.openxmlformats.org/officeDocument/2006/extended-properties" xmlns:vt="http://schemas.openxmlformats.org/officeDocument/2006/docPropsVTypes">
  <Template>Normal</Template>
  <TotalTime>33</TotalTime>
  <Pages>6</Pages>
  <Words>1416</Words>
  <Characters>8359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Tusar</dc:creator>
  <cp:keywords/>
  <dc:description/>
  <cp:lastModifiedBy>Nepejchalová Leona</cp:lastModifiedBy>
  <cp:revision>27</cp:revision>
  <dcterms:created xsi:type="dcterms:W3CDTF">2024-10-21T00:57:00Z</dcterms:created>
  <dcterms:modified xsi:type="dcterms:W3CDTF">2025-03-13T08:37:00Z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0x010100F9FE20DFD7E4F24EB6978DB77E30EE02</vt:lpwstr>
  </property>
  <property fmtid="{D5CDD505-2E9C-101B-9397-08002B2CF9AE}" pid="3" name="MediaServiceImageTags">
    <vt:lpwstr/>
  </property>
</Properties>
</file>