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6E71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  <w:rPr>
          <w:b/>
        </w:rPr>
      </w:pPr>
    </w:p>
    <w:p w14:paraId="0863A63E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71ED4D0C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37B1ABDD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361B0358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455C1A70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796F21DC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3772F9B2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50E1F668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07B6DE55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0D7C2199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6E219F54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1AEA54ED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2AC8C1DE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72C23D35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20B3191C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11D70E95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02572194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63AFEE20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6F4F26C7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4A8F9960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01FBE619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37B707FA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</w:p>
    <w:p w14:paraId="0AD99A55" w14:textId="77777777" w:rsidR="00FD7BDD" w:rsidRPr="00FD7BDD" w:rsidRDefault="000C1EEA" w:rsidP="000C1EEA">
      <w:pPr>
        <w:tabs>
          <w:tab w:val="left" w:pos="720"/>
        </w:tabs>
        <w:ind w:left="0" w:firstLine="0"/>
        <w:jc w:val="center"/>
        <w:outlineLvl w:val="0"/>
      </w:pPr>
      <w:r>
        <w:rPr>
          <w:b/>
        </w:rPr>
        <w:t xml:space="preserve">B. </w:t>
      </w:r>
      <w:r w:rsidR="00FD7BDD" w:rsidRPr="00FD7BDD">
        <w:rPr>
          <w:b/>
        </w:rPr>
        <w:t>PŘÍBALOVÁ INFORMACE</w:t>
      </w:r>
    </w:p>
    <w:p w14:paraId="590272C3" w14:textId="77777777" w:rsidR="00FD7BDD" w:rsidRPr="00FD7BDD" w:rsidRDefault="00FD7BDD" w:rsidP="00FD7BDD">
      <w:pPr>
        <w:tabs>
          <w:tab w:val="left" w:pos="720"/>
        </w:tabs>
        <w:ind w:left="0" w:firstLine="0"/>
        <w:jc w:val="center"/>
      </w:pPr>
      <w:r w:rsidRPr="00FD7BDD">
        <w:br w:type="page"/>
      </w:r>
      <w:r w:rsidRPr="00FD7BDD">
        <w:rPr>
          <w:b/>
        </w:rPr>
        <w:lastRenderedPageBreak/>
        <w:t>PŘÍBALOVÁ INFORMACE</w:t>
      </w:r>
    </w:p>
    <w:p w14:paraId="2B07E8F0" w14:textId="77777777" w:rsidR="00FD7BDD" w:rsidRPr="00FD7BDD" w:rsidRDefault="00FD7BDD" w:rsidP="009A7DD6">
      <w:pPr>
        <w:tabs>
          <w:tab w:val="left" w:pos="720"/>
        </w:tabs>
        <w:ind w:left="0" w:firstLine="0"/>
      </w:pPr>
    </w:p>
    <w:p w14:paraId="6980083E" w14:textId="77777777" w:rsidR="00FD7BDD" w:rsidRPr="00FD7BDD" w:rsidRDefault="00FD7BDD" w:rsidP="00FD7BDD">
      <w:pPr>
        <w:tabs>
          <w:tab w:val="left" w:pos="720"/>
        </w:tabs>
      </w:pPr>
    </w:p>
    <w:p w14:paraId="6FC9102E" w14:textId="4DDD956D" w:rsidR="00FD7BDD" w:rsidRPr="00FD7BDD" w:rsidRDefault="00BE35DE" w:rsidP="00FD7BDD">
      <w:pPr>
        <w:tabs>
          <w:tab w:val="left" w:pos="567"/>
        </w:tabs>
      </w:pPr>
      <w:r w:rsidRPr="00C16C76">
        <w:rPr>
          <w:b/>
          <w:highlight w:val="lightGray"/>
        </w:rPr>
        <w:t>1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  <w:t>N</w:t>
      </w:r>
      <w:r w:rsidRPr="00FD7BDD">
        <w:rPr>
          <w:b/>
        </w:rPr>
        <w:t>ázev veterinárního léčivého přípravku</w:t>
      </w:r>
    </w:p>
    <w:p w14:paraId="0F7EB6DD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79E22354" w14:textId="01E5079A" w:rsidR="00BE35DE" w:rsidRDefault="00BE35DE" w:rsidP="00BE35DE">
      <w:pPr>
        <w:tabs>
          <w:tab w:val="left" w:pos="720"/>
        </w:tabs>
        <w:ind w:left="0" w:firstLine="0"/>
      </w:pPr>
      <w:proofErr w:type="spellStart"/>
      <w:r w:rsidRPr="009A7DD6">
        <w:t>Ubrostar</w:t>
      </w:r>
      <w:proofErr w:type="spellEnd"/>
      <w:r w:rsidRPr="009A7DD6">
        <w:t xml:space="preserve"> D</w:t>
      </w:r>
      <w:r w:rsidR="006A75CE">
        <w:t xml:space="preserve">ry </w:t>
      </w:r>
      <w:proofErr w:type="spellStart"/>
      <w:r w:rsidRPr="009A7DD6">
        <w:t>C</w:t>
      </w:r>
      <w:r w:rsidR="006A75CE">
        <w:t>ow</w:t>
      </w:r>
      <w:proofErr w:type="spellEnd"/>
      <w:r w:rsidRPr="009A7DD6">
        <w:t xml:space="preserve"> 100 mg / 280 mg / 100 mg intramam</w:t>
      </w:r>
      <w:r w:rsidR="000E748F" w:rsidRPr="009A7DD6">
        <w:t>ární suspenze pro skot</w:t>
      </w:r>
    </w:p>
    <w:p w14:paraId="73725788" w14:textId="77777777" w:rsidR="00BE35DE" w:rsidRPr="00FD7BDD" w:rsidRDefault="00BE35DE" w:rsidP="00BE35DE">
      <w:pPr>
        <w:tabs>
          <w:tab w:val="left" w:pos="720"/>
        </w:tabs>
        <w:ind w:left="0" w:firstLine="0"/>
      </w:pPr>
    </w:p>
    <w:p w14:paraId="0494ECBA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604A59D6" w14:textId="21307CE5" w:rsidR="00FD7BDD" w:rsidRPr="00FD7BDD" w:rsidRDefault="000E748F" w:rsidP="00FD7BDD">
      <w:pPr>
        <w:tabs>
          <w:tab w:val="left" w:pos="567"/>
        </w:tabs>
        <w:rPr>
          <w:b/>
        </w:rPr>
      </w:pPr>
      <w:r w:rsidRPr="00C16C76">
        <w:rPr>
          <w:b/>
          <w:highlight w:val="lightGray"/>
        </w:rPr>
        <w:t>2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Složení</w:t>
      </w:r>
    </w:p>
    <w:p w14:paraId="1F653E69" w14:textId="77777777" w:rsidR="00FD7BDD" w:rsidRPr="00FD7BDD" w:rsidRDefault="00FD7BDD" w:rsidP="00FD7BDD">
      <w:pPr>
        <w:tabs>
          <w:tab w:val="left" w:pos="720"/>
        </w:tabs>
        <w:ind w:left="0" w:firstLine="0"/>
        <w:rPr>
          <w:iCs/>
        </w:rPr>
      </w:pPr>
    </w:p>
    <w:p w14:paraId="0A18098E" w14:textId="15A11CE1" w:rsidR="00FD7BDD" w:rsidRPr="00FD7BDD" w:rsidRDefault="009A2674" w:rsidP="00FD7BDD">
      <w:pPr>
        <w:tabs>
          <w:tab w:val="left" w:pos="720"/>
        </w:tabs>
        <w:ind w:left="0" w:firstLine="0"/>
      </w:pPr>
      <w:r>
        <w:t>Každý</w:t>
      </w:r>
      <w:r w:rsidRPr="00FD7BDD">
        <w:t xml:space="preserve"> </w:t>
      </w:r>
      <w:r w:rsidR="00FD7BDD" w:rsidRPr="00FD7BDD">
        <w:t xml:space="preserve">4,5g </w:t>
      </w:r>
      <w:proofErr w:type="spellStart"/>
      <w:r w:rsidR="00FD7BDD" w:rsidRPr="00FD7BDD">
        <w:t>intramamární</w:t>
      </w:r>
      <w:proofErr w:type="spellEnd"/>
      <w:r w:rsidR="00FD7BDD" w:rsidRPr="00FD7BDD">
        <w:t xml:space="preserve"> injektor obsahuje:</w:t>
      </w:r>
    </w:p>
    <w:p w14:paraId="57334408" w14:textId="77777777" w:rsidR="00FD7BDD" w:rsidRPr="00FD7BDD" w:rsidRDefault="00FD7BDD" w:rsidP="00FD7BDD">
      <w:pPr>
        <w:tabs>
          <w:tab w:val="left" w:pos="720"/>
        </w:tabs>
        <w:ind w:left="0" w:firstLine="0"/>
        <w:rPr>
          <w:b/>
        </w:rPr>
      </w:pPr>
    </w:p>
    <w:p w14:paraId="64C5D0A1" w14:textId="77777777" w:rsidR="00FD7BDD" w:rsidRPr="00FD7BDD" w:rsidRDefault="00FD7BDD" w:rsidP="00FD7BDD">
      <w:pPr>
        <w:tabs>
          <w:tab w:val="left" w:pos="720"/>
        </w:tabs>
        <w:ind w:left="0" w:firstLine="0"/>
        <w:rPr>
          <w:b/>
        </w:rPr>
      </w:pPr>
      <w:r w:rsidRPr="00FD7BDD">
        <w:rPr>
          <w:b/>
        </w:rPr>
        <w:t>Léčivé látky:</w:t>
      </w:r>
    </w:p>
    <w:p w14:paraId="13E195A5" w14:textId="77777777" w:rsidR="00FD7BDD" w:rsidRPr="00FD7BDD" w:rsidRDefault="00FD7BDD" w:rsidP="00FD7BDD">
      <w:pPr>
        <w:tabs>
          <w:tab w:val="left" w:pos="2552"/>
        </w:tabs>
        <w:ind w:left="0" w:firstLine="0"/>
        <w:rPr>
          <w:iCs/>
        </w:rPr>
      </w:pPr>
      <w:proofErr w:type="spellStart"/>
      <w:r w:rsidRPr="00FD7BDD">
        <w:rPr>
          <w:iCs/>
        </w:rPr>
        <w:t>Penethacillini</w:t>
      </w:r>
      <w:proofErr w:type="spellEnd"/>
      <w:r w:rsidRPr="00FD7BDD">
        <w:rPr>
          <w:iCs/>
        </w:rPr>
        <w:t xml:space="preserve"> </w:t>
      </w:r>
      <w:proofErr w:type="spellStart"/>
      <w:r w:rsidRPr="00FD7BDD">
        <w:rPr>
          <w:iCs/>
        </w:rPr>
        <w:t>hydroiodidum</w:t>
      </w:r>
      <w:proofErr w:type="spellEnd"/>
      <w:r w:rsidRPr="00FD7BDD">
        <w:rPr>
          <w:iCs/>
        </w:rPr>
        <w:tab/>
      </w:r>
      <w:r w:rsidRPr="00FD7BDD">
        <w:rPr>
          <w:iCs/>
        </w:rPr>
        <w:tab/>
        <w:t xml:space="preserve">100 mg (odpovídá 77,2 mg </w:t>
      </w:r>
      <w:proofErr w:type="spellStart"/>
      <w:r w:rsidRPr="00FD7BDD">
        <w:rPr>
          <w:iCs/>
        </w:rPr>
        <w:t>penethacillinum</w:t>
      </w:r>
      <w:proofErr w:type="spellEnd"/>
      <w:r w:rsidRPr="00FD7BDD">
        <w:rPr>
          <w:iCs/>
        </w:rPr>
        <w:t>)</w:t>
      </w:r>
    </w:p>
    <w:p w14:paraId="503696A9" w14:textId="77777777" w:rsidR="00FD7BDD" w:rsidRPr="00FD7BDD" w:rsidRDefault="00FD7BDD" w:rsidP="00FD7BDD">
      <w:pPr>
        <w:tabs>
          <w:tab w:val="left" w:pos="2552"/>
        </w:tabs>
        <w:ind w:left="0" w:firstLine="0"/>
        <w:rPr>
          <w:iCs/>
        </w:rPr>
      </w:pPr>
      <w:proofErr w:type="spellStart"/>
      <w:r w:rsidRPr="00FD7BDD">
        <w:rPr>
          <w:iCs/>
        </w:rPr>
        <w:t>Benethaminum</w:t>
      </w:r>
      <w:proofErr w:type="spellEnd"/>
      <w:r w:rsidRPr="00FD7BDD">
        <w:rPr>
          <w:iCs/>
        </w:rPr>
        <w:t xml:space="preserve"> </w:t>
      </w:r>
      <w:proofErr w:type="spellStart"/>
      <w:r w:rsidRPr="00FD7BDD">
        <w:rPr>
          <w:iCs/>
        </w:rPr>
        <w:t>penicillinum</w:t>
      </w:r>
      <w:proofErr w:type="spellEnd"/>
      <w:r w:rsidRPr="00FD7BDD">
        <w:rPr>
          <w:iCs/>
        </w:rPr>
        <w:tab/>
      </w:r>
      <w:r w:rsidRPr="00FD7BDD">
        <w:rPr>
          <w:iCs/>
        </w:rPr>
        <w:tab/>
        <w:t xml:space="preserve">280 mg (odpovídá 171,6 mg </w:t>
      </w:r>
      <w:proofErr w:type="spellStart"/>
      <w:r w:rsidRPr="00FD7BDD">
        <w:rPr>
          <w:iCs/>
        </w:rPr>
        <w:t>benzylpenicillinum</w:t>
      </w:r>
      <w:proofErr w:type="spellEnd"/>
      <w:r w:rsidRPr="00FD7BDD">
        <w:rPr>
          <w:iCs/>
        </w:rPr>
        <w:t>)</w:t>
      </w:r>
    </w:p>
    <w:p w14:paraId="593EA251" w14:textId="77777777" w:rsidR="00FD7BDD" w:rsidRPr="00FD7BDD" w:rsidRDefault="00FD7BDD" w:rsidP="00FD7BDD">
      <w:pPr>
        <w:tabs>
          <w:tab w:val="left" w:pos="2552"/>
        </w:tabs>
        <w:ind w:left="0" w:firstLine="0"/>
        <w:rPr>
          <w:iCs/>
        </w:rPr>
      </w:pPr>
      <w:proofErr w:type="spellStart"/>
      <w:r w:rsidRPr="00FD7BDD">
        <w:rPr>
          <w:iCs/>
        </w:rPr>
        <w:t>Framycetini</w:t>
      </w:r>
      <w:proofErr w:type="spellEnd"/>
      <w:r w:rsidRPr="00FD7BDD">
        <w:rPr>
          <w:iCs/>
        </w:rPr>
        <w:t xml:space="preserve"> </w:t>
      </w:r>
      <w:proofErr w:type="spellStart"/>
      <w:r w:rsidRPr="00FD7BDD">
        <w:rPr>
          <w:iCs/>
        </w:rPr>
        <w:t>sulfas</w:t>
      </w:r>
      <w:proofErr w:type="spellEnd"/>
      <w:r w:rsidRPr="00FD7BDD">
        <w:rPr>
          <w:iCs/>
        </w:rPr>
        <w:tab/>
      </w:r>
      <w:r w:rsidRPr="00FD7BDD">
        <w:rPr>
          <w:iCs/>
        </w:rPr>
        <w:tab/>
        <w:t xml:space="preserve">100 mg (odpovídá 71,0 mg </w:t>
      </w:r>
      <w:proofErr w:type="spellStart"/>
      <w:r w:rsidRPr="00FD7BDD">
        <w:rPr>
          <w:iCs/>
        </w:rPr>
        <w:t>framycetinum</w:t>
      </w:r>
      <w:proofErr w:type="spellEnd"/>
      <w:r w:rsidRPr="00FD7BDD">
        <w:rPr>
          <w:iCs/>
        </w:rPr>
        <w:t>)</w:t>
      </w:r>
    </w:p>
    <w:p w14:paraId="5D992EB9" w14:textId="77777777" w:rsidR="00FD7BDD" w:rsidRDefault="00FD7BDD" w:rsidP="00FD7BDD">
      <w:pPr>
        <w:tabs>
          <w:tab w:val="left" w:pos="720"/>
        </w:tabs>
        <w:ind w:left="0" w:firstLine="0"/>
      </w:pPr>
    </w:p>
    <w:p w14:paraId="58A25BA1" w14:textId="77777777" w:rsidR="008E5F3C" w:rsidRPr="00FD7BDD" w:rsidRDefault="008E5F3C" w:rsidP="00FD7BDD">
      <w:pPr>
        <w:tabs>
          <w:tab w:val="left" w:pos="720"/>
        </w:tabs>
        <w:ind w:left="0" w:firstLine="0"/>
      </w:pPr>
    </w:p>
    <w:p w14:paraId="67A202F5" w14:textId="7EDD692E" w:rsidR="00FD7BDD" w:rsidRPr="00FD7BDD" w:rsidRDefault="000E748F" w:rsidP="00FD7BDD">
      <w:pPr>
        <w:tabs>
          <w:tab w:val="left" w:pos="720"/>
        </w:tabs>
        <w:ind w:left="0" w:firstLine="0"/>
        <w:rPr>
          <w:b/>
        </w:rPr>
      </w:pPr>
      <w:r w:rsidRPr="00C16C76">
        <w:rPr>
          <w:b/>
          <w:highlight w:val="lightGray"/>
        </w:rPr>
        <w:t>3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Cílové druhy zvířat</w:t>
      </w:r>
    </w:p>
    <w:p w14:paraId="4D58582E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513BBB1F" w14:textId="7D949B0E" w:rsidR="00FD7BDD" w:rsidRPr="00FD7BDD" w:rsidRDefault="000E748F" w:rsidP="00FD7BDD">
      <w:pPr>
        <w:tabs>
          <w:tab w:val="left" w:pos="720"/>
        </w:tabs>
        <w:ind w:left="0" w:firstLine="0"/>
        <w:jc w:val="both"/>
      </w:pPr>
      <w:r>
        <w:t>Skot (</w:t>
      </w:r>
      <w:r w:rsidR="00FC7FBA">
        <w:t xml:space="preserve">dojnice </w:t>
      </w:r>
      <w:r>
        <w:t>při zaprahování)</w:t>
      </w:r>
    </w:p>
    <w:p w14:paraId="7B866901" w14:textId="77777777" w:rsidR="00FD7BDD" w:rsidRDefault="00FD7BDD" w:rsidP="00FD7BDD">
      <w:pPr>
        <w:tabs>
          <w:tab w:val="left" w:pos="720"/>
        </w:tabs>
        <w:ind w:left="0" w:firstLine="0"/>
      </w:pPr>
    </w:p>
    <w:p w14:paraId="6E7735E9" w14:textId="77777777" w:rsidR="008E5F3C" w:rsidRPr="00FD7BDD" w:rsidRDefault="008E5F3C" w:rsidP="00FD7BDD">
      <w:pPr>
        <w:tabs>
          <w:tab w:val="left" w:pos="720"/>
        </w:tabs>
        <w:ind w:left="0" w:firstLine="0"/>
      </w:pPr>
    </w:p>
    <w:p w14:paraId="6E5C10DF" w14:textId="549B6064" w:rsidR="00FD7BDD" w:rsidRPr="00FD7BDD" w:rsidRDefault="000E748F" w:rsidP="00FD7BDD">
      <w:pPr>
        <w:tabs>
          <w:tab w:val="left" w:pos="720"/>
        </w:tabs>
        <w:ind w:left="0" w:firstLine="0"/>
        <w:rPr>
          <w:b/>
        </w:rPr>
      </w:pPr>
      <w:r w:rsidRPr="00C16C76">
        <w:rPr>
          <w:b/>
          <w:highlight w:val="lightGray"/>
        </w:rPr>
        <w:t>4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Indikace pro použití</w:t>
      </w:r>
    </w:p>
    <w:p w14:paraId="5D002422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1B0F1F9B" w14:textId="101DD5A7" w:rsidR="00FD7BDD" w:rsidRPr="00FD7BDD" w:rsidRDefault="000E748F" w:rsidP="0084736B">
      <w:pPr>
        <w:tabs>
          <w:tab w:val="left" w:pos="720"/>
        </w:tabs>
        <w:ind w:left="0" w:firstLine="0"/>
      </w:pPr>
      <w:r w:rsidRPr="00E3610C">
        <w:t>Léčba subklinické mastitidy při zaprahování a prevence nových bakteriálních infekcí vemene u dojnic v</w:t>
      </w:r>
      <w:r w:rsidR="008E5F3C">
        <w:t> </w:t>
      </w:r>
      <w:r w:rsidRPr="00E3610C">
        <w:t xml:space="preserve">období stání na sucho </w:t>
      </w:r>
      <w:r w:rsidR="00945A4C">
        <w:t>vyvolaných</w:t>
      </w:r>
      <w:r w:rsidRPr="00E3610C">
        <w:t xml:space="preserve"> bakteriemi citlivými </w:t>
      </w:r>
      <w:r>
        <w:t>k</w:t>
      </w:r>
      <w:r w:rsidR="008E5F3C">
        <w:t> </w:t>
      </w:r>
      <w:r w:rsidRPr="00E3610C">
        <w:t>penicilin</w:t>
      </w:r>
      <w:r>
        <w:t>u</w:t>
      </w:r>
      <w:r w:rsidRPr="00E3610C">
        <w:t xml:space="preserve"> a </w:t>
      </w:r>
      <w:proofErr w:type="spellStart"/>
      <w:r w:rsidRPr="00E3610C">
        <w:t>framycetin</w:t>
      </w:r>
      <w:r>
        <w:t>u</w:t>
      </w:r>
      <w:proofErr w:type="spellEnd"/>
      <w:r w:rsidRPr="00E3610C">
        <w:t>.</w:t>
      </w:r>
    </w:p>
    <w:p w14:paraId="2E3C471D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5980FA27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4409831C" w14:textId="4F7A2357" w:rsidR="00FD7BDD" w:rsidRPr="00FD7BDD" w:rsidRDefault="00034CAA" w:rsidP="00FD7BDD">
      <w:pPr>
        <w:tabs>
          <w:tab w:val="left" w:pos="567"/>
        </w:tabs>
      </w:pPr>
      <w:r w:rsidRPr="00C16C76">
        <w:rPr>
          <w:b/>
          <w:highlight w:val="lightGray"/>
        </w:rPr>
        <w:t>5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Kontraindikace</w:t>
      </w:r>
    </w:p>
    <w:p w14:paraId="3BF793F3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23F3B5C2" w14:textId="77777777" w:rsidR="00034CAA" w:rsidRPr="00FD7BDD" w:rsidRDefault="00034CAA" w:rsidP="00034CAA">
      <w:pPr>
        <w:tabs>
          <w:tab w:val="left" w:pos="720"/>
        </w:tabs>
        <w:ind w:left="0" w:firstLine="0"/>
      </w:pPr>
      <w:r w:rsidRPr="00FD7BDD">
        <w:t>Nepoužívat u dojnic v</w:t>
      </w:r>
      <w:r w:rsidR="008E5F3C">
        <w:t> </w:t>
      </w:r>
      <w:r w:rsidRPr="00FD7BDD">
        <w:t>laktaci.</w:t>
      </w:r>
    </w:p>
    <w:p w14:paraId="2DAD7FFB" w14:textId="40EA5C55" w:rsidR="00FD7BDD" w:rsidRPr="00FD7BDD" w:rsidRDefault="00034CAA" w:rsidP="00FD7BDD">
      <w:pPr>
        <w:tabs>
          <w:tab w:val="left" w:pos="720"/>
        </w:tabs>
        <w:ind w:left="0" w:firstLine="0"/>
      </w:pPr>
      <w:r w:rsidRPr="00FD7BDD">
        <w:t>Nepoužívat v</w:t>
      </w:r>
      <w:r w:rsidR="008E5F3C">
        <w:t> </w:t>
      </w:r>
      <w:r w:rsidRPr="00FD7BDD">
        <w:t>případ</w:t>
      </w:r>
      <w:r w:rsidR="00FC243F">
        <w:t>ech</w:t>
      </w:r>
      <w:r w:rsidRPr="00FD7BDD">
        <w:t xml:space="preserve"> přecitlivělosti na léčiv</w:t>
      </w:r>
      <w:r w:rsidR="000B446A">
        <w:t>é</w:t>
      </w:r>
      <w:r w:rsidRPr="00FD7BDD">
        <w:t xml:space="preserve"> látk</w:t>
      </w:r>
      <w:r w:rsidR="000B446A">
        <w:t>y</w:t>
      </w:r>
      <w:r w:rsidRPr="00FD7BDD">
        <w:rPr>
          <w:color w:val="000000"/>
          <w:szCs w:val="22"/>
        </w:rPr>
        <w:t>, nebo na některou z</w:t>
      </w:r>
      <w:r w:rsidR="008E5F3C">
        <w:rPr>
          <w:color w:val="000000"/>
          <w:szCs w:val="22"/>
        </w:rPr>
        <w:t> </w:t>
      </w:r>
      <w:r w:rsidRPr="00FD7BDD">
        <w:rPr>
          <w:color w:val="000000"/>
          <w:szCs w:val="22"/>
        </w:rPr>
        <w:t>pomocných látek</w:t>
      </w:r>
      <w:r w:rsidRPr="00FD7BDD">
        <w:t>.</w:t>
      </w:r>
    </w:p>
    <w:p w14:paraId="74138A96" w14:textId="77777777" w:rsidR="00FD7BDD" w:rsidRDefault="00FD7BDD" w:rsidP="00FD7BDD">
      <w:pPr>
        <w:tabs>
          <w:tab w:val="left" w:pos="720"/>
        </w:tabs>
        <w:ind w:left="0" w:firstLine="0"/>
      </w:pPr>
    </w:p>
    <w:p w14:paraId="2CB8847F" w14:textId="77777777" w:rsidR="008E5F3C" w:rsidRPr="00FD7BDD" w:rsidRDefault="008E5F3C" w:rsidP="00FD7BDD">
      <w:pPr>
        <w:tabs>
          <w:tab w:val="left" w:pos="720"/>
        </w:tabs>
        <w:ind w:left="0" w:firstLine="0"/>
      </w:pPr>
    </w:p>
    <w:p w14:paraId="3DBFB41C" w14:textId="159643AF" w:rsidR="00FD7BDD" w:rsidRPr="00FD7BDD" w:rsidRDefault="00034CAA" w:rsidP="00FD7BDD">
      <w:pPr>
        <w:tabs>
          <w:tab w:val="left" w:pos="567"/>
        </w:tabs>
      </w:pPr>
      <w:r w:rsidRPr="00C16C76">
        <w:rPr>
          <w:b/>
          <w:highlight w:val="lightGray"/>
        </w:rPr>
        <w:t>6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Zvláštní upozornění</w:t>
      </w:r>
    </w:p>
    <w:p w14:paraId="7E6D63F2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45A02995" w14:textId="77777777" w:rsidR="00034CAA" w:rsidRPr="00FD7BDD" w:rsidRDefault="00034CAA" w:rsidP="006D0662">
      <w:pPr>
        <w:tabs>
          <w:tab w:val="left" w:pos="720"/>
        </w:tabs>
        <w:ind w:left="0" w:firstLine="0"/>
        <w:rPr>
          <w:u w:val="single"/>
        </w:rPr>
      </w:pPr>
      <w:r w:rsidRPr="00FD7BDD">
        <w:rPr>
          <w:u w:val="single"/>
        </w:rPr>
        <w:t>Zvláštní upozornění</w:t>
      </w:r>
      <w:r>
        <w:rPr>
          <w:u w:val="single"/>
        </w:rPr>
        <w:t>:</w:t>
      </w:r>
    </w:p>
    <w:p w14:paraId="2C681DE9" w14:textId="4E68E350" w:rsidR="00034CAA" w:rsidRPr="00FD7BDD" w:rsidRDefault="00034CAA" w:rsidP="006D0662">
      <w:pPr>
        <w:tabs>
          <w:tab w:val="left" w:pos="720"/>
        </w:tabs>
        <w:ind w:left="0" w:firstLine="0"/>
      </w:pPr>
      <w:r w:rsidRPr="00FD7BDD">
        <w:t>V</w:t>
      </w:r>
      <w:r w:rsidR="00967DAF">
        <w:t> </w:t>
      </w:r>
      <w:r w:rsidRPr="00FD7BDD">
        <w:t>případě rizika mastitidy v</w:t>
      </w:r>
      <w:r w:rsidR="00967DAF">
        <w:t> </w:t>
      </w:r>
      <w:r w:rsidRPr="00FD7BDD">
        <w:t xml:space="preserve">letním období je nutné zvážit další opatření, jako </w:t>
      </w:r>
      <w:r w:rsidR="00493AC3">
        <w:t>je</w:t>
      </w:r>
      <w:r w:rsidRPr="00FD7BDD">
        <w:t xml:space="preserve"> </w:t>
      </w:r>
      <w:r w:rsidR="00493AC3">
        <w:t>prevence</w:t>
      </w:r>
      <w:r w:rsidRPr="00FD7BDD">
        <w:t xml:space="preserve"> proti </w:t>
      </w:r>
      <w:r w:rsidR="00493AC3">
        <w:t xml:space="preserve">výskytu </w:t>
      </w:r>
      <w:r w:rsidRPr="00FD7BDD">
        <w:t>m</w:t>
      </w:r>
      <w:r w:rsidR="00493AC3">
        <w:t>uch</w:t>
      </w:r>
      <w:r w:rsidRPr="00FD7BDD">
        <w:t>.</w:t>
      </w:r>
    </w:p>
    <w:p w14:paraId="315032E3" w14:textId="77777777" w:rsidR="00034CAA" w:rsidRPr="00FD7BDD" w:rsidRDefault="00034CAA" w:rsidP="006D0662">
      <w:pPr>
        <w:tabs>
          <w:tab w:val="left" w:pos="720"/>
        </w:tabs>
        <w:ind w:left="0" w:firstLine="0"/>
      </w:pPr>
    </w:p>
    <w:p w14:paraId="6CBCEDA1" w14:textId="77777777" w:rsidR="00034CAA" w:rsidRPr="00FD7BDD" w:rsidRDefault="00034CAA" w:rsidP="006D0662">
      <w:pPr>
        <w:tabs>
          <w:tab w:val="left" w:pos="720"/>
        </w:tabs>
        <w:ind w:left="0" w:firstLine="0"/>
        <w:rPr>
          <w:u w:val="single"/>
        </w:rPr>
      </w:pPr>
      <w:r w:rsidRPr="00FD7BDD">
        <w:rPr>
          <w:u w:val="single"/>
        </w:rPr>
        <w:t xml:space="preserve">Zvláštní opatření pro </w:t>
      </w:r>
      <w:r w:rsidR="00967DAF">
        <w:rPr>
          <w:u w:val="single"/>
        </w:rPr>
        <w:t xml:space="preserve">bezpečné </w:t>
      </w:r>
      <w:r w:rsidRPr="00FD7BDD">
        <w:rPr>
          <w:u w:val="single"/>
        </w:rPr>
        <w:t xml:space="preserve">použití u </w:t>
      </w:r>
      <w:r w:rsidR="00967DAF">
        <w:rPr>
          <w:u w:val="single"/>
        </w:rPr>
        <w:t>cílových druhů zvířat:</w:t>
      </w:r>
    </w:p>
    <w:p w14:paraId="190883A2" w14:textId="3170D73F" w:rsidR="00F81864" w:rsidRDefault="00F81864" w:rsidP="006D0662">
      <w:pPr>
        <w:ind w:left="0" w:firstLine="0"/>
      </w:pPr>
      <w:r w:rsidRPr="00E3610C">
        <w:rPr>
          <w:rFonts w:cs="Arial"/>
          <w:bCs/>
          <w:szCs w:val="22"/>
        </w:rPr>
        <w:t>P</w:t>
      </w:r>
      <w:r>
        <w:rPr>
          <w:rFonts w:cs="Arial"/>
          <w:bCs/>
          <w:szCs w:val="22"/>
        </w:rPr>
        <w:t>oužití veterinárního léčivého p</w:t>
      </w:r>
      <w:r w:rsidRPr="00E3610C">
        <w:rPr>
          <w:rFonts w:cs="Arial"/>
          <w:bCs/>
          <w:szCs w:val="22"/>
        </w:rPr>
        <w:t>říprav</w:t>
      </w:r>
      <w:r>
        <w:rPr>
          <w:rFonts w:cs="Arial"/>
          <w:bCs/>
          <w:szCs w:val="22"/>
        </w:rPr>
        <w:t>ku</w:t>
      </w:r>
      <w:r w:rsidRPr="00E3610C">
        <w:rPr>
          <w:rFonts w:cs="Arial"/>
          <w:szCs w:val="22"/>
        </w:rPr>
        <w:t xml:space="preserve"> by měl</w:t>
      </w:r>
      <w:r>
        <w:rPr>
          <w:rFonts w:cs="Arial"/>
          <w:szCs w:val="22"/>
        </w:rPr>
        <w:t>o</w:t>
      </w:r>
      <w:r w:rsidRPr="00E3610C">
        <w:rPr>
          <w:rFonts w:cs="Arial"/>
          <w:szCs w:val="22"/>
        </w:rPr>
        <w:t xml:space="preserve"> být </w:t>
      </w:r>
      <w:r>
        <w:rPr>
          <w:rFonts w:cs="Arial"/>
          <w:szCs w:val="22"/>
        </w:rPr>
        <w:t>založeno</w:t>
      </w:r>
      <w:r w:rsidRPr="00E3610C">
        <w:rPr>
          <w:rFonts w:cs="Arial"/>
          <w:szCs w:val="22"/>
        </w:rPr>
        <w:t xml:space="preserve"> na</w:t>
      </w:r>
      <w:r>
        <w:rPr>
          <w:rFonts w:cs="Arial"/>
          <w:szCs w:val="22"/>
        </w:rPr>
        <w:t xml:space="preserve"> </w:t>
      </w:r>
      <w:r w:rsidRPr="00E3610C">
        <w:rPr>
          <w:rFonts w:cs="Arial"/>
          <w:szCs w:val="22"/>
        </w:rPr>
        <w:t>test</w:t>
      </w:r>
      <w:r>
        <w:rPr>
          <w:rFonts w:cs="Arial"/>
          <w:szCs w:val="22"/>
        </w:rPr>
        <w:t>ování</w:t>
      </w:r>
      <w:r w:rsidRPr="00E3610C">
        <w:t xml:space="preserve"> citlivosti bakterií izolovaných ze zvíř</w:t>
      </w:r>
      <w:r>
        <w:t>ete</w:t>
      </w:r>
      <w:r w:rsidRPr="00E3610C">
        <w:t xml:space="preserve">. </w:t>
      </w:r>
    </w:p>
    <w:p w14:paraId="23A86731" w14:textId="77777777" w:rsidR="00967DAF" w:rsidRDefault="00967DAF" w:rsidP="007D0829">
      <w:pPr>
        <w:tabs>
          <w:tab w:val="left" w:pos="567"/>
        </w:tabs>
        <w:ind w:left="0" w:firstLine="0"/>
      </w:pPr>
    </w:p>
    <w:p w14:paraId="5230A211" w14:textId="3B137783" w:rsidR="00C93B13" w:rsidRDefault="00BC2002" w:rsidP="006D0662">
      <w:pPr>
        <w:ind w:left="0" w:firstLine="0"/>
      </w:pPr>
      <w:r w:rsidRPr="00BC2002">
        <w:rPr>
          <w:rFonts w:cs="Arial"/>
          <w:szCs w:val="22"/>
        </w:rPr>
        <w:t>Pokud to není možné, je nutné založit terapii</w:t>
      </w:r>
      <w:r>
        <w:rPr>
          <w:rFonts w:cs="Arial"/>
          <w:szCs w:val="22"/>
        </w:rPr>
        <w:t xml:space="preserve"> na</w:t>
      </w:r>
      <w:r w:rsidR="00C93B13" w:rsidRPr="00E3610C">
        <w:rPr>
          <w:rFonts w:cs="Arial"/>
          <w:szCs w:val="22"/>
        </w:rPr>
        <w:t> místních</w:t>
      </w:r>
      <w:r w:rsidR="00C93B13" w:rsidRPr="00E3610C">
        <w:t xml:space="preserve"> (</w:t>
      </w:r>
      <w:r>
        <w:t xml:space="preserve">regionálních, </w:t>
      </w:r>
      <w:r w:rsidR="00C93B13" w:rsidRPr="00E3610C">
        <w:t xml:space="preserve">na úrovní farmy) </w:t>
      </w:r>
      <w:proofErr w:type="spellStart"/>
      <w:r w:rsidR="00C93B13" w:rsidRPr="00E3610C">
        <w:t>epizootologických</w:t>
      </w:r>
      <w:proofErr w:type="spellEnd"/>
      <w:r w:rsidR="00C93B13" w:rsidRPr="00E3610C">
        <w:t xml:space="preserve"> informací</w:t>
      </w:r>
      <w:r w:rsidR="00A06FB4">
        <w:t>ch</w:t>
      </w:r>
      <w:r w:rsidR="00C93B13" w:rsidRPr="00E3610C">
        <w:t xml:space="preserve"> o citlivosti cílov</w:t>
      </w:r>
      <w:r w:rsidR="00A06FB4">
        <w:t>é</w:t>
      </w:r>
      <w:r w:rsidR="00C93B13" w:rsidRPr="00E3610C">
        <w:t xml:space="preserve"> bakteri</w:t>
      </w:r>
      <w:r w:rsidR="00A06FB4">
        <w:t>e</w:t>
      </w:r>
      <w:r w:rsidR="00C93B13" w:rsidRPr="00E3610C">
        <w:t xml:space="preserve">. Při použití </w:t>
      </w:r>
      <w:r w:rsidR="00C93B13">
        <w:t xml:space="preserve">veterinárního léčivého </w:t>
      </w:r>
      <w:r w:rsidR="00C93B13" w:rsidRPr="00E3610C">
        <w:t xml:space="preserve">přípravku </w:t>
      </w:r>
      <w:r w:rsidR="00C93B13">
        <w:t xml:space="preserve">je </w:t>
      </w:r>
      <w:r w:rsidR="00C93B13" w:rsidRPr="00E3610C">
        <w:t xml:space="preserve">nutno vzít v úvahu oficiální a místní </w:t>
      </w:r>
      <w:r w:rsidR="00C93B13">
        <w:t xml:space="preserve">pravidla </w:t>
      </w:r>
      <w:r w:rsidR="00C93B13" w:rsidRPr="00E3610C">
        <w:t>antibiotick</w:t>
      </w:r>
      <w:r w:rsidR="00C93B13">
        <w:t>é</w:t>
      </w:r>
      <w:r w:rsidR="00C93B13" w:rsidRPr="00E3610C">
        <w:t xml:space="preserve"> politik</w:t>
      </w:r>
      <w:r w:rsidR="00C93B13">
        <w:t>y</w:t>
      </w:r>
      <w:r w:rsidR="00C93B13" w:rsidRPr="00E3610C">
        <w:t>.</w:t>
      </w:r>
    </w:p>
    <w:p w14:paraId="25DD82EE" w14:textId="77777777" w:rsidR="00034CAA" w:rsidRPr="00FD7BDD" w:rsidRDefault="00034CAA" w:rsidP="007D0829">
      <w:pPr>
        <w:tabs>
          <w:tab w:val="left" w:pos="567"/>
        </w:tabs>
        <w:ind w:left="0" w:firstLine="0"/>
      </w:pPr>
    </w:p>
    <w:p w14:paraId="3DF4AF9D" w14:textId="6DE9BBD2" w:rsidR="00034CAA" w:rsidRPr="00FD7BDD" w:rsidRDefault="00034CAA" w:rsidP="007D0829">
      <w:pPr>
        <w:tabs>
          <w:tab w:val="left" w:pos="567"/>
        </w:tabs>
        <w:ind w:left="0" w:firstLine="0"/>
      </w:pPr>
      <w:r w:rsidRPr="00FD7BDD">
        <w:t xml:space="preserve">Navzdory preventivnímu ošetření může po zaprahnutí dojít ke vzniku vážné akutní mastitidy (potenciálně </w:t>
      </w:r>
      <w:r w:rsidR="00260B62">
        <w:t>fatální</w:t>
      </w:r>
      <w:r w:rsidRPr="00FD7BDD">
        <w:t xml:space="preserve">) </w:t>
      </w:r>
      <w:r w:rsidR="00AA7F71">
        <w:t>vyvolané</w:t>
      </w:r>
      <w:r w:rsidRPr="00FD7BDD">
        <w:t xml:space="preserve"> patogeny, jako je </w:t>
      </w:r>
      <w:proofErr w:type="spellStart"/>
      <w:r w:rsidRPr="00FD7BDD">
        <w:rPr>
          <w:i/>
        </w:rPr>
        <w:t>Pseudomonas</w:t>
      </w:r>
      <w:proofErr w:type="spellEnd"/>
      <w:r w:rsidRPr="00FD7BDD">
        <w:rPr>
          <w:i/>
        </w:rPr>
        <w:t xml:space="preserve"> </w:t>
      </w:r>
      <w:proofErr w:type="spellStart"/>
      <w:r w:rsidRPr="00FD7BDD">
        <w:rPr>
          <w:i/>
        </w:rPr>
        <w:t>aeruginosa</w:t>
      </w:r>
      <w:proofErr w:type="spellEnd"/>
      <w:r w:rsidRPr="00FD7BDD">
        <w:t xml:space="preserve">. Aby došlo ke snížení tohoto rizika, je třeba důsledně dodržovat správné aseptické postupy – krávy by měly být umístěny v hygienickém výběhu </w:t>
      </w:r>
      <w:r w:rsidR="00260B62">
        <w:t>vzdáleném</w:t>
      </w:r>
      <w:r w:rsidRPr="00FD7BDD">
        <w:t xml:space="preserve"> od dojírny a měly by být pravidelně kontrolovány několik dní po zaprahnutí.</w:t>
      </w:r>
    </w:p>
    <w:p w14:paraId="6F01FAFD" w14:textId="77777777" w:rsidR="00034CAA" w:rsidRPr="00FD7BDD" w:rsidRDefault="00034CAA" w:rsidP="007D0829">
      <w:pPr>
        <w:tabs>
          <w:tab w:val="left" w:pos="567"/>
        </w:tabs>
        <w:ind w:left="0" w:firstLine="0"/>
        <w:rPr>
          <w:b/>
        </w:rPr>
      </w:pPr>
    </w:p>
    <w:p w14:paraId="3A06BDC3" w14:textId="77777777" w:rsidR="00034CAA" w:rsidRPr="00FD7BDD" w:rsidRDefault="00034CAA" w:rsidP="007D0829">
      <w:pPr>
        <w:keepNext/>
        <w:tabs>
          <w:tab w:val="left" w:pos="567"/>
        </w:tabs>
        <w:ind w:left="0" w:firstLine="0"/>
        <w:rPr>
          <w:u w:val="single"/>
        </w:rPr>
      </w:pPr>
      <w:r w:rsidRPr="00FD7BDD">
        <w:rPr>
          <w:u w:val="single"/>
        </w:rPr>
        <w:lastRenderedPageBreak/>
        <w:t xml:space="preserve">Zvláštní opatření </w:t>
      </w:r>
      <w:r w:rsidR="00967DAF">
        <w:rPr>
          <w:u w:val="single"/>
        </w:rPr>
        <w:t>pro</w:t>
      </w:r>
      <w:r w:rsidRPr="00FD7BDD">
        <w:rPr>
          <w:u w:val="single"/>
        </w:rPr>
        <w:t xml:space="preserve"> osob</w:t>
      </w:r>
      <w:r w:rsidR="00967DAF">
        <w:rPr>
          <w:u w:val="single"/>
        </w:rPr>
        <w:t>u</w:t>
      </w:r>
      <w:r w:rsidRPr="00FD7BDD">
        <w:rPr>
          <w:u w:val="single"/>
        </w:rPr>
        <w:t>, kter</w:t>
      </w:r>
      <w:r w:rsidR="00967DAF">
        <w:rPr>
          <w:u w:val="single"/>
        </w:rPr>
        <w:t>á</w:t>
      </w:r>
      <w:r w:rsidRPr="00FD7BDD">
        <w:rPr>
          <w:u w:val="single"/>
        </w:rPr>
        <w:t xml:space="preserve"> podáv</w:t>
      </w:r>
      <w:r w:rsidR="00967DAF">
        <w:rPr>
          <w:u w:val="single"/>
        </w:rPr>
        <w:t>á</w:t>
      </w:r>
      <w:r w:rsidRPr="00FD7BDD">
        <w:rPr>
          <w:u w:val="single"/>
        </w:rPr>
        <w:t xml:space="preserve"> veterinární léčivý přípravek zvířatům:</w:t>
      </w:r>
    </w:p>
    <w:p w14:paraId="2FAAB370" w14:textId="7370CCB0" w:rsidR="00034CAA" w:rsidRPr="00FD7BDD" w:rsidRDefault="00117681" w:rsidP="007D0829">
      <w:pPr>
        <w:tabs>
          <w:tab w:val="left" w:pos="720"/>
        </w:tabs>
        <w:ind w:left="0" w:firstLine="0"/>
      </w:pPr>
      <w:r w:rsidRPr="00117681">
        <w:t xml:space="preserve">U osob, které nakládají s veterinárním léčivým přípravkem, se může objevit citlivost kůže; zabraňte kontaktu s </w:t>
      </w:r>
      <w:r>
        <w:t>kůží</w:t>
      </w:r>
      <w:r w:rsidRPr="00117681">
        <w:t>.</w:t>
      </w:r>
      <w:r w:rsidR="00034CAA" w:rsidRPr="00FD7BDD">
        <w:t xml:space="preserve"> </w:t>
      </w:r>
    </w:p>
    <w:p w14:paraId="42B2A21C" w14:textId="77777777" w:rsidR="006E58CA" w:rsidRDefault="006E58CA" w:rsidP="007D0829">
      <w:pPr>
        <w:tabs>
          <w:tab w:val="left" w:pos="720"/>
        </w:tabs>
        <w:ind w:left="0" w:firstLine="0"/>
        <w:rPr>
          <w:szCs w:val="22"/>
        </w:rPr>
      </w:pPr>
    </w:p>
    <w:p w14:paraId="5A01DE84" w14:textId="39C46BF4" w:rsidR="00034CAA" w:rsidRPr="00FD7BDD" w:rsidRDefault="00034CAA" w:rsidP="007D0829">
      <w:pPr>
        <w:tabs>
          <w:tab w:val="left" w:pos="720"/>
        </w:tabs>
        <w:ind w:left="0" w:firstLine="0"/>
        <w:rPr>
          <w:szCs w:val="22"/>
        </w:rPr>
      </w:pPr>
      <w:r w:rsidRPr="00FD7BDD">
        <w:rPr>
          <w:szCs w:val="22"/>
        </w:rPr>
        <w:t xml:space="preserve">Peniciliny a cefalosporiny mohou po injekci, inhalaci, požití nebo po kontaktu s kůží vyvolat </w:t>
      </w:r>
      <w:r w:rsidR="0068610D">
        <w:rPr>
          <w:szCs w:val="22"/>
        </w:rPr>
        <w:t>přecitlivělost</w:t>
      </w:r>
      <w:r w:rsidRPr="00FD7BDD">
        <w:rPr>
          <w:szCs w:val="22"/>
        </w:rPr>
        <w:t xml:space="preserve">. </w:t>
      </w:r>
      <w:r w:rsidR="0068610D">
        <w:rPr>
          <w:szCs w:val="22"/>
        </w:rPr>
        <w:t>Přecitlivělost</w:t>
      </w:r>
      <w:r w:rsidRPr="00FD7BDD">
        <w:rPr>
          <w:szCs w:val="22"/>
        </w:rPr>
        <w:t xml:space="preserve"> na peniciliny může vést ke zkříženým reakcím s cefalosporiny </w:t>
      </w:r>
      <w:r w:rsidRPr="00FD7BDD">
        <w:rPr>
          <w:szCs w:val="22"/>
        </w:rPr>
        <w:br/>
        <w:t xml:space="preserve">a naopak. </w:t>
      </w:r>
      <w:r w:rsidRPr="00FD7BDD">
        <w:rPr>
          <w:bCs/>
          <w:szCs w:val="22"/>
        </w:rPr>
        <w:t>Alergické reakce na tyto látky mohou být v některých případech vážné.</w:t>
      </w:r>
    </w:p>
    <w:p w14:paraId="14C25FB2" w14:textId="77777777" w:rsidR="00034CAA" w:rsidRPr="00FD7BDD" w:rsidRDefault="00034CAA" w:rsidP="007D0829">
      <w:pPr>
        <w:tabs>
          <w:tab w:val="left" w:pos="720"/>
        </w:tabs>
        <w:ind w:left="0" w:firstLine="0"/>
      </w:pPr>
    </w:p>
    <w:p w14:paraId="7FDDFF29" w14:textId="0530E36B" w:rsidR="00034CAA" w:rsidRPr="00FD7BDD" w:rsidRDefault="00034CAA" w:rsidP="007D0829">
      <w:pPr>
        <w:numPr>
          <w:ilvl w:val="0"/>
          <w:numId w:val="41"/>
        </w:numPr>
        <w:tabs>
          <w:tab w:val="left" w:pos="567"/>
          <w:tab w:val="left" w:pos="900"/>
        </w:tabs>
        <w:spacing w:after="60" w:line="260" w:lineRule="exact"/>
        <w:ind w:hanging="412"/>
      </w:pPr>
      <w:r w:rsidRPr="00FD7BDD">
        <w:t>Nemanipulujte s</w:t>
      </w:r>
      <w:r w:rsidR="004E09BE">
        <w:t xml:space="preserve"> veterinárním léčivým </w:t>
      </w:r>
      <w:r w:rsidRPr="00FD7BDD">
        <w:t>přípravkem, pokud víte, že jste přecitlivělí, nebo pokud vám bylo doporučeno s přípravky tohoto typu nepracovat.</w:t>
      </w:r>
    </w:p>
    <w:p w14:paraId="0292BD63" w14:textId="3F9141CF" w:rsidR="00034CAA" w:rsidRPr="00FD7BDD" w:rsidRDefault="00034CAA" w:rsidP="007D0829">
      <w:pPr>
        <w:numPr>
          <w:ilvl w:val="0"/>
          <w:numId w:val="41"/>
        </w:numPr>
        <w:tabs>
          <w:tab w:val="left" w:pos="567"/>
          <w:tab w:val="left" w:pos="900"/>
        </w:tabs>
        <w:spacing w:after="60" w:line="260" w:lineRule="exact"/>
      </w:pPr>
      <w:r w:rsidRPr="00FD7BDD">
        <w:t>Při manipulaci s</w:t>
      </w:r>
      <w:r w:rsidR="004E09BE">
        <w:t xml:space="preserve"> veterinárním léčivým </w:t>
      </w:r>
      <w:r w:rsidRPr="00FD7BDD">
        <w:t>přípravkem buďte obezřetní (zejména osoby s poškozenou kůží), aby nedošlo k náhodnému kontaktu. Používejte rukavice, v případě potřísnění kůže si umyjte ruce.</w:t>
      </w:r>
    </w:p>
    <w:p w14:paraId="52782B3F" w14:textId="4296760B" w:rsidR="00034CAA" w:rsidRPr="00FD7BDD" w:rsidRDefault="00034CAA" w:rsidP="007D0829">
      <w:pPr>
        <w:numPr>
          <w:ilvl w:val="0"/>
          <w:numId w:val="41"/>
        </w:numPr>
        <w:tabs>
          <w:tab w:val="left" w:pos="567"/>
          <w:tab w:val="left" w:pos="900"/>
        </w:tabs>
        <w:spacing w:after="60" w:line="260" w:lineRule="exact"/>
      </w:pPr>
      <w:r w:rsidRPr="00FD7BDD">
        <w:t xml:space="preserve">Pokud se po přímém kontaktu objeví </w:t>
      </w:r>
      <w:r w:rsidRPr="00FD7BDD">
        <w:rPr>
          <w:iCs/>
          <w:szCs w:val="22"/>
        </w:rPr>
        <w:t>příznaky jako např. kožní vyrážka</w:t>
      </w:r>
      <w:r w:rsidRPr="00FD7BDD">
        <w:t xml:space="preserve">, vyhledejte lékařskou pomoc a ukažte </w:t>
      </w:r>
      <w:r w:rsidR="00855A07">
        <w:t xml:space="preserve">příbalovou informaci nebo etiketu </w:t>
      </w:r>
      <w:r w:rsidRPr="00FD7BDD">
        <w:t>lékaři. Otok obličeje, rtů či očí nebo potíže s dýcháním jsou vážné příznaky a vyžadují okamžitou lékařskou péči.</w:t>
      </w:r>
    </w:p>
    <w:p w14:paraId="671FF723" w14:textId="77777777" w:rsidR="00034CAA" w:rsidRPr="00FD7BDD" w:rsidRDefault="00034CAA" w:rsidP="006D0662">
      <w:pPr>
        <w:tabs>
          <w:tab w:val="left" w:pos="720"/>
        </w:tabs>
        <w:ind w:left="0" w:firstLine="0"/>
      </w:pPr>
    </w:p>
    <w:p w14:paraId="5058F618" w14:textId="77777777" w:rsidR="00034CAA" w:rsidRPr="00FD7BDD" w:rsidRDefault="00034CAA" w:rsidP="006D0662">
      <w:pPr>
        <w:tabs>
          <w:tab w:val="left" w:pos="720"/>
        </w:tabs>
        <w:ind w:left="0" w:firstLine="0"/>
        <w:rPr>
          <w:u w:val="single"/>
        </w:rPr>
      </w:pPr>
      <w:r w:rsidRPr="00FD7BDD">
        <w:rPr>
          <w:u w:val="single"/>
        </w:rPr>
        <w:t>Březost:</w:t>
      </w:r>
    </w:p>
    <w:p w14:paraId="7FE5E4A3" w14:textId="77777777" w:rsidR="00034CAA" w:rsidRPr="00FD7BDD" w:rsidRDefault="00034CAA" w:rsidP="006D0662">
      <w:pPr>
        <w:tabs>
          <w:tab w:val="left" w:pos="720"/>
        </w:tabs>
        <w:ind w:left="0" w:firstLine="0"/>
      </w:pPr>
      <w:r w:rsidRPr="00FD7BDD">
        <w:t>Lze použít během březosti.</w:t>
      </w:r>
    </w:p>
    <w:p w14:paraId="31812CF7" w14:textId="77777777" w:rsidR="00034CAA" w:rsidRPr="00FD7BDD" w:rsidRDefault="00034CAA" w:rsidP="006D0662">
      <w:pPr>
        <w:tabs>
          <w:tab w:val="left" w:pos="720"/>
        </w:tabs>
        <w:ind w:left="0" w:firstLine="0"/>
      </w:pPr>
    </w:p>
    <w:p w14:paraId="43A6BB00" w14:textId="77777777" w:rsidR="00034CAA" w:rsidRPr="00FD7BDD" w:rsidRDefault="00034CAA" w:rsidP="006D0662">
      <w:pPr>
        <w:tabs>
          <w:tab w:val="left" w:pos="720"/>
        </w:tabs>
        <w:ind w:left="0" w:firstLine="0"/>
        <w:rPr>
          <w:u w:val="single"/>
        </w:rPr>
      </w:pPr>
      <w:r w:rsidRPr="00FD7BDD">
        <w:rPr>
          <w:u w:val="single"/>
        </w:rPr>
        <w:t>Laktace:</w:t>
      </w:r>
    </w:p>
    <w:p w14:paraId="6E60BC79" w14:textId="77777777" w:rsidR="00034CAA" w:rsidRPr="00FD7BDD" w:rsidRDefault="00034CAA" w:rsidP="006D0662">
      <w:pPr>
        <w:tabs>
          <w:tab w:val="left" w:pos="720"/>
        </w:tabs>
        <w:ind w:left="0" w:firstLine="0"/>
      </w:pPr>
      <w:r w:rsidRPr="00FD7BDD">
        <w:t>Nepoužívat během laktace.</w:t>
      </w:r>
    </w:p>
    <w:p w14:paraId="102B671F" w14:textId="77777777" w:rsidR="00034CAA" w:rsidRPr="00FD7BDD" w:rsidRDefault="00034CAA" w:rsidP="006D0662">
      <w:pPr>
        <w:tabs>
          <w:tab w:val="left" w:pos="720"/>
        </w:tabs>
        <w:ind w:left="0" w:firstLine="0"/>
      </w:pPr>
    </w:p>
    <w:p w14:paraId="6C1FB8CC" w14:textId="77777777" w:rsidR="00034CAA" w:rsidRPr="00FD7BDD" w:rsidRDefault="006E58CA" w:rsidP="006D0662">
      <w:pPr>
        <w:tabs>
          <w:tab w:val="left" w:pos="720"/>
        </w:tabs>
        <w:ind w:left="0" w:firstLine="0"/>
        <w:rPr>
          <w:u w:val="single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="00034CAA" w:rsidRPr="00FD7BDD">
        <w:rPr>
          <w:u w:val="single"/>
        </w:rPr>
        <w:t>:</w:t>
      </w:r>
    </w:p>
    <w:p w14:paraId="18014E37" w14:textId="77777777" w:rsidR="00034CAA" w:rsidRPr="00FD7BDD" w:rsidRDefault="00034CAA" w:rsidP="006D0662">
      <w:pPr>
        <w:tabs>
          <w:tab w:val="left" w:pos="720"/>
        </w:tabs>
        <w:ind w:left="0" w:firstLine="0"/>
      </w:pPr>
      <w:r w:rsidRPr="00FD7BDD">
        <w:t xml:space="preserve">Nejsou známy. </w:t>
      </w:r>
    </w:p>
    <w:p w14:paraId="0522613C" w14:textId="77777777" w:rsidR="00034CAA" w:rsidRPr="00FD7BDD" w:rsidRDefault="00034CAA" w:rsidP="006D0662">
      <w:pPr>
        <w:tabs>
          <w:tab w:val="left" w:pos="720"/>
        </w:tabs>
        <w:ind w:left="0" w:firstLine="0"/>
      </w:pPr>
    </w:p>
    <w:p w14:paraId="12F8F8B1" w14:textId="77777777" w:rsidR="00034CAA" w:rsidRPr="00FD7BDD" w:rsidRDefault="00034CAA" w:rsidP="006D0662">
      <w:pPr>
        <w:tabs>
          <w:tab w:val="left" w:pos="720"/>
        </w:tabs>
        <w:ind w:left="0" w:firstLine="0"/>
        <w:rPr>
          <w:u w:val="single"/>
        </w:rPr>
      </w:pPr>
      <w:r w:rsidRPr="00FD7BDD">
        <w:rPr>
          <w:u w:val="single"/>
        </w:rPr>
        <w:t>Předávkování:</w:t>
      </w:r>
    </w:p>
    <w:p w14:paraId="7469531F" w14:textId="77777777" w:rsidR="00034CAA" w:rsidRPr="00FD7BDD" w:rsidRDefault="00034CAA" w:rsidP="006D0662">
      <w:pPr>
        <w:tabs>
          <w:tab w:val="left" w:pos="720"/>
        </w:tabs>
        <w:ind w:left="0" w:firstLine="0"/>
      </w:pPr>
      <w:r w:rsidRPr="00FD7BDD">
        <w:t>Údaje nejsou k dispozici.</w:t>
      </w:r>
    </w:p>
    <w:p w14:paraId="07A6CEA4" w14:textId="77777777" w:rsidR="00034CAA" w:rsidRPr="00FD7BDD" w:rsidRDefault="00034CAA" w:rsidP="006D0662">
      <w:pPr>
        <w:tabs>
          <w:tab w:val="left" w:pos="720"/>
        </w:tabs>
        <w:ind w:left="0" w:firstLine="0"/>
      </w:pPr>
    </w:p>
    <w:p w14:paraId="25521F27" w14:textId="77777777" w:rsidR="00034CAA" w:rsidRPr="00FD7BDD" w:rsidRDefault="006E58CA" w:rsidP="006D0662">
      <w:pPr>
        <w:tabs>
          <w:tab w:val="left" w:pos="720"/>
        </w:tabs>
        <w:ind w:left="0" w:firstLine="0"/>
        <w:rPr>
          <w:u w:val="single"/>
        </w:rPr>
      </w:pPr>
      <w:r w:rsidRPr="00B41D57">
        <w:rPr>
          <w:szCs w:val="22"/>
          <w:u w:val="single"/>
        </w:rPr>
        <w:t>Hlavní inkompatibility</w:t>
      </w:r>
      <w:r w:rsidR="00034CAA" w:rsidRPr="00FD7BDD">
        <w:rPr>
          <w:u w:val="single"/>
        </w:rPr>
        <w:t>:</w:t>
      </w:r>
    </w:p>
    <w:p w14:paraId="5A81F023" w14:textId="77777777" w:rsidR="00034CAA" w:rsidRDefault="00034CAA" w:rsidP="006D0662">
      <w:pPr>
        <w:tabs>
          <w:tab w:val="left" w:pos="720"/>
        </w:tabs>
        <w:ind w:left="0" w:firstLine="0"/>
      </w:pPr>
      <w:r w:rsidRPr="00FD7BDD">
        <w:t>Nejsou známy.</w:t>
      </w:r>
    </w:p>
    <w:p w14:paraId="2E5D828D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54663775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706A7458" w14:textId="531C7E78" w:rsidR="00FD7BDD" w:rsidRPr="00FD7BDD" w:rsidRDefault="006E58CA" w:rsidP="00FD7BDD">
      <w:pPr>
        <w:tabs>
          <w:tab w:val="left" w:pos="720"/>
        </w:tabs>
      </w:pPr>
      <w:r w:rsidRPr="00C16C76">
        <w:rPr>
          <w:b/>
          <w:highlight w:val="lightGray"/>
        </w:rPr>
        <w:t>7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Nežádoucí účinky</w:t>
      </w:r>
    </w:p>
    <w:p w14:paraId="3EFE42F0" w14:textId="77777777" w:rsidR="00FD7BDD" w:rsidRPr="00FD7BDD" w:rsidRDefault="00FD7BDD" w:rsidP="00FD7BDD">
      <w:pPr>
        <w:tabs>
          <w:tab w:val="left" w:pos="720"/>
        </w:tabs>
        <w:ind w:left="0" w:firstLine="0"/>
        <w:rPr>
          <w:iCs/>
        </w:rPr>
      </w:pPr>
    </w:p>
    <w:p w14:paraId="3B5ACB7A" w14:textId="3748BBCE" w:rsidR="0042618C" w:rsidRDefault="0042618C" w:rsidP="00FD7BDD">
      <w:pPr>
        <w:tabs>
          <w:tab w:val="left" w:pos="720"/>
        </w:tabs>
        <w:ind w:left="0" w:firstLine="0"/>
      </w:pPr>
      <w:r>
        <w:t>Skot (</w:t>
      </w:r>
      <w:r w:rsidR="00CE2F33">
        <w:t xml:space="preserve">dojnice </w:t>
      </w:r>
      <w:r>
        <w:t>při zaprahování)</w:t>
      </w:r>
    </w:p>
    <w:p w14:paraId="253CDC71" w14:textId="77777777" w:rsidR="0042618C" w:rsidRDefault="0042618C" w:rsidP="00FD7BDD">
      <w:pPr>
        <w:tabs>
          <w:tab w:val="left" w:pos="720"/>
        </w:tabs>
        <w:ind w:left="0" w:firstLine="0"/>
      </w:pPr>
    </w:p>
    <w:p w14:paraId="2AE19BB7" w14:textId="77777777" w:rsidR="0042618C" w:rsidRDefault="0042618C" w:rsidP="00FD7BDD">
      <w:pPr>
        <w:tabs>
          <w:tab w:val="left" w:pos="720"/>
        </w:tabs>
        <w:ind w:left="0" w:firstLine="0"/>
      </w:pPr>
      <w:r>
        <w:t>Nejsou známy.</w:t>
      </w:r>
    </w:p>
    <w:p w14:paraId="2C1F8BF4" w14:textId="77777777" w:rsidR="0042618C" w:rsidRDefault="0042618C" w:rsidP="00FD7BDD">
      <w:pPr>
        <w:tabs>
          <w:tab w:val="left" w:pos="720"/>
        </w:tabs>
        <w:ind w:left="0" w:firstLine="0"/>
      </w:pPr>
    </w:p>
    <w:p w14:paraId="5148ECA0" w14:textId="7F043B78" w:rsidR="0042618C" w:rsidRDefault="0042618C" w:rsidP="00FD7BDD">
      <w:pPr>
        <w:tabs>
          <w:tab w:val="left" w:pos="720"/>
        </w:tabs>
        <w:ind w:left="0" w:firstLine="0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 w:rsidR="0042533E">
        <w:t xml:space="preserve">nebo </w:t>
      </w:r>
      <w:r w:rsidR="0042533E" w:rsidRPr="00B41D57">
        <w:t>místní</w:t>
      </w:r>
      <w:r w:rsidR="0042533E">
        <w:t>mu</w:t>
      </w:r>
      <w:r w:rsidR="0042533E" w:rsidRPr="00B41D57">
        <w:t xml:space="preserve"> zástupc</w:t>
      </w:r>
      <w:r w:rsidR="0042533E">
        <w:t>i</w:t>
      </w:r>
      <w:r w:rsidR="0042533E" w:rsidRPr="00B41D57">
        <w:t xml:space="preserve"> držitele rozhodnutí o registraci </w:t>
      </w:r>
      <w:r w:rsidRPr="00B41D57">
        <w:t>s využitím kontaktních údajů uvedených na konci této příbalové informace nebo prostřednictvím národního systému hlášení nežádoucích účinků</w:t>
      </w:r>
      <w:r w:rsidR="00CE532C">
        <w:t>:</w:t>
      </w:r>
    </w:p>
    <w:p w14:paraId="32180340" w14:textId="77777777" w:rsidR="00C47E60" w:rsidRDefault="00C47E60" w:rsidP="00FD7BDD">
      <w:pPr>
        <w:tabs>
          <w:tab w:val="left" w:pos="720"/>
        </w:tabs>
        <w:ind w:left="0" w:firstLine="0"/>
      </w:pPr>
    </w:p>
    <w:p w14:paraId="03640B0D" w14:textId="77777777" w:rsidR="00CE532C" w:rsidRDefault="00CE532C" w:rsidP="00CE532C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30089E75" w14:textId="77777777" w:rsidR="00CE532C" w:rsidRDefault="00CE532C" w:rsidP="00CE532C">
      <w:pPr>
        <w:rPr>
          <w:szCs w:val="22"/>
        </w:rPr>
      </w:pPr>
      <w:r>
        <w:rPr>
          <w:szCs w:val="22"/>
        </w:rPr>
        <w:t>Hudcova 232/56a</w:t>
      </w:r>
    </w:p>
    <w:p w14:paraId="55B3B2D6" w14:textId="77777777" w:rsidR="00CE532C" w:rsidRDefault="00CE532C" w:rsidP="00CE532C">
      <w:pPr>
        <w:rPr>
          <w:szCs w:val="22"/>
        </w:rPr>
      </w:pPr>
      <w:r>
        <w:rPr>
          <w:szCs w:val="22"/>
        </w:rPr>
        <w:t>621 00 Brno</w:t>
      </w:r>
    </w:p>
    <w:p w14:paraId="69E0AEC1" w14:textId="77777777" w:rsidR="00CE532C" w:rsidRDefault="00CE532C" w:rsidP="00CE532C">
      <w:pPr>
        <w:rPr>
          <w:szCs w:val="22"/>
        </w:rPr>
      </w:pPr>
      <w:r>
        <w:rPr>
          <w:szCs w:val="22"/>
        </w:rPr>
        <w:t xml:space="preserve">e-mail: </w:t>
      </w:r>
      <w:hyperlink r:id="rId10" w:history="1">
        <w:r w:rsidRPr="000C6AB2">
          <w:rPr>
            <w:rStyle w:val="Hypertextovodkaz"/>
            <w:szCs w:val="22"/>
          </w:rPr>
          <w:t>adr@uskvbl.cz</w:t>
        </w:r>
      </w:hyperlink>
    </w:p>
    <w:p w14:paraId="6B9D1B58" w14:textId="77777777" w:rsidR="00CE532C" w:rsidRDefault="00CE532C" w:rsidP="00CE532C">
      <w:pPr>
        <w:rPr>
          <w:szCs w:val="22"/>
        </w:rPr>
      </w:pPr>
      <w:r>
        <w:rPr>
          <w:szCs w:val="22"/>
        </w:rPr>
        <w:t xml:space="preserve">Webové stránky: </w:t>
      </w:r>
      <w:hyperlink r:id="rId11" w:history="1">
        <w:r w:rsidRPr="000C6AB2">
          <w:rPr>
            <w:rStyle w:val="Hypertextovodkaz"/>
            <w:szCs w:val="22"/>
          </w:rPr>
          <w:t>http://www.uskvbl.cz/cs/farmakovigilance</w:t>
        </w:r>
      </w:hyperlink>
    </w:p>
    <w:p w14:paraId="2DC60CDB" w14:textId="3E9B39BF" w:rsidR="00FD7BDD" w:rsidRPr="00FD7BDD" w:rsidRDefault="00FD7BDD" w:rsidP="00FD7BDD">
      <w:pPr>
        <w:tabs>
          <w:tab w:val="left" w:pos="720"/>
        </w:tabs>
        <w:ind w:left="0" w:firstLine="0"/>
      </w:pPr>
    </w:p>
    <w:p w14:paraId="5E119E7C" w14:textId="77777777" w:rsidR="00FD7BDD" w:rsidRPr="00FD7BDD" w:rsidRDefault="00FD7BDD" w:rsidP="00FD7BDD">
      <w:pPr>
        <w:tabs>
          <w:tab w:val="left" w:pos="720"/>
        </w:tabs>
        <w:ind w:left="0" w:firstLine="0"/>
        <w:rPr>
          <w:iCs/>
        </w:rPr>
      </w:pPr>
    </w:p>
    <w:p w14:paraId="64F9D3D6" w14:textId="7B3F3984" w:rsidR="00FD7BDD" w:rsidRPr="00FD7BDD" w:rsidRDefault="0042618C" w:rsidP="00FD7BDD">
      <w:pPr>
        <w:tabs>
          <w:tab w:val="left" w:pos="567"/>
        </w:tabs>
      </w:pPr>
      <w:r w:rsidRPr="00C16C76">
        <w:rPr>
          <w:b/>
          <w:highlight w:val="lightGray"/>
        </w:rPr>
        <w:t>8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 w:rsidRPr="0042618C">
        <w:rPr>
          <w:b/>
        </w:rPr>
        <w:t>Dávkování pro každý druh, cesty a způsob podání</w:t>
      </w:r>
    </w:p>
    <w:p w14:paraId="5F409BF2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4CAB7FA2" w14:textId="77777777" w:rsidR="0042618C" w:rsidRDefault="0042618C" w:rsidP="00FD7BDD">
      <w:pPr>
        <w:tabs>
          <w:tab w:val="left" w:pos="720"/>
        </w:tabs>
        <w:ind w:left="0" w:firstLine="0"/>
        <w:jc w:val="both"/>
      </w:pPr>
      <w:r>
        <w:t>Intramamární podání.</w:t>
      </w:r>
    </w:p>
    <w:p w14:paraId="6A4C5931" w14:textId="77777777" w:rsidR="0042618C" w:rsidRDefault="0042618C" w:rsidP="00FD7BDD">
      <w:pPr>
        <w:tabs>
          <w:tab w:val="left" w:pos="720"/>
        </w:tabs>
        <w:ind w:left="0" w:firstLine="0"/>
        <w:jc w:val="both"/>
      </w:pPr>
    </w:p>
    <w:p w14:paraId="0E06A9DC" w14:textId="1D3F8730" w:rsidR="00FD7BDD" w:rsidRPr="00FD7BDD" w:rsidRDefault="0042618C" w:rsidP="00FD7BDD">
      <w:pPr>
        <w:tabs>
          <w:tab w:val="left" w:pos="720"/>
        </w:tabs>
        <w:ind w:left="0" w:firstLine="0"/>
        <w:jc w:val="both"/>
      </w:pPr>
      <w:r w:rsidRPr="00FD7BDD">
        <w:t xml:space="preserve">Vstříknout obsah jednoho </w:t>
      </w:r>
      <w:proofErr w:type="spellStart"/>
      <w:r w:rsidRPr="00FD7BDD">
        <w:t>intramamárního</w:t>
      </w:r>
      <w:proofErr w:type="spellEnd"/>
      <w:r w:rsidRPr="00FD7BDD">
        <w:t xml:space="preserve"> injektoru (280 mg </w:t>
      </w:r>
      <w:proofErr w:type="spellStart"/>
      <w:r w:rsidRPr="00FD7BDD">
        <w:t>benethamin</w:t>
      </w:r>
      <w:proofErr w:type="spellEnd"/>
      <w:r w:rsidRPr="00FD7BDD">
        <w:t xml:space="preserve">-penicilinu, 100 mg </w:t>
      </w:r>
      <w:proofErr w:type="spellStart"/>
      <w:r w:rsidRPr="00FD7BDD">
        <w:t>penethamat-hydrojodidu</w:t>
      </w:r>
      <w:proofErr w:type="spellEnd"/>
      <w:r w:rsidRPr="00FD7BDD">
        <w:t xml:space="preserve"> a 100 mg </w:t>
      </w:r>
      <w:proofErr w:type="spellStart"/>
      <w:r w:rsidRPr="00FD7BDD">
        <w:t>framycetin</w:t>
      </w:r>
      <w:proofErr w:type="spellEnd"/>
      <w:r w:rsidRPr="00FD7BDD">
        <w:t xml:space="preserve"> sulfátu) do každé čtvrti bezprostředně po posledním dojení </w:t>
      </w:r>
      <w:r w:rsidR="00F37F23">
        <w:t xml:space="preserve">v </w:t>
      </w:r>
      <w:r w:rsidR="00EE59D5" w:rsidRPr="00FD7BDD">
        <w:t>laktac</w:t>
      </w:r>
      <w:r w:rsidR="00F37F23">
        <w:t>i</w:t>
      </w:r>
      <w:r>
        <w:t>.</w:t>
      </w:r>
    </w:p>
    <w:p w14:paraId="30AF1678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47FDC040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6CC53C1A" w14:textId="5CFFAB43" w:rsidR="00FD7BDD" w:rsidRPr="00FD7BDD" w:rsidRDefault="0042618C" w:rsidP="00FD7BDD">
      <w:pPr>
        <w:tabs>
          <w:tab w:val="left" w:pos="567"/>
        </w:tabs>
      </w:pPr>
      <w:r w:rsidRPr="00C16C76">
        <w:rPr>
          <w:b/>
          <w:highlight w:val="lightGray"/>
        </w:rPr>
        <w:t>9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Informace o správném podávání</w:t>
      </w:r>
    </w:p>
    <w:p w14:paraId="659F9E04" w14:textId="77777777" w:rsidR="00FD7BDD" w:rsidRPr="00FD7BDD" w:rsidRDefault="00FD7BDD" w:rsidP="00FD7BDD">
      <w:pPr>
        <w:tabs>
          <w:tab w:val="left" w:pos="720"/>
        </w:tabs>
        <w:ind w:left="0" w:firstLine="0"/>
        <w:rPr>
          <w:iCs/>
        </w:rPr>
      </w:pPr>
    </w:p>
    <w:p w14:paraId="377DE0F0" w14:textId="7D82A205" w:rsidR="0042618C" w:rsidRDefault="0042618C" w:rsidP="00FD7BDD">
      <w:pPr>
        <w:tabs>
          <w:tab w:val="left" w:pos="720"/>
        </w:tabs>
        <w:ind w:left="0" w:firstLine="0"/>
        <w:rPr>
          <w:iCs/>
        </w:rPr>
      </w:pPr>
      <w:r w:rsidRPr="00FD7BDD">
        <w:t xml:space="preserve">Před </w:t>
      </w:r>
      <w:r w:rsidR="000D5A0D">
        <w:t>podáním</w:t>
      </w:r>
      <w:r w:rsidRPr="00FD7BDD">
        <w:t xml:space="preserve"> je nutné vemeno úplně vydojit, struky důkladně očistit a vydezinfikovat a vyhnout se kontaminaci trysky injektoru. Po </w:t>
      </w:r>
      <w:r w:rsidR="000D5A0D">
        <w:t>podání</w:t>
      </w:r>
      <w:r w:rsidRPr="00FD7BDD">
        <w:t xml:space="preserve"> se doporučuje použít utěrku nebo sprej na struky.</w:t>
      </w:r>
    </w:p>
    <w:p w14:paraId="3D7BB5E1" w14:textId="77777777" w:rsidR="00511682" w:rsidRPr="00FD7BDD" w:rsidRDefault="00511682" w:rsidP="00FD7BDD">
      <w:pPr>
        <w:tabs>
          <w:tab w:val="left" w:pos="720"/>
        </w:tabs>
        <w:ind w:left="0" w:firstLine="0"/>
        <w:rPr>
          <w:iCs/>
        </w:rPr>
      </w:pPr>
    </w:p>
    <w:p w14:paraId="0B789171" w14:textId="2B6312B2" w:rsidR="00A63470" w:rsidRDefault="00A63470" w:rsidP="00FD7BDD">
      <w:pPr>
        <w:tabs>
          <w:tab w:val="left" w:pos="720"/>
        </w:tabs>
        <w:ind w:left="851" w:hanging="851"/>
      </w:pPr>
    </w:p>
    <w:p w14:paraId="2B7045CA" w14:textId="77777777" w:rsidR="00A63470" w:rsidRDefault="00A63470" w:rsidP="007D0829">
      <w:pPr>
        <w:tabs>
          <w:tab w:val="left" w:pos="720"/>
        </w:tabs>
        <w:ind w:left="540" w:hanging="540"/>
      </w:pPr>
      <w:r w:rsidRPr="007D0829">
        <w:rPr>
          <w:b/>
          <w:bCs/>
          <w:highlight w:val="lightGray"/>
        </w:rPr>
        <w:t>10.</w:t>
      </w:r>
      <w:r>
        <w:tab/>
      </w:r>
      <w:r w:rsidRPr="007D0829">
        <w:rPr>
          <w:b/>
          <w:bCs/>
        </w:rPr>
        <w:t>Ochranné lhůty</w:t>
      </w:r>
    </w:p>
    <w:p w14:paraId="0D321088" w14:textId="77777777" w:rsidR="00A63470" w:rsidRDefault="00A63470" w:rsidP="00FD7BDD">
      <w:pPr>
        <w:tabs>
          <w:tab w:val="left" w:pos="720"/>
        </w:tabs>
        <w:ind w:left="851" w:hanging="851"/>
      </w:pPr>
    </w:p>
    <w:p w14:paraId="54B0E315" w14:textId="77777777" w:rsidR="00A63470" w:rsidRPr="00FD7BDD" w:rsidRDefault="00A63470" w:rsidP="00A63470">
      <w:pPr>
        <w:tabs>
          <w:tab w:val="left" w:pos="720"/>
        </w:tabs>
        <w:ind w:left="0" w:firstLine="0"/>
        <w:rPr>
          <w:iCs/>
        </w:rPr>
      </w:pPr>
      <w:r w:rsidRPr="00FD7BDD">
        <w:rPr>
          <w:iCs/>
        </w:rPr>
        <w:t>Maso: 10 dní</w:t>
      </w:r>
    </w:p>
    <w:p w14:paraId="210486E1" w14:textId="77777777" w:rsidR="00A63470" w:rsidRPr="00FD7BDD" w:rsidRDefault="00A63470" w:rsidP="00A63470">
      <w:pPr>
        <w:tabs>
          <w:tab w:val="left" w:pos="720"/>
        </w:tabs>
        <w:ind w:left="0" w:firstLine="0"/>
        <w:rPr>
          <w:iCs/>
        </w:rPr>
      </w:pPr>
    </w:p>
    <w:p w14:paraId="250D29F3" w14:textId="556DBC65" w:rsidR="00887AE9" w:rsidRDefault="00A63470" w:rsidP="00887AE9">
      <w:pPr>
        <w:ind w:left="0" w:firstLine="0"/>
      </w:pPr>
      <w:r w:rsidRPr="00FD7BDD">
        <w:t>Mléko:</w:t>
      </w:r>
      <w:r w:rsidR="00887AE9">
        <w:t xml:space="preserve">  </w:t>
      </w:r>
      <w:r w:rsidR="00887AE9" w:rsidRPr="00887AE9">
        <w:t xml:space="preserve"> </w:t>
      </w:r>
      <w:r w:rsidR="00887AE9">
        <w:t xml:space="preserve">Pokud je ošetření provedeno nejméně 35 dní před otelením, mléko nesmí být použito           </w:t>
      </w:r>
    </w:p>
    <w:p w14:paraId="050F0288" w14:textId="77777777" w:rsidR="00887AE9" w:rsidRDefault="00887AE9" w:rsidP="00887AE9">
      <w:pPr>
        <w:ind w:left="0" w:firstLine="0"/>
      </w:pPr>
      <w:r>
        <w:t xml:space="preserve">               36 hodin po otelení.</w:t>
      </w:r>
    </w:p>
    <w:p w14:paraId="2BE0D82D" w14:textId="77777777" w:rsidR="00887AE9" w:rsidRDefault="00887AE9" w:rsidP="00887AE9">
      <w:pPr>
        <w:ind w:left="0" w:firstLine="0"/>
      </w:pPr>
      <w:r>
        <w:t xml:space="preserve">               Pokud je ošetření provedeno méně než 35 dní před otelením, mléko nesmí být použito </w:t>
      </w:r>
    </w:p>
    <w:p w14:paraId="6BD1F5BC" w14:textId="7A0A4E5D" w:rsidR="00887AE9" w:rsidRPr="00E3610C" w:rsidRDefault="00887AE9" w:rsidP="00887AE9">
      <w:pPr>
        <w:ind w:left="0" w:firstLine="0"/>
      </w:pPr>
      <w:r>
        <w:t xml:space="preserve">               37 dní po </w:t>
      </w:r>
      <w:r w:rsidR="00EB02CE">
        <w:t>ošetření</w:t>
      </w:r>
      <w:bookmarkStart w:id="0" w:name="_GoBack"/>
      <w:bookmarkEnd w:id="0"/>
      <w:r>
        <w:t>.</w:t>
      </w:r>
    </w:p>
    <w:p w14:paraId="1F90BF26" w14:textId="21A3AC3F" w:rsidR="00A63470" w:rsidRDefault="00A63470" w:rsidP="007D0829">
      <w:pPr>
        <w:tabs>
          <w:tab w:val="left" w:pos="720"/>
        </w:tabs>
        <w:ind w:left="851" w:hanging="851"/>
      </w:pPr>
    </w:p>
    <w:p w14:paraId="0F01E85A" w14:textId="77777777" w:rsidR="00832B26" w:rsidRDefault="00832B26" w:rsidP="00A63470">
      <w:pPr>
        <w:numPr>
          <w:ilvl w:val="12"/>
          <w:numId w:val="0"/>
        </w:numPr>
        <w:tabs>
          <w:tab w:val="left" w:pos="720"/>
        </w:tabs>
        <w:spacing w:line="260" w:lineRule="exact"/>
      </w:pPr>
    </w:p>
    <w:p w14:paraId="7C9C7BC9" w14:textId="77777777" w:rsidR="00FD7BDD" w:rsidRPr="00FD7BDD" w:rsidRDefault="00FD7BDD" w:rsidP="007D0829">
      <w:pPr>
        <w:tabs>
          <w:tab w:val="left" w:pos="1134"/>
        </w:tabs>
        <w:ind w:left="0" w:firstLine="0"/>
        <w:rPr>
          <w:iCs/>
        </w:rPr>
      </w:pPr>
    </w:p>
    <w:p w14:paraId="1A45DB69" w14:textId="4F34D120" w:rsidR="00FD7BDD" w:rsidRPr="00FD7BDD" w:rsidRDefault="00FD7BDD" w:rsidP="00FD7BDD">
      <w:pPr>
        <w:tabs>
          <w:tab w:val="left" w:pos="567"/>
        </w:tabs>
      </w:pPr>
      <w:r w:rsidRPr="00C16C76">
        <w:rPr>
          <w:b/>
          <w:highlight w:val="lightGray"/>
        </w:rPr>
        <w:t>11.</w:t>
      </w:r>
      <w:r w:rsidRPr="00FD7BDD">
        <w:rPr>
          <w:b/>
        </w:rPr>
        <w:tab/>
      </w:r>
      <w:r w:rsidR="00832B26">
        <w:rPr>
          <w:b/>
        </w:rPr>
        <w:t>Zvláštní opatření pro uchovávání</w:t>
      </w:r>
    </w:p>
    <w:p w14:paraId="04FF1BB2" w14:textId="77777777" w:rsidR="00FD7BDD" w:rsidRPr="00FD7BDD" w:rsidRDefault="00FD7BDD" w:rsidP="00FD7BDD">
      <w:pPr>
        <w:numPr>
          <w:ilvl w:val="12"/>
          <w:numId w:val="0"/>
        </w:numPr>
        <w:tabs>
          <w:tab w:val="left" w:pos="567"/>
        </w:tabs>
        <w:spacing w:line="260" w:lineRule="exact"/>
      </w:pPr>
    </w:p>
    <w:p w14:paraId="49D63941" w14:textId="6DE15AA9" w:rsidR="00FD7BDD" w:rsidRPr="00FD7BDD" w:rsidRDefault="00FD7BDD" w:rsidP="00FD7BDD">
      <w:pPr>
        <w:numPr>
          <w:ilvl w:val="12"/>
          <w:numId w:val="0"/>
        </w:numPr>
        <w:tabs>
          <w:tab w:val="left" w:pos="567"/>
        </w:tabs>
        <w:spacing w:line="260" w:lineRule="exact"/>
      </w:pPr>
      <w:r w:rsidRPr="00EE59D5">
        <w:t>Uchováv</w:t>
      </w:r>
      <w:r w:rsidR="00EE59D5" w:rsidRPr="007D0829">
        <w:t>ejte</w:t>
      </w:r>
      <w:r w:rsidRPr="00FD7BDD">
        <w:t xml:space="preserve"> mimo dohled a dosah dětí.</w:t>
      </w:r>
    </w:p>
    <w:p w14:paraId="3A5F584B" w14:textId="77777777" w:rsidR="00FD7BDD" w:rsidRPr="00FD7BDD" w:rsidRDefault="00FD7BDD" w:rsidP="00FD7BDD">
      <w:pPr>
        <w:numPr>
          <w:ilvl w:val="12"/>
          <w:numId w:val="0"/>
        </w:numPr>
        <w:tabs>
          <w:tab w:val="left" w:pos="567"/>
        </w:tabs>
        <w:spacing w:line="260" w:lineRule="exact"/>
      </w:pPr>
      <w:r w:rsidRPr="00FD7BDD">
        <w:t>Uchovávejte při teplotě do 25 </w:t>
      </w:r>
      <w:r w:rsidRPr="00FD7BDD">
        <w:sym w:font="Symbol" w:char="F0B0"/>
      </w:r>
      <w:r w:rsidRPr="00FD7BDD">
        <w:t>C.</w:t>
      </w:r>
    </w:p>
    <w:p w14:paraId="76CAFB60" w14:textId="4279B767" w:rsidR="00FD7BDD" w:rsidRPr="00FD7BDD" w:rsidRDefault="00FD7BDD" w:rsidP="00FD7BDD">
      <w:pPr>
        <w:numPr>
          <w:ilvl w:val="12"/>
          <w:numId w:val="0"/>
        </w:numPr>
        <w:tabs>
          <w:tab w:val="left" w:pos="567"/>
        </w:tabs>
        <w:spacing w:line="260" w:lineRule="exact"/>
      </w:pPr>
      <w:r w:rsidRPr="00FD7BDD">
        <w:t xml:space="preserve">Nepoužívejte tento veterinární léčivý přípravek po uplynutí doby použitelnosti uvedené na krabičce a injektoru po </w:t>
      </w:r>
      <w:r w:rsidRPr="00EE59D5">
        <w:t>E</w:t>
      </w:r>
      <w:r w:rsidR="00B926C0" w:rsidRPr="007D0829">
        <w:t>xp</w:t>
      </w:r>
      <w:r w:rsidRPr="00EE59D5">
        <w:t>.</w:t>
      </w:r>
      <w:r w:rsidRPr="00FD7BDD">
        <w:t xml:space="preserve"> Doba použitelnosti končí posledním dnem v uvedeném měsíci.</w:t>
      </w:r>
    </w:p>
    <w:p w14:paraId="641A92AD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6D13F6B1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31EBC688" w14:textId="2F991E94" w:rsidR="00FD7BDD" w:rsidRPr="00FD7BDD" w:rsidRDefault="006D166A" w:rsidP="00A139E7">
      <w:pPr>
        <w:keepNext/>
        <w:tabs>
          <w:tab w:val="left" w:pos="567"/>
        </w:tabs>
        <w:jc w:val="both"/>
        <w:rPr>
          <w:b/>
        </w:rPr>
      </w:pPr>
      <w:r w:rsidRPr="00C16C76">
        <w:rPr>
          <w:b/>
          <w:highlight w:val="lightGray"/>
        </w:rPr>
        <w:t>12</w:t>
      </w:r>
      <w:r w:rsidR="00FD7BDD" w:rsidRPr="00C16C76">
        <w:rPr>
          <w:b/>
          <w:highlight w:val="lightGray"/>
        </w:rPr>
        <w:t>.</w:t>
      </w:r>
      <w:r w:rsidR="00FD7BDD" w:rsidRPr="00FD7BDD">
        <w:rPr>
          <w:b/>
        </w:rPr>
        <w:tab/>
      </w:r>
      <w:r>
        <w:rPr>
          <w:b/>
        </w:rPr>
        <w:t>Zvláštní opatření pro likvidaci</w:t>
      </w:r>
    </w:p>
    <w:p w14:paraId="3D2C2E57" w14:textId="77777777" w:rsidR="00FD7BDD" w:rsidRPr="00FD7BDD" w:rsidRDefault="00FD7BDD" w:rsidP="00A139E7">
      <w:pPr>
        <w:keepNext/>
        <w:tabs>
          <w:tab w:val="left" w:pos="720"/>
        </w:tabs>
        <w:ind w:left="0" w:firstLine="0"/>
        <w:jc w:val="both"/>
      </w:pPr>
    </w:p>
    <w:p w14:paraId="62FA9EC3" w14:textId="77777777" w:rsidR="006D166A" w:rsidRDefault="006D166A" w:rsidP="00A139E7">
      <w:pPr>
        <w:tabs>
          <w:tab w:val="left" w:pos="720"/>
        </w:tabs>
        <w:ind w:left="0" w:firstLine="0"/>
        <w:jc w:val="both"/>
      </w:pPr>
      <w:r w:rsidRPr="00B41D57">
        <w:t>Léčivé přípravky se nesmí likvidovat prostřednictvím odpadní vody či domovního odpadu</w:t>
      </w:r>
      <w:r>
        <w:t>.</w:t>
      </w:r>
    </w:p>
    <w:p w14:paraId="43A992E7" w14:textId="77777777" w:rsidR="006D166A" w:rsidRDefault="006D166A" w:rsidP="00A139E7">
      <w:pPr>
        <w:tabs>
          <w:tab w:val="left" w:pos="720"/>
        </w:tabs>
        <w:ind w:left="0" w:firstLine="0"/>
        <w:jc w:val="both"/>
      </w:pPr>
    </w:p>
    <w:p w14:paraId="5B758F9E" w14:textId="77777777" w:rsidR="006D166A" w:rsidRPr="00B41D57" w:rsidRDefault="006D166A" w:rsidP="007D0829">
      <w:pPr>
        <w:ind w:left="0" w:firstLine="0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>
        <w:t xml:space="preserve"> </w:t>
      </w:r>
      <w:r w:rsidRPr="00B41D57">
        <w:t>Tato opatření napomáhají chránit životní prostředí.</w:t>
      </w:r>
    </w:p>
    <w:p w14:paraId="48138939" w14:textId="77777777" w:rsidR="006D166A" w:rsidRPr="00B41D57" w:rsidRDefault="006D166A" w:rsidP="00A139E7">
      <w:pPr>
        <w:jc w:val="both"/>
        <w:rPr>
          <w:szCs w:val="22"/>
        </w:rPr>
      </w:pPr>
    </w:p>
    <w:p w14:paraId="30842DF8" w14:textId="77777777" w:rsidR="006D166A" w:rsidRDefault="006D166A" w:rsidP="00A139E7">
      <w:pPr>
        <w:tabs>
          <w:tab w:val="left" w:pos="720"/>
        </w:tabs>
        <w:ind w:left="0" w:firstLine="0"/>
        <w:jc w:val="both"/>
      </w:pPr>
      <w:r w:rsidRPr="00B41D57">
        <w:t>O možnostech likvidace nepotřebných léčivých přípravků se poraďte s vaším veterinárním lékařem</w:t>
      </w:r>
      <w:r>
        <w:t>.</w:t>
      </w:r>
    </w:p>
    <w:p w14:paraId="25F3EF59" w14:textId="4B99FD00" w:rsidR="00FD7BDD" w:rsidRPr="00FD7BDD" w:rsidRDefault="00FD7BDD" w:rsidP="00A139E7">
      <w:pPr>
        <w:tabs>
          <w:tab w:val="left" w:pos="720"/>
        </w:tabs>
        <w:ind w:left="0" w:firstLine="0"/>
        <w:jc w:val="both"/>
      </w:pPr>
    </w:p>
    <w:p w14:paraId="1A31E74D" w14:textId="77777777" w:rsidR="00FD7BDD" w:rsidRDefault="00FD7BDD" w:rsidP="00FD7BDD">
      <w:pPr>
        <w:tabs>
          <w:tab w:val="left" w:pos="720"/>
        </w:tabs>
        <w:ind w:left="0" w:firstLine="0"/>
      </w:pPr>
    </w:p>
    <w:p w14:paraId="078330C5" w14:textId="77777777" w:rsidR="006D166A" w:rsidRDefault="006D166A" w:rsidP="00FD7BDD">
      <w:pPr>
        <w:tabs>
          <w:tab w:val="left" w:pos="720"/>
        </w:tabs>
        <w:ind w:left="0" w:firstLine="0"/>
        <w:rPr>
          <w:b/>
          <w:bCs/>
        </w:rPr>
      </w:pPr>
      <w:r w:rsidRPr="007D0829">
        <w:rPr>
          <w:b/>
          <w:szCs w:val="22"/>
          <w:highlight w:val="lightGray"/>
        </w:rPr>
        <w:t>13.</w:t>
      </w:r>
      <w:r w:rsidR="00CA761A" w:rsidRPr="00CA761A">
        <w:rPr>
          <w:b/>
        </w:rPr>
        <w:t xml:space="preserve"> </w:t>
      </w:r>
      <w:r w:rsidR="00CA761A" w:rsidRPr="00FD7BDD">
        <w:rPr>
          <w:b/>
        </w:rPr>
        <w:tab/>
      </w:r>
      <w:r w:rsidRPr="007D0829">
        <w:rPr>
          <w:b/>
          <w:bCs/>
        </w:rPr>
        <w:t>Klasifikace veterinárních léčivých přípravků</w:t>
      </w:r>
    </w:p>
    <w:p w14:paraId="4EF2A718" w14:textId="77777777" w:rsidR="00880671" w:rsidRDefault="00880671" w:rsidP="00FD7BDD">
      <w:pPr>
        <w:tabs>
          <w:tab w:val="left" w:pos="720"/>
        </w:tabs>
        <w:ind w:left="0" w:firstLine="0"/>
        <w:rPr>
          <w:b/>
          <w:bCs/>
        </w:rPr>
      </w:pPr>
    </w:p>
    <w:p w14:paraId="4E012008" w14:textId="77777777" w:rsidR="00880671" w:rsidRDefault="00880671" w:rsidP="00FD7BDD">
      <w:pPr>
        <w:tabs>
          <w:tab w:val="left" w:pos="720"/>
        </w:tabs>
        <w:ind w:left="0" w:firstLine="0"/>
        <w:rPr>
          <w:b/>
          <w:bCs/>
        </w:rPr>
      </w:pPr>
      <w:r w:rsidRPr="00B41D57">
        <w:t>Veterinární léčivý přípravek je vydáván pouze na předpis</w:t>
      </w:r>
      <w:r>
        <w:t>.</w:t>
      </w:r>
    </w:p>
    <w:p w14:paraId="1C36A45B" w14:textId="77777777" w:rsidR="00880671" w:rsidRDefault="00880671" w:rsidP="00FD7BDD">
      <w:pPr>
        <w:tabs>
          <w:tab w:val="left" w:pos="720"/>
        </w:tabs>
        <w:ind w:left="0" w:firstLine="0"/>
        <w:rPr>
          <w:b/>
          <w:bCs/>
        </w:rPr>
      </w:pPr>
    </w:p>
    <w:p w14:paraId="774BFB8A" w14:textId="77777777" w:rsidR="00880671" w:rsidRDefault="00880671" w:rsidP="00FD7BDD">
      <w:pPr>
        <w:tabs>
          <w:tab w:val="left" w:pos="720"/>
        </w:tabs>
        <w:ind w:left="0" w:firstLine="0"/>
        <w:rPr>
          <w:b/>
          <w:bCs/>
        </w:rPr>
      </w:pPr>
    </w:p>
    <w:p w14:paraId="38FDDE16" w14:textId="77777777" w:rsidR="00880671" w:rsidRDefault="00880671" w:rsidP="00FD7BDD">
      <w:pPr>
        <w:tabs>
          <w:tab w:val="left" w:pos="720"/>
        </w:tabs>
        <w:ind w:left="0" w:firstLine="0"/>
        <w:rPr>
          <w:b/>
          <w:bCs/>
        </w:rPr>
      </w:pPr>
      <w:r w:rsidRPr="007D0829">
        <w:rPr>
          <w:b/>
          <w:bCs/>
          <w:highlight w:val="lightGray"/>
        </w:rPr>
        <w:t>14</w:t>
      </w:r>
      <w:r>
        <w:rPr>
          <w:b/>
          <w:bCs/>
        </w:rPr>
        <w:t>.         Registrační čísl</w:t>
      </w:r>
      <w:r w:rsidR="0040519D">
        <w:rPr>
          <w:b/>
          <w:bCs/>
        </w:rPr>
        <w:t>a</w:t>
      </w:r>
      <w:r>
        <w:rPr>
          <w:b/>
          <w:bCs/>
        </w:rPr>
        <w:t xml:space="preserve"> a velikost balení</w:t>
      </w:r>
    </w:p>
    <w:p w14:paraId="4D314A33" w14:textId="77777777" w:rsidR="00880671" w:rsidRPr="00FD7BDD" w:rsidRDefault="00880671" w:rsidP="00880671">
      <w:pPr>
        <w:tabs>
          <w:tab w:val="left" w:pos="720"/>
        </w:tabs>
        <w:ind w:left="0" w:firstLine="0"/>
      </w:pPr>
    </w:p>
    <w:p w14:paraId="7889A281" w14:textId="3E939520" w:rsidR="007D0829" w:rsidRDefault="007D0829" w:rsidP="00880671">
      <w:pPr>
        <w:tabs>
          <w:tab w:val="left" w:pos="720"/>
        </w:tabs>
        <w:ind w:left="0" w:firstLine="0"/>
      </w:pPr>
      <w:r w:rsidRPr="007D0829">
        <w:t>96/101/11-C</w:t>
      </w:r>
    </w:p>
    <w:p w14:paraId="61CE68A5" w14:textId="77777777" w:rsidR="007D0829" w:rsidRDefault="007D0829" w:rsidP="00880671">
      <w:pPr>
        <w:tabs>
          <w:tab w:val="left" w:pos="720"/>
        </w:tabs>
        <w:ind w:left="0" w:firstLine="0"/>
      </w:pPr>
    </w:p>
    <w:p w14:paraId="76F855CC" w14:textId="532C33DC" w:rsidR="00880671" w:rsidRPr="00FD7BDD" w:rsidRDefault="00880671" w:rsidP="00880671">
      <w:pPr>
        <w:tabs>
          <w:tab w:val="left" w:pos="720"/>
        </w:tabs>
        <w:ind w:left="0" w:firstLine="0"/>
      </w:pPr>
      <w:r w:rsidRPr="00FD7BDD">
        <w:t xml:space="preserve">Papírová krabička obsahující 20 </w:t>
      </w:r>
      <w:proofErr w:type="spellStart"/>
      <w:r w:rsidRPr="00FD7BDD">
        <w:t>intramamárních</w:t>
      </w:r>
      <w:proofErr w:type="spellEnd"/>
      <w:r w:rsidRPr="00FD7BDD">
        <w:t xml:space="preserve"> injektorů s 4,5 g intramamární suspenze</w:t>
      </w:r>
    </w:p>
    <w:p w14:paraId="30007A0E" w14:textId="77777777" w:rsidR="00880671" w:rsidRPr="00FD7BDD" w:rsidRDefault="00880671" w:rsidP="00880671">
      <w:pPr>
        <w:tabs>
          <w:tab w:val="left" w:pos="720"/>
        </w:tabs>
        <w:ind w:left="0" w:firstLine="0"/>
      </w:pPr>
      <w:r w:rsidRPr="00FD7BDD">
        <w:t xml:space="preserve">Plastová nádoba obsahující 60 </w:t>
      </w:r>
      <w:proofErr w:type="spellStart"/>
      <w:r w:rsidRPr="00FD7BDD">
        <w:t>intramamárních</w:t>
      </w:r>
      <w:proofErr w:type="spellEnd"/>
      <w:r w:rsidRPr="00FD7BDD">
        <w:t xml:space="preserve"> injektorů s 4,5 g intramamární suspenze</w:t>
      </w:r>
    </w:p>
    <w:p w14:paraId="1D574A2C" w14:textId="77777777" w:rsidR="00880671" w:rsidRPr="00FD7BDD" w:rsidRDefault="00880671" w:rsidP="00880671">
      <w:pPr>
        <w:tabs>
          <w:tab w:val="left" w:pos="720"/>
        </w:tabs>
        <w:ind w:left="0" w:firstLine="0"/>
      </w:pPr>
      <w:r w:rsidRPr="00FD7BDD">
        <w:lastRenderedPageBreak/>
        <w:t xml:space="preserve">Plastová nádoba obsahující 120 </w:t>
      </w:r>
      <w:proofErr w:type="spellStart"/>
      <w:r w:rsidRPr="00FD7BDD">
        <w:t>intramamárních</w:t>
      </w:r>
      <w:proofErr w:type="spellEnd"/>
      <w:r w:rsidRPr="00FD7BDD">
        <w:t xml:space="preserve"> injektorů s 4,5 g intramamární suspenze</w:t>
      </w:r>
    </w:p>
    <w:p w14:paraId="38C540B8" w14:textId="77777777" w:rsidR="00880671" w:rsidRPr="00FD7BDD" w:rsidRDefault="00880671" w:rsidP="00880671">
      <w:pPr>
        <w:tabs>
          <w:tab w:val="left" w:pos="720"/>
        </w:tabs>
        <w:ind w:left="0" w:firstLine="0"/>
      </w:pPr>
    </w:p>
    <w:p w14:paraId="0250984E" w14:textId="77777777" w:rsidR="00880671" w:rsidRDefault="00880671" w:rsidP="00880671">
      <w:pPr>
        <w:tabs>
          <w:tab w:val="left" w:pos="720"/>
        </w:tabs>
        <w:ind w:left="0" w:firstLine="0"/>
      </w:pPr>
      <w:r w:rsidRPr="00FD7BDD">
        <w:t>Na trhu nemusí být všechny velikosti balení</w:t>
      </w:r>
      <w:r>
        <w:t>.</w:t>
      </w:r>
    </w:p>
    <w:p w14:paraId="048B285E" w14:textId="77777777" w:rsidR="00F71295" w:rsidRDefault="00F71295" w:rsidP="00FD7BDD">
      <w:pPr>
        <w:tabs>
          <w:tab w:val="left" w:pos="567"/>
        </w:tabs>
        <w:rPr>
          <w:b/>
        </w:rPr>
      </w:pPr>
    </w:p>
    <w:p w14:paraId="5DEA2B86" w14:textId="77777777" w:rsidR="00F71295" w:rsidRPr="007D0829" w:rsidRDefault="00F71295" w:rsidP="00880671">
      <w:pPr>
        <w:tabs>
          <w:tab w:val="left" w:pos="720"/>
        </w:tabs>
        <w:ind w:left="0" w:firstLine="0"/>
        <w:rPr>
          <w:i/>
          <w:iCs/>
        </w:rPr>
      </w:pPr>
    </w:p>
    <w:p w14:paraId="4D69D305" w14:textId="6D8BB786" w:rsidR="00FD7BDD" w:rsidRDefault="00FD7BDD" w:rsidP="00F71295">
      <w:pPr>
        <w:tabs>
          <w:tab w:val="left" w:pos="567"/>
        </w:tabs>
        <w:ind w:left="0" w:firstLine="0"/>
        <w:rPr>
          <w:b/>
        </w:rPr>
      </w:pPr>
      <w:r w:rsidRPr="00C16C76">
        <w:rPr>
          <w:b/>
          <w:highlight w:val="lightGray"/>
        </w:rPr>
        <w:t>1</w:t>
      </w:r>
      <w:r w:rsidR="00880671" w:rsidRPr="00C16C76">
        <w:rPr>
          <w:b/>
          <w:highlight w:val="lightGray"/>
        </w:rPr>
        <w:t>5</w:t>
      </w:r>
      <w:r w:rsidRPr="00C16C76">
        <w:rPr>
          <w:b/>
          <w:highlight w:val="lightGray"/>
        </w:rPr>
        <w:t>.</w:t>
      </w:r>
      <w:r w:rsidRPr="00FD7BDD">
        <w:rPr>
          <w:b/>
        </w:rPr>
        <w:tab/>
        <w:t>D</w:t>
      </w:r>
      <w:r w:rsidR="00880671">
        <w:rPr>
          <w:b/>
        </w:rPr>
        <w:t>atum poslední revize příbalové informace</w:t>
      </w:r>
    </w:p>
    <w:p w14:paraId="1EA0A3C3" w14:textId="77777777" w:rsidR="00F71295" w:rsidRPr="00FD7BDD" w:rsidRDefault="00F71295" w:rsidP="007D0829">
      <w:pPr>
        <w:tabs>
          <w:tab w:val="left" w:pos="567"/>
        </w:tabs>
        <w:ind w:left="0" w:firstLine="0"/>
      </w:pPr>
    </w:p>
    <w:p w14:paraId="60983D0C" w14:textId="3E9A4266" w:rsidR="00880671" w:rsidRDefault="00DF0A71" w:rsidP="00FD7BDD">
      <w:pPr>
        <w:tabs>
          <w:tab w:val="left" w:pos="0"/>
          <w:tab w:val="left" w:pos="567"/>
        </w:tabs>
        <w:ind w:left="0" w:firstLine="0"/>
      </w:pPr>
      <w:r>
        <w:t>12/</w:t>
      </w:r>
      <w:r w:rsidR="000D5A0D">
        <w:t>2024</w:t>
      </w:r>
    </w:p>
    <w:p w14:paraId="2FD847D9" w14:textId="77777777" w:rsidR="00C63FF8" w:rsidRDefault="00C63FF8" w:rsidP="00FD7BDD">
      <w:pPr>
        <w:tabs>
          <w:tab w:val="left" w:pos="0"/>
          <w:tab w:val="left" w:pos="567"/>
        </w:tabs>
        <w:ind w:left="0" w:firstLine="0"/>
      </w:pPr>
    </w:p>
    <w:p w14:paraId="55D421FE" w14:textId="77777777" w:rsidR="00A60AD2" w:rsidRDefault="00A60AD2" w:rsidP="00A60AD2">
      <w:pPr>
        <w:ind w:left="0" w:firstLine="0"/>
        <w:rPr>
          <w:szCs w:val="22"/>
        </w:rPr>
      </w:pPr>
      <w:r w:rsidRPr="00A60AD2">
        <w:t xml:space="preserve">Podrobné informace o tomto veterinárním léčivém přípravku jsou k dispozici v databázi přípravků Unie </w:t>
      </w:r>
      <w:r w:rsidRPr="00A60AD2">
        <w:rPr>
          <w:szCs w:val="22"/>
        </w:rPr>
        <w:t>(</w:t>
      </w:r>
      <w:hyperlink r:id="rId12" w:history="1">
        <w:r w:rsidRPr="00A60AD2">
          <w:rPr>
            <w:color w:val="0000FF"/>
            <w:szCs w:val="22"/>
            <w:u w:val="single"/>
          </w:rPr>
          <w:t>https://medicines.health.europa.eu/veterinary</w:t>
        </w:r>
      </w:hyperlink>
      <w:r w:rsidRPr="00A60AD2">
        <w:rPr>
          <w:szCs w:val="22"/>
        </w:rPr>
        <w:t>).</w:t>
      </w:r>
    </w:p>
    <w:p w14:paraId="497E4DFA" w14:textId="77777777" w:rsidR="00D762F1" w:rsidRPr="00A60AD2" w:rsidRDefault="00D762F1" w:rsidP="00A60AD2">
      <w:pPr>
        <w:ind w:left="0" w:firstLine="0"/>
        <w:rPr>
          <w:szCs w:val="22"/>
        </w:rPr>
      </w:pPr>
    </w:p>
    <w:p w14:paraId="5D1FB7BD" w14:textId="514D4EC6" w:rsidR="00425C1E" w:rsidRDefault="00D762F1" w:rsidP="00FD7BDD">
      <w:pPr>
        <w:tabs>
          <w:tab w:val="left" w:pos="0"/>
          <w:tab w:val="left" w:pos="567"/>
        </w:tabs>
        <w:ind w:left="0" w:firstLine="0"/>
      </w:pPr>
      <w:r w:rsidRPr="00D762F1">
        <w:t>Podrobné informace o tomto veterinárním léčivém přípravku naleznete také v národní databázi (</w:t>
      </w:r>
      <w:hyperlink r:id="rId13" w:history="1">
        <w:r w:rsidR="00770D6F" w:rsidRPr="00F70B5C">
          <w:rPr>
            <w:rStyle w:val="Hypertextovodkaz"/>
          </w:rPr>
          <w:t>https://www.uskvbl.cz</w:t>
        </w:r>
      </w:hyperlink>
      <w:r w:rsidRPr="00D762F1">
        <w:t>).</w:t>
      </w:r>
    </w:p>
    <w:p w14:paraId="14FC069F" w14:textId="77777777" w:rsidR="00770D6F" w:rsidRDefault="00770D6F" w:rsidP="00FD7BDD">
      <w:pPr>
        <w:tabs>
          <w:tab w:val="left" w:pos="0"/>
          <w:tab w:val="left" w:pos="567"/>
        </w:tabs>
        <w:ind w:left="0" w:firstLine="0"/>
      </w:pPr>
    </w:p>
    <w:p w14:paraId="24D8BA29" w14:textId="77777777" w:rsidR="00EE59D5" w:rsidRDefault="00EE59D5" w:rsidP="00FD7BDD">
      <w:pPr>
        <w:tabs>
          <w:tab w:val="left" w:pos="0"/>
          <w:tab w:val="left" w:pos="567"/>
        </w:tabs>
        <w:ind w:left="0" w:firstLine="0"/>
      </w:pPr>
    </w:p>
    <w:p w14:paraId="296A6AF9" w14:textId="77777777" w:rsidR="00425C1E" w:rsidRPr="00474C50" w:rsidRDefault="00425C1E" w:rsidP="00425C1E">
      <w:pPr>
        <w:rPr>
          <w:szCs w:val="22"/>
        </w:rPr>
      </w:pPr>
      <w:r w:rsidRPr="00C16C76">
        <w:rPr>
          <w:b/>
          <w:szCs w:val="22"/>
          <w:highlight w:val="lightGray"/>
        </w:rPr>
        <w:t>16.</w:t>
      </w:r>
      <w:r w:rsidRPr="00474C50">
        <w:rPr>
          <w:b/>
          <w:szCs w:val="22"/>
        </w:rPr>
        <w:tab/>
      </w:r>
      <w:r w:rsidR="00B926C0">
        <w:rPr>
          <w:b/>
          <w:szCs w:val="22"/>
        </w:rPr>
        <w:t>Kontaktní údaje</w:t>
      </w:r>
    </w:p>
    <w:p w14:paraId="72968F25" w14:textId="77777777" w:rsidR="00425C1E" w:rsidRDefault="00425C1E" w:rsidP="00425C1E">
      <w:pPr>
        <w:ind w:right="-318"/>
      </w:pPr>
    </w:p>
    <w:p w14:paraId="14FE8398" w14:textId="77777777" w:rsidR="00425C1E" w:rsidRDefault="00B926C0" w:rsidP="00425C1E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</w:t>
      </w:r>
      <w:r w:rsidR="00425C1E" w:rsidRPr="001331AE">
        <w:rPr>
          <w:iCs/>
          <w:szCs w:val="22"/>
        </w:rPr>
        <w:t>:</w:t>
      </w:r>
    </w:p>
    <w:p w14:paraId="030B0928" w14:textId="77777777" w:rsidR="00425C1E" w:rsidRDefault="00425C1E" w:rsidP="00425C1E">
      <w:pPr>
        <w:rPr>
          <w:iCs/>
          <w:lang w:val="de-DE" w:eastAsia="de-DE"/>
        </w:rPr>
      </w:pPr>
      <w:r w:rsidRPr="00DE4CFE">
        <w:rPr>
          <w:iCs/>
          <w:lang w:val="de-DE" w:eastAsia="de-DE"/>
        </w:rPr>
        <w:t xml:space="preserve">Boehringer Ingelheim </w:t>
      </w:r>
      <w:proofErr w:type="spellStart"/>
      <w:r w:rsidRPr="00DE4CFE">
        <w:rPr>
          <w:iCs/>
          <w:lang w:val="de-DE" w:eastAsia="de-DE"/>
        </w:rPr>
        <w:t>Vetmedica</w:t>
      </w:r>
      <w:proofErr w:type="spellEnd"/>
      <w:r w:rsidRPr="00DE4CFE">
        <w:rPr>
          <w:iCs/>
          <w:lang w:val="de-DE" w:eastAsia="de-DE"/>
        </w:rPr>
        <w:t xml:space="preserve"> GmbH</w:t>
      </w:r>
    </w:p>
    <w:p w14:paraId="596AFA14" w14:textId="77777777" w:rsidR="00425C1E" w:rsidRPr="00B304E3" w:rsidRDefault="00425C1E" w:rsidP="00425C1E">
      <w:pPr>
        <w:suppressAutoHyphens/>
        <w:rPr>
          <w:iCs/>
          <w:lang w:val="de-DE" w:eastAsia="de-DE"/>
        </w:rPr>
      </w:pPr>
      <w:r w:rsidRPr="00B304E3">
        <w:rPr>
          <w:iCs/>
          <w:lang w:val="de-DE" w:eastAsia="de-DE"/>
        </w:rPr>
        <w:t>55216 Ingelheim/Rhein</w:t>
      </w:r>
    </w:p>
    <w:p w14:paraId="7808B418" w14:textId="77777777" w:rsidR="00425C1E" w:rsidRPr="007D0829" w:rsidRDefault="00B926C0" w:rsidP="00425C1E">
      <w:pPr>
        <w:suppressAutoHyphens/>
        <w:rPr>
          <w:iCs/>
          <w:highlight w:val="lightGray"/>
          <w:lang w:val="de-DE" w:eastAsia="de-DE"/>
        </w:rPr>
      </w:pPr>
      <w:proofErr w:type="spellStart"/>
      <w:r w:rsidRPr="007D0829">
        <w:rPr>
          <w:iCs/>
          <w:lang w:val="de-DE" w:eastAsia="de-DE"/>
        </w:rPr>
        <w:t>Německo</w:t>
      </w:r>
      <w:proofErr w:type="spellEnd"/>
    </w:p>
    <w:bookmarkEnd w:id="1"/>
    <w:p w14:paraId="09801FC5" w14:textId="77777777" w:rsidR="00425C1E" w:rsidRPr="001331AE" w:rsidRDefault="00425C1E" w:rsidP="00C63FF8">
      <w:pPr>
        <w:ind w:left="0" w:firstLine="0"/>
        <w:rPr>
          <w:szCs w:val="22"/>
        </w:rPr>
      </w:pPr>
    </w:p>
    <w:p w14:paraId="134F74A1" w14:textId="77777777" w:rsidR="00425C1E" w:rsidRPr="001331AE" w:rsidRDefault="00EE59D5" w:rsidP="00425C1E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="00425C1E" w:rsidRPr="001331AE">
        <w:rPr>
          <w:bCs/>
          <w:szCs w:val="22"/>
        </w:rPr>
        <w:t>:</w:t>
      </w:r>
    </w:p>
    <w:p w14:paraId="6A39F078" w14:textId="77777777" w:rsidR="00425C1E" w:rsidRPr="00F24C6E" w:rsidRDefault="00425C1E" w:rsidP="00425C1E">
      <w:pPr>
        <w:tabs>
          <w:tab w:val="left" w:pos="1418"/>
        </w:tabs>
        <w:rPr>
          <w:lang w:val="de-DE"/>
        </w:rPr>
      </w:pPr>
      <w:r w:rsidRPr="00F24C6E">
        <w:rPr>
          <w:lang w:val="de-DE"/>
        </w:rPr>
        <w:t>Lohmann Pharmaherstellung GmbH</w:t>
      </w:r>
    </w:p>
    <w:p w14:paraId="4BCB1D56" w14:textId="77777777" w:rsidR="00425C1E" w:rsidRPr="00F24C6E" w:rsidRDefault="00425C1E" w:rsidP="00425C1E">
      <w:pPr>
        <w:tabs>
          <w:tab w:val="left" w:pos="1418"/>
        </w:tabs>
        <w:rPr>
          <w:lang w:val="de-DE"/>
        </w:rPr>
      </w:pPr>
      <w:r w:rsidRPr="00F24C6E">
        <w:rPr>
          <w:lang w:val="de-DE"/>
        </w:rPr>
        <w:t>Heinz-Lohmann-Straße 5</w:t>
      </w:r>
    </w:p>
    <w:p w14:paraId="4A313BBE" w14:textId="77777777" w:rsidR="00425C1E" w:rsidRPr="001331AE" w:rsidRDefault="00425C1E" w:rsidP="00425C1E">
      <w:pPr>
        <w:tabs>
          <w:tab w:val="left" w:pos="1418"/>
        </w:tabs>
      </w:pPr>
      <w:r w:rsidRPr="001331AE">
        <w:t xml:space="preserve">27472 </w:t>
      </w:r>
      <w:proofErr w:type="spellStart"/>
      <w:r w:rsidRPr="001331AE">
        <w:t>Cuxhaven</w:t>
      </w:r>
      <w:proofErr w:type="spellEnd"/>
    </w:p>
    <w:p w14:paraId="5DCDB725" w14:textId="77777777" w:rsidR="00425C1E" w:rsidRPr="001331AE" w:rsidRDefault="00B926C0" w:rsidP="00425C1E">
      <w:pPr>
        <w:tabs>
          <w:tab w:val="left" w:pos="1418"/>
        </w:tabs>
      </w:pPr>
      <w:r>
        <w:t>Německo</w:t>
      </w:r>
    </w:p>
    <w:p w14:paraId="37F7FF74" w14:textId="77777777" w:rsidR="00425C1E" w:rsidRPr="001331AE" w:rsidRDefault="00425C1E" w:rsidP="00425C1E">
      <w:pPr>
        <w:tabs>
          <w:tab w:val="left" w:pos="1418"/>
        </w:tabs>
      </w:pPr>
    </w:p>
    <w:p w14:paraId="400FC607" w14:textId="77777777" w:rsidR="00425C1E" w:rsidRPr="001331AE" w:rsidRDefault="00425C1E" w:rsidP="00425C1E">
      <w:pPr>
        <w:rPr>
          <w:shd w:val="pct15" w:color="auto" w:fill="FFFFFF"/>
        </w:rPr>
      </w:pPr>
      <w:r w:rsidRPr="001331AE">
        <w:rPr>
          <w:shd w:val="pct15" w:color="auto" w:fill="FFFFFF"/>
        </w:rPr>
        <w:t xml:space="preserve">Haupt </w:t>
      </w:r>
      <w:proofErr w:type="spellStart"/>
      <w:r w:rsidRPr="001331AE">
        <w:rPr>
          <w:shd w:val="pct15" w:color="auto" w:fill="FFFFFF"/>
        </w:rPr>
        <w:t>Pharma</w:t>
      </w:r>
      <w:proofErr w:type="spellEnd"/>
      <w:r w:rsidRPr="001331AE">
        <w:rPr>
          <w:shd w:val="pct15" w:color="auto" w:fill="FFFFFF"/>
        </w:rPr>
        <w:t xml:space="preserve"> Latina </w:t>
      </w:r>
      <w:proofErr w:type="spellStart"/>
      <w:r w:rsidRPr="001331AE">
        <w:rPr>
          <w:shd w:val="pct15" w:color="auto" w:fill="FFFFFF"/>
        </w:rPr>
        <w:t>S.r.l</w:t>
      </w:r>
      <w:proofErr w:type="spellEnd"/>
    </w:p>
    <w:p w14:paraId="382CDFEC" w14:textId="77777777" w:rsidR="00425C1E" w:rsidRPr="002C36D3" w:rsidRDefault="00425C1E" w:rsidP="00425C1E">
      <w:pPr>
        <w:rPr>
          <w:shd w:val="pct15" w:color="auto" w:fill="FFFFFF"/>
          <w:lang w:val="de-DE"/>
        </w:rPr>
      </w:pPr>
      <w:r w:rsidRPr="002C36D3">
        <w:rPr>
          <w:shd w:val="pct15" w:color="auto" w:fill="FFFFFF"/>
          <w:lang w:val="de-DE"/>
        </w:rPr>
        <w:t xml:space="preserve">S.S. 156 Monti Lepini Km 47,600 </w:t>
      </w:r>
    </w:p>
    <w:p w14:paraId="2C97315C" w14:textId="77777777" w:rsidR="00425C1E" w:rsidRPr="001331AE" w:rsidRDefault="00425C1E" w:rsidP="00425C1E">
      <w:pPr>
        <w:rPr>
          <w:shd w:val="pct15" w:color="auto" w:fill="FFFFFF"/>
        </w:rPr>
      </w:pPr>
      <w:r w:rsidRPr="001331AE">
        <w:rPr>
          <w:shd w:val="pct15" w:color="auto" w:fill="FFFFFF"/>
        </w:rPr>
        <w:t xml:space="preserve">04100 </w:t>
      </w:r>
      <w:proofErr w:type="spellStart"/>
      <w:r w:rsidRPr="001331AE">
        <w:rPr>
          <w:shd w:val="pct15" w:color="auto" w:fill="FFFFFF"/>
        </w:rPr>
        <w:t>Borgo</w:t>
      </w:r>
      <w:proofErr w:type="spellEnd"/>
      <w:r w:rsidRPr="001331AE">
        <w:rPr>
          <w:shd w:val="pct15" w:color="auto" w:fill="FFFFFF"/>
        </w:rPr>
        <w:t xml:space="preserve"> San Michele - Latina</w:t>
      </w:r>
    </w:p>
    <w:p w14:paraId="3F4D5AFB" w14:textId="77777777" w:rsidR="00425C1E" w:rsidRPr="001331AE" w:rsidRDefault="00425C1E" w:rsidP="00425C1E">
      <w:pPr>
        <w:rPr>
          <w:b/>
        </w:rPr>
      </w:pPr>
      <w:r w:rsidRPr="001331AE">
        <w:rPr>
          <w:shd w:val="pct15" w:color="auto" w:fill="FFFFFF"/>
        </w:rPr>
        <w:t>It</w:t>
      </w:r>
      <w:r w:rsidR="00B926C0">
        <w:rPr>
          <w:shd w:val="pct15" w:color="auto" w:fill="FFFFFF"/>
        </w:rPr>
        <w:t>álie</w:t>
      </w:r>
    </w:p>
    <w:p w14:paraId="15A830BE" w14:textId="77777777" w:rsidR="00425C1E" w:rsidRDefault="00425C1E" w:rsidP="00425C1E">
      <w:pPr>
        <w:ind w:right="-318"/>
      </w:pPr>
    </w:p>
    <w:p w14:paraId="7062AF87" w14:textId="77777777" w:rsidR="00425C1E" w:rsidRPr="00661D95" w:rsidRDefault="00B926C0" w:rsidP="00425C1E">
      <w:pPr>
        <w:suppressAutoHyphens/>
        <w:adjustRightInd w:val="0"/>
        <w:textAlignment w:val="baseline"/>
        <w:rPr>
          <w:u w:val="single"/>
        </w:rPr>
      </w:pPr>
      <w:r w:rsidRPr="00B41D57">
        <w:rPr>
          <w:u w:val="single"/>
        </w:rPr>
        <w:t>Místní zástupci a kontaktní údaje pro hlášení podezření na nežádoucí účinky</w:t>
      </w:r>
      <w:r w:rsidR="00425C1E" w:rsidRPr="00661D95">
        <w:rPr>
          <w:u w:val="single"/>
        </w:rPr>
        <w:t>:</w:t>
      </w:r>
    </w:p>
    <w:p w14:paraId="4FC30071" w14:textId="77777777" w:rsidR="000156AB" w:rsidRPr="000156AB" w:rsidRDefault="000156AB" w:rsidP="000156AB">
      <w:pPr>
        <w:suppressAutoHyphens/>
        <w:rPr>
          <w:iCs/>
          <w:lang w:eastAsia="de-DE"/>
        </w:rPr>
      </w:pPr>
      <w:proofErr w:type="spellStart"/>
      <w:r w:rsidRPr="000156AB">
        <w:rPr>
          <w:iCs/>
          <w:lang w:eastAsia="de-DE"/>
        </w:rPr>
        <w:t>Boehringer</w:t>
      </w:r>
      <w:proofErr w:type="spellEnd"/>
      <w:r w:rsidRPr="000156AB">
        <w:rPr>
          <w:iCs/>
          <w:lang w:eastAsia="de-DE"/>
        </w:rPr>
        <w:t xml:space="preserve"> </w:t>
      </w:r>
      <w:proofErr w:type="spellStart"/>
      <w:r w:rsidRPr="000156AB">
        <w:rPr>
          <w:iCs/>
          <w:lang w:eastAsia="de-DE"/>
        </w:rPr>
        <w:t>Ingelheim</w:t>
      </w:r>
      <w:proofErr w:type="spellEnd"/>
      <w:r w:rsidRPr="000156AB">
        <w:rPr>
          <w:iCs/>
          <w:lang w:eastAsia="de-DE"/>
        </w:rPr>
        <w:t xml:space="preserve"> spol. s r.o. </w:t>
      </w:r>
    </w:p>
    <w:p w14:paraId="0023402D" w14:textId="215DEA53" w:rsidR="00F71295" w:rsidRPr="007D0829" w:rsidRDefault="000156AB" w:rsidP="000156AB">
      <w:pPr>
        <w:suppressAutoHyphens/>
        <w:rPr>
          <w:iCs/>
          <w:highlight w:val="lightGray"/>
          <w:lang w:eastAsia="de-DE"/>
        </w:rPr>
      </w:pPr>
      <w:r w:rsidRPr="000156AB">
        <w:rPr>
          <w:iCs/>
          <w:lang w:eastAsia="de-DE"/>
        </w:rPr>
        <w:t>Tel: +420 234 655</w:t>
      </w:r>
      <w:r w:rsidR="00F71295">
        <w:rPr>
          <w:iCs/>
          <w:lang w:eastAsia="de-DE"/>
        </w:rPr>
        <w:t> </w:t>
      </w:r>
      <w:r w:rsidRPr="000156AB">
        <w:rPr>
          <w:iCs/>
          <w:lang w:eastAsia="de-DE"/>
        </w:rPr>
        <w:t>111</w:t>
      </w:r>
    </w:p>
    <w:p w14:paraId="0E28FD9B" w14:textId="77777777" w:rsidR="00425C1E" w:rsidRPr="00FD7BDD" w:rsidRDefault="00425C1E" w:rsidP="00FD7BDD">
      <w:pPr>
        <w:tabs>
          <w:tab w:val="left" w:pos="0"/>
          <w:tab w:val="left" w:pos="567"/>
        </w:tabs>
        <w:ind w:left="0" w:firstLine="0"/>
      </w:pPr>
    </w:p>
    <w:p w14:paraId="716342EC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080B39BF" w14:textId="0D93E2D7" w:rsidR="00FD7BDD" w:rsidRPr="00FD7BDD" w:rsidRDefault="00FD7BDD" w:rsidP="00FD7BDD">
      <w:pPr>
        <w:tabs>
          <w:tab w:val="left" w:pos="567"/>
        </w:tabs>
      </w:pPr>
      <w:r w:rsidRPr="00C16C76">
        <w:rPr>
          <w:b/>
          <w:highlight w:val="lightGray"/>
        </w:rPr>
        <w:t>1</w:t>
      </w:r>
      <w:r w:rsidR="00880671" w:rsidRPr="00C16C76">
        <w:rPr>
          <w:b/>
          <w:highlight w:val="lightGray"/>
        </w:rPr>
        <w:t>7</w:t>
      </w:r>
      <w:r w:rsidRPr="00C16C76">
        <w:rPr>
          <w:b/>
          <w:highlight w:val="lightGray"/>
        </w:rPr>
        <w:t>.</w:t>
      </w:r>
      <w:r w:rsidRPr="00FD7BDD">
        <w:rPr>
          <w:b/>
        </w:rPr>
        <w:tab/>
      </w:r>
      <w:r w:rsidR="00425C1E">
        <w:rPr>
          <w:b/>
        </w:rPr>
        <w:t>Další informace</w:t>
      </w:r>
    </w:p>
    <w:p w14:paraId="31B2F7FB" w14:textId="77777777" w:rsidR="00FD7BDD" w:rsidRPr="00FD7BDD" w:rsidRDefault="00A17B4F" w:rsidP="00FD7BDD">
      <w:pPr>
        <w:tabs>
          <w:tab w:val="left" w:pos="720"/>
        </w:tabs>
        <w:ind w:left="0" w:firstLine="0"/>
      </w:pPr>
      <w:r>
        <w:t xml:space="preserve"> </w:t>
      </w:r>
    </w:p>
    <w:p w14:paraId="7E6E0ECC" w14:textId="77777777" w:rsidR="00FD7BDD" w:rsidRPr="00FD7BDD" w:rsidRDefault="00FD7BDD" w:rsidP="00FD7BDD">
      <w:pPr>
        <w:tabs>
          <w:tab w:val="left" w:pos="720"/>
        </w:tabs>
        <w:ind w:left="0" w:firstLine="0"/>
      </w:pPr>
    </w:p>
    <w:p w14:paraId="65A0361B" w14:textId="77777777" w:rsidR="00FD7BDD" w:rsidRPr="00FD7BDD" w:rsidRDefault="00FD7BDD" w:rsidP="00FD7BDD">
      <w:pPr>
        <w:tabs>
          <w:tab w:val="left" w:pos="567"/>
        </w:tabs>
        <w:spacing w:line="260" w:lineRule="exact"/>
        <w:ind w:left="0" w:firstLine="0"/>
        <w:rPr>
          <w:b/>
        </w:rPr>
      </w:pPr>
    </w:p>
    <w:p w14:paraId="4E488A04" w14:textId="77777777" w:rsidR="00FD7BDD" w:rsidRPr="00FD7BDD" w:rsidRDefault="00FD7BDD" w:rsidP="00FD7BDD">
      <w:pPr>
        <w:tabs>
          <w:tab w:val="left" w:pos="567"/>
        </w:tabs>
        <w:spacing w:line="260" w:lineRule="exact"/>
        <w:ind w:left="0" w:firstLine="0"/>
        <w:rPr>
          <w:b/>
        </w:rPr>
      </w:pPr>
    </w:p>
    <w:p w14:paraId="4FE39DFC" w14:textId="77777777" w:rsidR="00C9350B" w:rsidRPr="00E3610C" w:rsidRDefault="00C9350B" w:rsidP="00C9350B">
      <w:pPr>
        <w:ind w:left="0" w:firstLine="0"/>
        <w:jc w:val="center"/>
      </w:pPr>
    </w:p>
    <w:p w14:paraId="6A30A0EA" w14:textId="77777777" w:rsidR="00C9350B" w:rsidRPr="00E3610C" w:rsidRDefault="00C9350B" w:rsidP="00C9350B">
      <w:pPr>
        <w:ind w:left="0" w:firstLine="0"/>
        <w:jc w:val="center"/>
      </w:pPr>
    </w:p>
    <w:p w14:paraId="669A1F13" w14:textId="77777777" w:rsidR="00C9350B" w:rsidRPr="00660D2F" w:rsidRDefault="00C9350B" w:rsidP="00C9350B">
      <w:pPr>
        <w:ind w:left="0" w:firstLine="0"/>
      </w:pPr>
    </w:p>
    <w:p w14:paraId="41A71596" w14:textId="77777777" w:rsidR="006F14CD" w:rsidRPr="00C9350B" w:rsidRDefault="006F14CD" w:rsidP="00C9350B"/>
    <w:sectPr w:rsidR="006F14CD" w:rsidRPr="00C9350B" w:rsidSect="002C36D3">
      <w:footerReference w:type="default" r:id="rId14"/>
      <w:headerReference w:type="first" r:id="rId15"/>
      <w:footerReference w:type="first" r:id="rId16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B4A4B" w14:textId="77777777" w:rsidR="00EE4CF8" w:rsidRDefault="00EE4CF8">
      <w:r>
        <w:separator/>
      </w:r>
    </w:p>
  </w:endnote>
  <w:endnote w:type="continuationSeparator" w:id="0">
    <w:p w14:paraId="484D6D32" w14:textId="77777777" w:rsidR="00EE4CF8" w:rsidRDefault="00EE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2342" w14:textId="77777777" w:rsidR="006F14CD" w:rsidRDefault="006F14C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5F475A3" w14:textId="77777777" w:rsidR="006F14CD" w:rsidRDefault="00297D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82EA2">
      <w:instrText xml:space="preserve"> PAGE  \* MERGEFORMAT </w:instrText>
    </w:r>
    <w:r>
      <w:fldChar w:fldCharType="separate"/>
    </w:r>
    <w:r w:rsidR="00FD7BDD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1EC5" w14:textId="77777777" w:rsidR="006F14CD" w:rsidRDefault="006F14CD">
    <w:pPr>
      <w:pStyle w:val="Zpat"/>
      <w:tabs>
        <w:tab w:val="clear" w:pos="8930"/>
        <w:tab w:val="right" w:pos="8931"/>
      </w:tabs>
    </w:pPr>
  </w:p>
  <w:p w14:paraId="07C13DEB" w14:textId="77777777" w:rsidR="006F14CD" w:rsidRDefault="00297D4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82EA2">
      <w:instrText xml:space="preserve"> PAGE  \* MERGEFORMAT </w:instrText>
    </w:r>
    <w:r>
      <w:fldChar w:fldCharType="separate"/>
    </w:r>
    <w:r w:rsidR="00FD7B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A5141" w14:textId="77777777" w:rsidR="00EE4CF8" w:rsidRDefault="00EE4CF8">
      <w:r>
        <w:separator/>
      </w:r>
    </w:p>
  </w:footnote>
  <w:footnote w:type="continuationSeparator" w:id="0">
    <w:p w14:paraId="12DC02DD" w14:textId="77777777" w:rsidR="00EE4CF8" w:rsidRDefault="00EE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35F1" w14:textId="77777777" w:rsidR="00FD365B" w:rsidRDefault="00FD365B" w:rsidP="001801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41167B"/>
    <w:multiLevelType w:val="hybridMultilevel"/>
    <w:tmpl w:val="2A6CF55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C3C1E"/>
    <w:multiLevelType w:val="hybridMultilevel"/>
    <w:tmpl w:val="BCC6941C"/>
    <w:lvl w:ilvl="0" w:tplc="D132F8B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18CF56A" w:tentative="1">
      <w:start w:val="1"/>
      <w:numFmt w:val="lowerLetter"/>
      <w:lvlText w:val="%2."/>
      <w:lvlJc w:val="left"/>
      <w:pPr>
        <w:ind w:left="1440" w:hanging="360"/>
      </w:pPr>
    </w:lvl>
    <w:lvl w:ilvl="2" w:tplc="70387B66" w:tentative="1">
      <w:start w:val="1"/>
      <w:numFmt w:val="lowerRoman"/>
      <w:lvlText w:val="%3."/>
      <w:lvlJc w:val="right"/>
      <w:pPr>
        <w:ind w:left="2160" w:hanging="180"/>
      </w:pPr>
    </w:lvl>
    <w:lvl w:ilvl="3" w:tplc="7B1087FC" w:tentative="1">
      <w:start w:val="1"/>
      <w:numFmt w:val="decimal"/>
      <w:lvlText w:val="%4."/>
      <w:lvlJc w:val="left"/>
      <w:pPr>
        <w:ind w:left="2880" w:hanging="360"/>
      </w:pPr>
    </w:lvl>
    <w:lvl w:ilvl="4" w:tplc="5E1AA110" w:tentative="1">
      <w:start w:val="1"/>
      <w:numFmt w:val="lowerLetter"/>
      <w:lvlText w:val="%5."/>
      <w:lvlJc w:val="left"/>
      <w:pPr>
        <w:ind w:left="3600" w:hanging="360"/>
      </w:pPr>
    </w:lvl>
    <w:lvl w:ilvl="5" w:tplc="746A8C10" w:tentative="1">
      <w:start w:val="1"/>
      <w:numFmt w:val="lowerRoman"/>
      <w:lvlText w:val="%6."/>
      <w:lvlJc w:val="right"/>
      <w:pPr>
        <w:ind w:left="4320" w:hanging="180"/>
      </w:pPr>
    </w:lvl>
    <w:lvl w:ilvl="6" w:tplc="CBC868CA" w:tentative="1">
      <w:start w:val="1"/>
      <w:numFmt w:val="decimal"/>
      <w:lvlText w:val="%7."/>
      <w:lvlJc w:val="left"/>
      <w:pPr>
        <w:ind w:left="5040" w:hanging="360"/>
      </w:pPr>
    </w:lvl>
    <w:lvl w:ilvl="7" w:tplc="9C828E1C" w:tentative="1">
      <w:start w:val="1"/>
      <w:numFmt w:val="lowerLetter"/>
      <w:lvlText w:val="%8."/>
      <w:lvlJc w:val="left"/>
      <w:pPr>
        <w:ind w:left="5760" w:hanging="360"/>
      </w:pPr>
    </w:lvl>
    <w:lvl w:ilvl="8" w:tplc="6B808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91C6D08"/>
    <w:multiLevelType w:val="hybridMultilevel"/>
    <w:tmpl w:val="1A4C2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1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5"/>
  </w:num>
  <w:num w:numId="37">
    <w:abstractNumId w:val="4"/>
  </w:num>
  <w:num w:numId="38">
    <w:abstractNumId w:val="38"/>
  </w:num>
  <w:num w:numId="39">
    <w:abstractNumId w:val="39"/>
  </w:num>
  <w:num w:numId="40">
    <w:abstractNumId w:val="39"/>
  </w:num>
  <w:num w:numId="41">
    <w:abstractNumId w:val="1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6F14CD"/>
    <w:rsid w:val="00005829"/>
    <w:rsid w:val="000104D5"/>
    <w:rsid w:val="00013822"/>
    <w:rsid w:val="000156AB"/>
    <w:rsid w:val="00032BE5"/>
    <w:rsid w:val="00034CAA"/>
    <w:rsid w:val="00044C7E"/>
    <w:rsid w:val="0005070D"/>
    <w:rsid w:val="000565B2"/>
    <w:rsid w:val="00057021"/>
    <w:rsid w:val="00085C9D"/>
    <w:rsid w:val="00093179"/>
    <w:rsid w:val="00093D87"/>
    <w:rsid w:val="000A6445"/>
    <w:rsid w:val="000B2D66"/>
    <w:rsid w:val="000B446A"/>
    <w:rsid w:val="000C1EEA"/>
    <w:rsid w:val="000C25B1"/>
    <w:rsid w:val="000C2B33"/>
    <w:rsid w:val="000D547C"/>
    <w:rsid w:val="000D5A0D"/>
    <w:rsid w:val="000E5710"/>
    <w:rsid w:val="000E748F"/>
    <w:rsid w:val="00101532"/>
    <w:rsid w:val="00117681"/>
    <w:rsid w:val="00117D86"/>
    <w:rsid w:val="00122204"/>
    <w:rsid w:val="0013601A"/>
    <w:rsid w:val="00142A81"/>
    <w:rsid w:val="00146EFA"/>
    <w:rsid w:val="00152C11"/>
    <w:rsid w:val="00166614"/>
    <w:rsid w:val="0016720C"/>
    <w:rsid w:val="001707B6"/>
    <w:rsid w:val="00180128"/>
    <w:rsid w:val="001900D0"/>
    <w:rsid w:val="001C4D70"/>
    <w:rsid w:val="001D4336"/>
    <w:rsid w:val="001D5DF2"/>
    <w:rsid w:val="00214679"/>
    <w:rsid w:val="00216F92"/>
    <w:rsid w:val="00235AF8"/>
    <w:rsid w:val="00246684"/>
    <w:rsid w:val="002513CA"/>
    <w:rsid w:val="00260B62"/>
    <w:rsid w:val="00267390"/>
    <w:rsid w:val="00267E95"/>
    <w:rsid w:val="00270DC0"/>
    <w:rsid w:val="00276010"/>
    <w:rsid w:val="0028018E"/>
    <w:rsid w:val="00282EA2"/>
    <w:rsid w:val="002915EF"/>
    <w:rsid w:val="00297D49"/>
    <w:rsid w:val="002A1003"/>
    <w:rsid w:val="002A50C9"/>
    <w:rsid w:val="002C36D3"/>
    <w:rsid w:val="002C5529"/>
    <w:rsid w:val="002E2B4C"/>
    <w:rsid w:val="002F0ACE"/>
    <w:rsid w:val="002F7E55"/>
    <w:rsid w:val="00306ECC"/>
    <w:rsid w:val="0031146C"/>
    <w:rsid w:val="003133E2"/>
    <w:rsid w:val="0032596C"/>
    <w:rsid w:val="00363AA5"/>
    <w:rsid w:val="00375C3D"/>
    <w:rsid w:val="00395E42"/>
    <w:rsid w:val="003A0AAA"/>
    <w:rsid w:val="003A66F6"/>
    <w:rsid w:val="003E4787"/>
    <w:rsid w:val="0040519D"/>
    <w:rsid w:val="0042533E"/>
    <w:rsid w:val="00425A6A"/>
    <w:rsid w:val="00425C1E"/>
    <w:rsid w:val="0042618C"/>
    <w:rsid w:val="00433870"/>
    <w:rsid w:val="00437FE4"/>
    <w:rsid w:val="004478DE"/>
    <w:rsid w:val="00457873"/>
    <w:rsid w:val="00465BB4"/>
    <w:rsid w:val="00465C08"/>
    <w:rsid w:val="00466700"/>
    <w:rsid w:val="00467298"/>
    <w:rsid w:val="00474E52"/>
    <w:rsid w:val="00493AC3"/>
    <w:rsid w:val="004B1A42"/>
    <w:rsid w:val="004B5C3A"/>
    <w:rsid w:val="004C76DB"/>
    <w:rsid w:val="004C7B01"/>
    <w:rsid w:val="004E09BE"/>
    <w:rsid w:val="004E30AB"/>
    <w:rsid w:val="004F1231"/>
    <w:rsid w:val="004F134C"/>
    <w:rsid w:val="004F13BC"/>
    <w:rsid w:val="004F7A44"/>
    <w:rsid w:val="00501289"/>
    <w:rsid w:val="00511682"/>
    <w:rsid w:val="005357CA"/>
    <w:rsid w:val="005556F3"/>
    <w:rsid w:val="00573AEB"/>
    <w:rsid w:val="00595826"/>
    <w:rsid w:val="005962B8"/>
    <w:rsid w:val="005A07F0"/>
    <w:rsid w:val="005B5858"/>
    <w:rsid w:val="005D13FD"/>
    <w:rsid w:val="0060028E"/>
    <w:rsid w:val="00603F22"/>
    <w:rsid w:val="00610BA9"/>
    <w:rsid w:val="00624D3B"/>
    <w:rsid w:val="00627ACF"/>
    <w:rsid w:val="00631C14"/>
    <w:rsid w:val="00647E15"/>
    <w:rsid w:val="00650C52"/>
    <w:rsid w:val="00653446"/>
    <w:rsid w:val="00655218"/>
    <w:rsid w:val="00660D2F"/>
    <w:rsid w:val="00663BE0"/>
    <w:rsid w:val="006703D8"/>
    <w:rsid w:val="00677224"/>
    <w:rsid w:val="0068610D"/>
    <w:rsid w:val="006A02FB"/>
    <w:rsid w:val="006A0356"/>
    <w:rsid w:val="006A2E9E"/>
    <w:rsid w:val="006A75CE"/>
    <w:rsid w:val="006B3784"/>
    <w:rsid w:val="006D0662"/>
    <w:rsid w:val="006D166A"/>
    <w:rsid w:val="006D2D11"/>
    <w:rsid w:val="006E3CF5"/>
    <w:rsid w:val="006E58CA"/>
    <w:rsid w:val="006F14CD"/>
    <w:rsid w:val="006F176C"/>
    <w:rsid w:val="0071727F"/>
    <w:rsid w:val="00746BD3"/>
    <w:rsid w:val="0074767F"/>
    <w:rsid w:val="00747C24"/>
    <w:rsid w:val="007647C3"/>
    <w:rsid w:val="00770D6F"/>
    <w:rsid w:val="00773598"/>
    <w:rsid w:val="00790AD0"/>
    <w:rsid w:val="007A04AE"/>
    <w:rsid w:val="007B4192"/>
    <w:rsid w:val="007D0829"/>
    <w:rsid w:val="007D771F"/>
    <w:rsid w:val="008234FE"/>
    <w:rsid w:val="00832B26"/>
    <w:rsid w:val="008408D8"/>
    <w:rsid w:val="0084736B"/>
    <w:rsid w:val="00855A07"/>
    <w:rsid w:val="00856D9C"/>
    <w:rsid w:val="00864060"/>
    <w:rsid w:val="00877060"/>
    <w:rsid w:val="00880671"/>
    <w:rsid w:val="00882057"/>
    <w:rsid w:val="00887AE9"/>
    <w:rsid w:val="0089392B"/>
    <w:rsid w:val="008A1436"/>
    <w:rsid w:val="008A5579"/>
    <w:rsid w:val="008B40AE"/>
    <w:rsid w:val="008B578F"/>
    <w:rsid w:val="008B770E"/>
    <w:rsid w:val="008C0910"/>
    <w:rsid w:val="008D56E7"/>
    <w:rsid w:val="008E5F3C"/>
    <w:rsid w:val="008F0827"/>
    <w:rsid w:val="008F7F0B"/>
    <w:rsid w:val="00906C5A"/>
    <w:rsid w:val="0092542E"/>
    <w:rsid w:val="009437BA"/>
    <w:rsid w:val="00945A4C"/>
    <w:rsid w:val="009502CD"/>
    <w:rsid w:val="0096476C"/>
    <w:rsid w:val="00965E42"/>
    <w:rsid w:val="00967DAF"/>
    <w:rsid w:val="0097019D"/>
    <w:rsid w:val="009A2674"/>
    <w:rsid w:val="009A7DD6"/>
    <w:rsid w:val="009D002B"/>
    <w:rsid w:val="009D7694"/>
    <w:rsid w:val="009E4C80"/>
    <w:rsid w:val="009F1141"/>
    <w:rsid w:val="00A06FB4"/>
    <w:rsid w:val="00A139E7"/>
    <w:rsid w:val="00A1695B"/>
    <w:rsid w:val="00A17B4F"/>
    <w:rsid w:val="00A23077"/>
    <w:rsid w:val="00A568E2"/>
    <w:rsid w:val="00A60AD2"/>
    <w:rsid w:val="00A63470"/>
    <w:rsid w:val="00AA7F71"/>
    <w:rsid w:val="00AD13C4"/>
    <w:rsid w:val="00AE55A3"/>
    <w:rsid w:val="00AF1E8A"/>
    <w:rsid w:val="00B27784"/>
    <w:rsid w:val="00B3461F"/>
    <w:rsid w:val="00B50B1A"/>
    <w:rsid w:val="00B52D26"/>
    <w:rsid w:val="00B60700"/>
    <w:rsid w:val="00B620B4"/>
    <w:rsid w:val="00B620DC"/>
    <w:rsid w:val="00B75F32"/>
    <w:rsid w:val="00B926C0"/>
    <w:rsid w:val="00BC2002"/>
    <w:rsid w:val="00BC5BFD"/>
    <w:rsid w:val="00BE35DE"/>
    <w:rsid w:val="00BF088F"/>
    <w:rsid w:val="00C05247"/>
    <w:rsid w:val="00C16C76"/>
    <w:rsid w:val="00C20038"/>
    <w:rsid w:val="00C22463"/>
    <w:rsid w:val="00C22C91"/>
    <w:rsid w:val="00C305E7"/>
    <w:rsid w:val="00C47E60"/>
    <w:rsid w:val="00C55A4E"/>
    <w:rsid w:val="00C63FF8"/>
    <w:rsid w:val="00C66CB8"/>
    <w:rsid w:val="00C731EF"/>
    <w:rsid w:val="00C77487"/>
    <w:rsid w:val="00C831CE"/>
    <w:rsid w:val="00C84DBF"/>
    <w:rsid w:val="00C9167B"/>
    <w:rsid w:val="00C92ABE"/>
    <w:rsid w:val="00C9350B"/>
    <w:rsid w:val="00C93B13"/>
    <w:rsid w:val="00CA74BF"/>
    <w:rsid w:val="00CA761A"/>
    <w:rsid w:val="00CA7F11"/>
    <w:rsid w:val="00CB1EC7"/>
    <w:rsid w:val="00CB7405"/>
    <w:rsid w:val="00CE2F33"/>
    <w:rsid w:val="00CE532C"/>
    <w:rsid w:val="00CE657F"/>
    <w:rsid w:val="00D07C6D"/>
    <w:rsid w:val="00D114D0"/>
    <w:rsid w:val="00D2244D"/>
    <w:rsid w:val="00D36F2F"/>
    <w:rsid w:val="00D51DC0"/>
    <w:rsid w:val="00D57F2F"/>
    <w:rsid w:val="00D762F1"/>
    <w:rsid w:val="00D92405"/>
    <w:rsid w:val="00DA4E37"/>
    <w:rsid w:val="00DA4F20"/>
    <w:rsid w:val="00DA7922"/>
    <w:rsid w:val="00DB4CFC"/>
    <w:rsid w:val="00DB74E7"/>
    <w:rsid w:val="00DC5976"/>
    <w:rsid w:val="00DD0B9F"/>
    <w:rsid w:val="00DD35CC"/>
    <w:rsid w:val="00DE57BC"/>
    <w:rsid w:val="00DE7E7D"/>
    <w:rsid w:val="00DF0A71"/>
    <w:rsid w:val="00E02147"/>
    <w:rsid w:val="00E20A9A"/>
    <w:rsid w:val="00E43AF2"/>
    <w:rsid w:val="00E531B6"/>
    <w:rsid w:val="00E6755A"/>
    <w:rsid w:val="00E87038"/>
    <w:rsid w:val="00EB02CE"/>
    <w:rsid w:val="00EB5209"/>
    <w:rsid w:val="00EB6FB6"/>
    <w:rsid w:val="00EC41CC"/>
    <w:rsid w:val="00EC6E5E"/>
    <w:rsid w:val="00ED28CE"/>
    <w:rsid w:val="00EE1E7F"/>
    <w:rsid w:val="00EE4CF8"/>
    <w:rsid w:val="00EE59D5"/>
    <w:rsid w:val="00EE6DF4"/>
    <w:rsid w:val="00EF159A"/>
    <w:rsid w:val="00EF73D9"/>
    <w:rsid w:val="00F05012"/>
    <w:rsid w:val="00F1539A"/>
    <w:rsid w:val="00F20092"/>
    <w:rsid w:val="00F21D22"/>
    <w:rsid w:val="00F32B14"/>
    <w:rsid w:val="00F33548"/>
    <w:rsid w:val="00F37F23"/>
    <w:rsid w:val="00F40740"/>
    <w:rsid w:val="00F6715C"/>
    <w:rsid w:val="00F672AE"/>
    <w:rsid w:val="00F71295"/>
    <w:rsid w:val="00F81864"/>
    <w:rsid w:val="00F94AA7"/>
    <w:rsid w:val="00F96BB1"/>
    <w:rsid w:val="00FB604B"/>
    <w:rsid w:val="00FB743E"/>
    <w:rsid w:val="00FC243F"/>
    <w:rsid w:val="00FC7FBA"/>
    <w:rsid w:val="00FD365B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6A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3B13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A221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A221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A221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A221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A221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A221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A221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A221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A221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221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FA221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A2217"/>
    <w:pPr>
      <w:ind w:left="1760"/>
    </w:pPr>
  </w:style>
  <w:style w:type="character" w:styleId="Odkaznavysvtlivky">
    <w:name w:val="endnote reference"/>
    <w:rsid w:val="00FA2217"/>
    <w:rPr>
      <w:vertAlign w:val="superscript"/>
    </w:rPr>
  </w:style>
  <w:style w:type="character" w:styleId="Znakapoznpodarou">
    <w:name w:val="footnote reference"/>
    <w:rsid w:val="00FA2217"/>
    <w:rPr>
      <w:vertAlign w:val="superscript"/>
    </w:rPr>
  </w:style>
  <w:style w:type="paragraph" w:styleId="Textpoznpodarou">
    <w:name w:val="footnote text"/>
    <w:basedOn w:val="Normln"/>
    <w:rsid w:val="00FA2217"/>
    <w:pPr>
      <w:jc w:val="both"/>
    </w:pPr>
    <w:rPr>
      <w:sz w:val="20"/>
    </w:rPr>
  </w:style>
  <w:style w:type="paragraph" w:styleId="Zkladntext">
    <w:name w:val="Body Text"/>
    <w:basedOn w:val="Normln"/>
    <w:rsid w:val="00FA2217"/>
    <w:pPr>
      <w:jc w:val="both"/>
    </w:pPr>
  </w:style>
  <w:style w:type="paragraph" w:styleId="Textvbloku">
    <w:name w:val="Block Text"/>
    <w:basedOn w:val="Normln"/>
    <w:rsid w:val="00FA2217"/>
    <w:pPr>
      <w:ind w:left="2268" w:right="1711"/>
    </w:pPr>
    <w:rPr>
      <w:b/>
    </w:rPr>
  </w:style>
  <w:style w:type="paragraph" w:styleId="Zkladntext2">
    <w:name w:val="Body Text 2"/>
    <w:basedOn w:val="Normln"/>
    <w:rsid w:val="00FA2217"/>
    <w:rPr>
      <w:b/>
    </w:rPr>
  </w:style>
  <w:style w:type="paragraph" w:styleId="Zkladntext3">
    <w:name w:val="Body Text 3"/>
    <w:basedOn w:val="Normln"/>
    <w:rsid w:val="00FA2217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rsid w:val="00FA2217"/>
  </w:style>
  <w:style w:type="character" w:styleId="Odkaznakoment">
    <w:name w:val="annotation reference"/>
    <w:rsid w:val="00FA2217"/>
    <w:rPr>
      <w:sz w:val="16"/>
    </w:rPr>
  </w:style>
  <w:style w:type="paragraph" w:styleId="Zkladntextodsazen2">
    <w:name w:val="Body Text Indent 2"/>
    <w:basedOn w:val="Normln"/>
    <w:rsid w:val="00FA2217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FA2217"/>
    <w:rPr>
      <w:sz w:val="20"/>
    </w:rPr>
  </w:style>
  <w:style w:type="paragraph" w:styleId="Zkladntextodsazen3">
    <w:name w:val="Body Text Indent 3"/>
    <w:basedOn w:val="Normln"/>
    <w:rsid w:val="00FA2217"/>
  </w:style>
  <w:style w:type="paragraph" w:customStyle="1" w:styleId="Bullet">
    <w:name w:val="Bullet"/>
    <w:basedOn w:val="Normln"/>
    <w:rsid w:val="00FA2217"/>
    <w:pPr>
      <w:numPr>
        <w:numId w:val="2"/>
      </w:numPr>
    </w:pPr>
  </w:style>
  <w:style w:type="paragraph" w:styleId="Textbubliny">
    <w:name w:val="Balloon Text"/>
    <w:basedOn w:val="Normln"/>
    <w:rsid w:val="00FA2217"/>
    <w:rPr>
      <w:rFonts w:ascii="Tahoma" w:hAnsi="Tahoma" w:cs="Tahoma"/>
      <w:sz w:val="16"/>
      <w:szCs w:val="16"/>
    </w:rPr>
  </w:style>
  <w:style w:type="character" w:styleId="Hypertextovodkaz">
    <w:name w:val="Hyperlink"/>
    <w:rsid w:val="00FA2217"/>
    <w:rPr>
      <w:color w:val="0000FF"/>
      <w:u w:val="single"/>
    </w:rPr>
  </w:style>
  <w:style w:type="paragraph" w:customStyle="1" w:styleId="AHeader1">
    <w:name w:val="AHeader 1"/>
    <w:basedOn w:val="Normln"/>
    <w:rsid w:val="00FA221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A221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A221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A221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A221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A2217"/>
    <w:rPr>
      <w:color w:val="800080"/>
      <w:u w:val="single"/>
    </w:rPr>
  </w:style>
  <w:style w:type="paragraph" w:styleId="Zkladntextodsazen">
    <w:name w:val="Body Text Indent"/>
    <w:basedOn w:val="Normln"/>
    <w:rsid w:val="00AC25EB"/>
    <w:pPr>
      <w:spacing w:after="120"/>
      <w:ind w:left="283"/>
    </w:pPr>
  </w:style>
  <w:style w:type="character" w:customStyle="1" w:styleId="TextvysvtlivekChar">
    <w:name w:val="Text vysvětlivek Char"/>
    <w:link w:val="Textvysvtlivek"/>
    <w:rsid w:val="00FD7BDD"/>
    <w:rPr>
      <w:sz w:val="22"/>
      <w:lang w:val="cs-CZ" w:eastAsia="en-US"/>
    </w:rPr>
  </w:style>
  <w:style w:type="paragraph" w:styleId="Revize">
    <w:name w:val="Revision"/>
    <w:hidden/>
    <w:rsid w:val="006B3784"/>
    <w:rPr>
      <w:sz w:val="22"/>
      <w:lang w:eastAsia="en-US"/>
    </w:rPr>
  </w:style>
  <w:style w:type="paragraph" w:customStyle="1" w:styleId="Style1">
    <w:name w:val="Style1"/>
    <w:basedOn w:val="Normln"/>
    <w:qFormat/>
    <w:rsid w:val="00474E52"/>
    <w:pPr>
      <w:tabs>
        <w:tab w:val="left" w:pos="0"/>
      </w:tabs>
    </w:pPr>
    <w:rPr>
      <w:b/>
      <w:szCs w:val="22"/>
    </w:rPr>
  </w:style>
  <w:style w:type="paragraph" w:customStyle="1" w:styleId="Style3">
    <w:name w:val="Style3"/>
    <w:basedOn w:val="Normln"/>
    <w:qFormat/>
    <w:rsid w:val="00474E52"/>
    <w:pPr>
      <w:numPr>
        <w:numId w:val="42"/>
      </w:numPr>
      <w:jc w:val="center"/>
    </w:pPr>
    <w:rPr>
      <w:b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8E5F3C"/>
    <w:rPr>
      <w:b/>
      <w:bCs/>
    </w:rPr>
  </w:style>
  <w:style w:type="character" w:customStyle="1" w:styleId="TextkomenteChar">
    <w:name w:val="Text komentáře Char"/>
    <w:link w:val="Textkomente"/>
    <w:rsid w:val="008E5F3C"/>
    <w:rPr>
      <w:lang w:val="cs-CZ" w:eastAsia="en-US"/>
    </w:rPr>
  </w:style>
  <w:style w:type="character" w:customStyle="1" w:styleId="PedmtkomenteChar">
    <w:name w:val="Předmět komentáře Char"/>
    <w:link w:val="Pedmtkomente"/>
    <w:rsid w:val="008E5F3C"/>
    <w:rPr>
      <w:b/>
      <w:bCs/>
      <w:lang w:val="cs-CZ" w:eastAsia="en-US"/>
    </w:rPr>
  </w:style>
  <w:style w:type="character" w:styleId="Nevyeenzmnka">
    <w:name w:val="Unresolved Mention"/>
    <w:uiPriority w:val="99"/>
    <w:semiHidden/>
    <w:unhideWhenUsed/>
    <w:rsid w:val="0077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AA7B8BB6-2D9C-482E-9850-38A9C81F5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84C16-5174-4200-9D9E-39D8C91FA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98F9B-74F2-4347-B848-0134FAE25493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2024-11-07T09:19:00Z</dcterms:created>
  <dcterms:modified xsi:type="dcterms:W3CDTF">2025-01-07T12:51:00Z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0x010100D0E6C19FE0F7F848AF3EF01C796F4799</vt:lpwstr>
  </property>
</Properties>
</file>