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395C1" w14:textId="1491B31B" w:rsidR="009D0CDE" w:rsidRPr="008D23C1" w:rsidRDefault="009D0CDE" w:rsidP="000E2C80">
      <w:pPr>
        <w:spacing w:line="240" w:lineRule="auto"/>
        <w:ind w:right="113"/>
        <w:jc w:val="center"/>
        <w:outlineLvl w:val="0"/>
        <w:rPr>
          <w:b/>
          <w:szCs w:val="22"/>
          <w:lang w:val="cs-CZ"/>
        </w:rPr>
      </w:pPr>
      <w:bookmarkStart w:id="0" w:name="_GoBack"/>
      <w:bookmarkEnd w:id="0"/>
      <w:r w:rsidRPr="008D23C1">
        <w:rPr>
          <w:b/>
          <w:szCs w:val="22"/>
          <w:lang w:val="cs-CZ"/>
        </w:rPr>
        <w:t>PŘÍBALOVÁ INFORMACE</w:t>
      </w:r>
    </w:p>
    <w:p w14:paraId="021508E6" w14:textId="77777777" w:rsidR="009D0CDE" w:rsidRPr="008D23C1" w:rsidRDefault="009D0CDE" w:rsidP="000E2C80">
      <w:pPr>
        <w:spacing w:line="240" w:lineRule="auto"/>
        <w:ind w:right="113"/>
        <w:jc w:val="both"/>
        <w:rPr>
          <w:szCs w:val="22"/>
          <w:lang w:val="cs-CZ"/>
        </w:rPr>
      </w:pPr>
    </w:p>
    <w:p w14:paraId="279A5B1A" w14:textId="77777777" w:rsidR="008D23C1" w:rsidRPr="008D23C1" w:rsidRDefault="008D23C1" w:rsidP="000E2C80">
      <w:pPr>
        <w:spacing w:line="240" w:lineRule="auto"/>
        <w:jc w:val="both"/>
        <w:rPr>
          <w:b/>
          <w:szCs w:val="22"/>
          <w:lang w:val="cs-CZ"/>
        </w:rPr>
      </w:pPr>
      <w:r w:rsidRPr="0053602B">
        <w:rPr>
          <w:b/>
          <w:szCs w:val="22"/>
          <w:highlight w:val="lightGray"/>
          <w:lang w:val="cs-CZ"/>
        </w:rPr>
        <w:t>1.</w:t>
      </w:r>
      <w:r w:rsidRPr="008D23C1">
        <w:rPr>
          <w:b/>
          <w:szCs w:val="22"/>
          <w:lang w:val="cs-CZ"/>
        </w:rPr>
        <w:tab/>
        <w:t>Název veterinárního léčivého přípravku</w:t>
      </w:r>
      <w:r w:rsidRPr="008D23C1" w:rsidDel="002F4E4F">
        <w:rPr>
          <w:b/>
          <w:szCs w:val="22"/>
          <w:lang w:val="cs-CZ"/>
        </w:rPr>
        <w:t xml:space="preserve"> </w:t>
      </w:r>
    </w:p>
    <w:p w14:paraId="7CB68EF0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02968740" w14:textId="77777777" w:rsidR="009D0CDE" w:rsidRPr="008D23C1" w:rsidRDefault="009D0CDE" w:rsidP="000E2C80">
      <w:pPr>
        <w:spacing w:line="240" w:lineRule="auto"/>
        <w:ind w:left="1135" w:right="-511" w:hanging="1135"/>
        <w:jc w:val="both"/>
        <w:rPr>
          <w:szCs w:val="22"/>
          <w:lang w:val="cs-CZ"/>
        </w:rPr>
      </w:pPr>
      <w:proofErr w:type="spellStart"/>
      <w:r w:rsidRPr="008D23C1">
        <w:rPr>
          <w:szCs w:val="22"/>
          <w:lang w:val="cs-CZ"/>
        </w:rPr>
        <w:t>Rycarfa</w:t>
      </w:r>
      <w:proofErr w:type="spellEnd"/>
      <w:r w:rsidRPr="008D23C1">
        <w:rPr>
          <w:szCs w:val="22"/>
          <w:lang w:val="cs-CZ"/>
        </w:rPr>
        <w:t xml:space="preserve"> 50 mg/ml injekční roztok pro psy a kočky</w:t>
      </w:r>
    </w:p>
    <w:p w14:paraId="1AD4EED3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6E056CA7" w14:textId="77777777" w:rsidR="008D23C1" w:rsidRPr="008D23C1" w:rsidRDefault="008D23C1" w:rsidP="000E2C80">
      <w:pPr>
        <w:spacing w:line="240" w:lineRule="auto"/>
        <w:jc w:val="both"/>
        <w:rPr>
          <w:b/>
          <w:szCs w:val="22"/>
          <w:lang w:val="cs-CZ"/>
        </w:rPr>
      </w:pPr>
      <w:r w:rsidRPr="0053602B">
        <w:rPr>
          <w:b/>
          <w:szCs w:val="22"/>
          <w:highlight w:val="lightGray"/>
          <w:lang w:val="cs-CZ"/>
        </w:rPr>
        <w:t>2.</w:t>
      </w:r>
      <w:r w:rsidRPr="008D23C1">
        <w:rPr>
          <w:b/>
          <w:szCs w:val="22"/>
          <w:lang w:val="cs-CZ"/>
        </w:rPr>
        <w:tab/>
        <w:t>Složení</w:t>
      </w:r>
    </w:p>
    <w:p w14:paraId="61262C3E" w14:textId="77777777" w:rsidR="008D23C1" w:rsidRPr="008D23C1" w:rsidRDefault="008D23C1" w:rsidP="000E2C80">
      <w:pPr>
        <w:spacing w:line="240" w:lineRule="auto"/>
        <w:jc w:val="both"/>
        <w:rPr>
          <w:szCs w:val="22"/>
          <w:lang w:val="cs-CZ" w:eastAsia="cs-CZ"/>
        </w:rPr>
      </w:pPr>
    </w:p>
    <w:p w14:paraId="34A0FB81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1 ml obsahuje:</w:t>
      </w:r>
    </w:p>
    <w:p w14:paraId="1EDD455A" w14:textId="77777777" w:rsidR="009D0CDE" w:rsidRPr="008D23C1" w:rsidRDefault="009D0CDE" w:rsidP="000E2C80">
      <w:pPr>
        <w:spacing w:line="240" w:lineRule="auto"/>
        <w:jc w:val="both"/>
        <w:rPr>
          <w:szCs w:val="22"/>
          <w:u w:val="single"/>
          <w:lang w:val="cs-CZ"/>
        </w:rPr>
      </w:pPr>
    </w:p>
    <w:p w14:paraId="29BA5E18" w14:textId="77777777" w:rsidR="009D0CDE" w:rsidRPr="000E2C80" w:rsidRDefault="009D0CDE" w:rsidP="000E2C80">
      <w:pPr>
        <w:spacing w:line="240" w:lineRule="auto"/>
        <w:jc w:val="both"/>
        <w:outlineLvl w:val="0"/>
        <w:rPr>
          <w:bCs/>
          <w:szCs w:val="22"/>
          <w:lang w:val="cs-CZ"/>
        </w:rPr>
      </w:pPr>
      <w:r w:rsidRPr="000E2C80">
        <w:rPr>
          <w:bCs/>
          <w:szCs w:val="22"/>
          <w:lang w:val="cs-CZ"/>
        </w:rPr>
        <w:t>Léčivá látka:</w:t>
      </w:r>
    </w:p>
    <w:p w14:paraId="5D2EDE37" w14:textId="1552DC24" w:rsidR="009D0CDE" w:rsidRPr="008D23C1" w:rsidRDefault="009D0CDE" w:rsidP="000E2C80">
      <w:pPr>
        <w:tabs>
          <w:tab w:val="left" w:pos="1701"/>
        </w:tabs>
        <w:spacing w:line="240" w:lineRule="auto"/>
        <w:jc w:val="both"/>
        <w:rPr>
          <w:iCs/>
          <w:szCs w:val="22"/>
          <w:lang w:val="cs-CZ"/>
        </w:rPr>
      </w:pPr>
      <w:proofErr w:type="spellStart"/>
      <w:r w:rsidRPr="008D23C1">
        <w:rPr>
          <w:iCs/>
          <w:szCs w:val="22"/>
          <w:lang w:val="cs-CZ"/>
        </w:rPr>
        <w:t>Carprofenum</w:t>
      </w:r>
      <w:proofErr w:type="spellEnd"/>
      <w:r w:rsidRPr="008D23C1">
        <w:rPr>
          <w:iCs/>
          <w:szCs w:val="22"/>
          <w:lang w:val="cs-CZ"/>
        </w:rPr>
        <w:tab/>
      </w:r>
      <w:r w:rsidRPr="008D23C1">
        <w:rPr>
          <w:szCs w:val="22"/>
          <w:lang w:val="cs-CZ"/>
        </w:rPr>
        <w:t>50 mg</w:t>
      </w:r>
    </w:p>
    <w:p w14:paraId="6A0FCFCD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7BA3D3EB" w14:textId="77777777" w:rsidR="009D0CDE" w:rsidRPr="000E2C80" w:rsidRDefault="009D0CDE" w:rsidP="000E2C80">
      <w:pPr>
        <w:spacing w:line="240" w:lineRule="auto"/>
        <w:jc w:val="both"/>
        <w:outlineLvl w:val="0"/>
        <w:rPr>
          <w:bCs/>
          <w:szCs w:val="22"/>
          <w:lang w:val="cs-CZ"/>
        </w:rPr>
      </w:pPr>
      <w:r w:rsidRPr="000E2C80">
        <w:rPr>
          <w:bCs/>
          <w:szCs w:val="22"/>
          <w:lang w:val="cs-CZ"/>
        </w:rPr>
        <w:t>Pomocná látka:</w:t>
      </w:r>
    </w:p>
    <w:p w14:paraId="18693171" w14:textId="09FCF83C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  <w:proofErr w:type="spellStart"/>
      <w:r w:rsidRPr="008D23C1">
        <w:rPr>
          <w:szCs w:val="22"/>
          <w:lang w:val="cs-CZ"/>
        </w:rPr>
        <w:t>Benzylalkohol</w:t>
      </w:r>
      <w:proofErr w:type="spellEnd"/>
      <w:r w:rsidR="008D23C1" w:rsidRPr="008D23C1">
        <w:rPr>
          <w:szCs w:val="22"/>
          <w:lang w:val="cs-CZ"/>
        </w:rPr>
        <w:t xml:space="preserve"> (E1519)</w:t>
      </w:r>
      <w:r w:rsidRPr="008D23C1">
        <w:rPr>
          <w:szCs w:val="22"/>
          <w:lang w:val="cs-CZ"/>
        </w:rPr>
        <w:tab/>
        <w:t>10 mg</w:t>
      </w:r>
    </w:p>
    <w:p w14:paraId="169A8D93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42360BDB" w14:textId="77777777" w:rsidR="009D0CDE" w:rsidRPr="008D23C1" w:rsidRDefault="009D0CDE" w:rsidP="000E2C80">
      <w:pPr>
        <w:tabs>
          <w:tab w:val="left" w:pos="993"/>
          <w:tab w:val="left" w:pos="1560"/>
          <w:tab w:val="left" w:pos="1985"/>
          <w:tab w:val="left" w:pos="2552"/>
        </w:tabs>
        <w:spacing w:line="240" w:lineRule="auto"/>
        <w:ind w:left="1135" w:right="-511" w:hanging="1135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Čirý, světle žlutý roztok.</w:t>
      </w:r>
    </w:p>
    <w:p w14:paraId="2E71A707" w14:textId="26D363A1" w:rsidR="009D0CDE" w:rsidRPr="008D23C1" w:rsidRDefault="009D0CDE" w:rsidP="000E2C80">
      <w:pPr>
        <w:tabs>
          <w:tab w:val="left" w:pos="993"/>
          <w:tab w:val="left" w:pos="1560"/>
          <w:tab w:val="left" w:pos="1985"/>
          <w:tab w:val="left" w:pos="2552"/>
        </w:tabs>
        <w:spacing w:line="240" w:lineRule="auto"/>
        <w:ind w:left="1135" w:right="-511" w:hanging="1135"/>
        <w:jc w:val="both"/>
        <w:rPr>
          <w:szCs w:val="22"/>
          <w:lang w:val="cs-CZ"/>
        </w:rPr>
      </w:pPr>
    </w:p>
    <w:p w14:paraId="11A868D9" w14:textId="77777777" w:rsidR="008D23C1" w:rsidRPr="008D23C1" w:rsidRDefault="008D23C1" w:rsidP="000E2C80">
      <w:pPr>
        <w:spacing w:line="240" w:lineRule="auto"/>
        <w:jc w:val="both"/>
        <w:rPr>
          <w:b/>
          <w:szCs w:val="22"/>
          <w:lang w:val="cs-CZ"/>
        </w:rPr>
      </w:pPr>
      <w:r w:rsidRPr="0053602B">
        <w:rPr>
          <w:b/>
          <w:szCs w:val="22"/>
          <w:highlight w:val="lightGray"/>
          <w:lang w:val="cs-CZ"/>
        </w:rPr>
        <w:t>3.</w:t>
      </w:r>
      <w:r w:rsidRPr="008D23C1">
        <w:rPr>
          <w:b/>
          <w:szCs w:val="22"/>
          <w:lang w:val="cs-CZ"/>
        </w:rPr>
        <w:tab/>
        <w:t>Cílové druhy zvířat</w:t>
      </w:r>
    </w:p>
    <w:p w14:paraId="16A1E125" w14:textId="79B705ED" w:rsidR="008D23C1" w:rsidRPr="008D23C1" w:rsidRDefault="008D23C1" w:rsidP="000E2C80">
      <w:pPr>
        <w:tabs>
          <w:tab w:val="left" w:pos="993"/>
          <w:tab w:val="left" w:pos="1560"/>
          <w:tab w:val="left" w:pos="1985"/>
          <w:tab w:val="left" w:pos="2552"/>
        </w:tabs>
        <w:spacing w:line="240" w:lineRule="auto"/>
        <w:ind w:left="1135" w:right="-511" w:hanging="1135"/>
        <w:jc w:val="both"/>
        <w:rPr>
          <w:szCs w:val="22"/>
          <w:lang w:val="cs-CZ"/>
        </w:rPr>
      </w:pPr>
    </w:p>
    <w:p w14:paraId="7D6B4257" w14:textId="0221294A" w:rsidR="008D23C1" w:rsidRDefault="008D23C1">
      <w:pPr>
        <w:tabs>
          <w:tab w:val="left" w:pos="993"/>
          <w:tab w:val="left" w:pos="1560"/>
          <w:tab w:val="left" w:pos="1985"/>
          <w:tab w:val="left" w:pos="2552"/>
        </w:tabs>
        <w:spacing w:line="240" w:lineRule="auto"/>
        <w:ind w:left="1135" w:right="-511" w:hanging="1135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Kočky a psi.</w:t>
      </w:r>
    </w:p>
    <w:p w14:paraId="1C3C6D9F" w14:textId="2226FB05" w:rsidR="005C0EA4" w:rsidRPr="008D23C1" w:rsidRDefault="005C0EA4" w:rsidP="000E2C80">
      <w:pPr>
        <w:tabs>
          <w:tab w:val="left" w:pos="993"/>
          <w:tab w:val="left" w:pos="1560"/>
          <w:tab w:val="left" w:pos="1985"/>
          <w:tab w:val="left" w:pos="2552"/>
        </w:tabs>
        <w:spacing w:line="240" w:lineRule="auto"/>
        <w:ind w:left="1135" w:right="-511" w:hanging="1135"/>
        <w:jc w:val="both"/>
        <w:rPr>
          <w:szCs w:val="22"/>
          <w:lang w:val="cs-CZ"/>
        </w:rPr>
      </w:pPr>
      <w:r>
        <w:rPr>
          <w:noProof/>
          <w:szCs w:val="22"/>
          <w:lang w:val="cs-CZ"/>
        </w:rPr>
        <w:drawing>
          <wp:anchor distT="0" distB="0" distL="114300" distR="114300" simplePos="0" relativeHeight="251663360" behindDoc="0" locked="0" layoutInCell="1" allowOverlap="1" wp14:anchorId="7E721447" wp14:editId="7980DC74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603250" cy="110490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1828C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0C1A7A27" w14:textId="77777777" w:rsidR="005C0EA4" w:rsidRDefault="005C0EA4">
      <w:pPr>
        <w:pStyle w:val="Style1"/>
        <w:jc w:val="both"/>
        <w:rPr>
          <w:lang w:eastAsia="cs-CZ"/>
        </w:rPr>
      </w:pPr>
    </w:p>
    <w:p w14:paraId="45EF62A3" w14:textId="77777777" w:rsidR="005C0EA4" w:rsidRDefault="005C0EA4">
      <w:pPr>
        <w:pStyle w:val="Style1"/>
        <w:jc w:val="both"/>
        <w:rPr>
          <w:lang w:eastAsia="cs-CZ"/>
        </w:rPr>
      </w:pPr>
    </w:p>
    <w:p w14:paraId="42C7E3E1" w14:textId="77777777" w:rsidR="005C0EA4" w:rsidRDefault="005C0EA4">
      <w:pPr>
        <w:pStyle w:val="Style1"/>
        <w:jc w:val="both"/>
        <w:rPr>
          <w:lang w:eastAsia="cs-CZ"/>
        </w:rPr>
      </w:pPr>
    </w:p>
    <w:p w14:paraId="41C2F6F5" w14:textId="77777777" w:rsidR="005C0EA4" w:rsidRDefault="005C0EA4">
      <w:pPr>
        <w:pStyle w:val="Style1"/>
        <w:jc w:val="both"/>
        <w:rPr>
          <w:lang w:eastAsia="cs-CZ"/>
        </w:rPr>
      </w:pPr>
    </w:p>
    <w:p w14:paraId="728D6E28" w14:textId="77777777" w:rsidR="005C0EA4" w:rsidRDefault="005C0EA4">
      <w:pPr>
        <w:pStyle w:val="Style1"/>
        <w:jc w:val="both"/>
        <w:rPr>
          <w:lang w:eastAsia="cs-CZ"/>
        </w:rPr>
      </w:pPr>
    </w:p>
    <w:p w14:paraId="2DFF3953" w14:textId="77777777" w:rsidR="005C0EA4" w:rsidRDefault="005C0EA4">
      <w:pPr>
        <w:pStyle w:val="Style1"/>
        <w:jc w:val="both"/>
        <w:rPr>
          <w:lang w:eastAsia="cs-CZ"/>
        </w:rPr>
      </w:pPr>
    </w:p>
    <w:p w14:paraId="42D9E8AA" w14:textId="77777777" w:rsidR="005C0EA4" w:rsidRDefault="005C0EA4">
      <w:pPr>
        <w:pStyle w:val="Style1"/>
        <w:jc w:val="both"/>
        <w:rPr>
          <w:lang w:eastAsia="cs-CZ"/>
        </w:rPr>
      </w:pPr>
    </w:p>
    <w:p w14:paraId="3470E7D1" w14:textId="3346EC09" w:rsidR="008D23C1" w:rsidRPr="008D23C1" w:rsidRDefault="008D23C1" w:rsidP="000E2C80">
      <w:pPr>
        <w:pStyle w:val="Style1"/>
        <w:jc w:val="both"/>
      </w:pPr>
      <w:r w:rsidRPr="0053602B">
        <w:rPr>
          <w:highlight w:val="lightGray"/>
          <w:lang w:eastAsia="cs-CZ"/>
        </w:rPr>
        <w:t>4.</w:t>
      </w:r>
      <w:r w:rsidRPr="008D23C1">
        <w:rPr>
          <w:lang w:eastAsia="cs-CZ"/>
        </w:rPr>
        <w:tab/>
      </w:r>
      <w:r w:rsidRPr="008D23C1">
        <w:t>Indikace pro použití</w:t>
      </w:r>
    </w:p>
    <w:p w14:paraId="312D2678" w14:textId="77777777" w:rsidR="009D0CDE" w:rsidRPr="008D23C1" w:rsidRDefault="009D0CDE" w:rsidP="000E2C8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</w:p>
    <w:p w14:paraId="2C299A71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Psi: Tlumení pooperačních bolestí a zánětu po ortopedických operacích a operacích měkkých tkání (včetně intraokulární chirurgie).</w:t>
      </w:r>
    </w:p>
    <w:p w14:paraId="5316BA84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29FE2F26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Kočky: Tlumení pooperační bolesti.</w:t>
      </w:r>
    </w:p>
    <w:p w14:paraId="610F710A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34890BAE" w14:textId="77777777" w:rsidR="008D23C1" w:rsidRPr="008D23C1" w:rsidRDefault="008D23C1" w:rsidP="008D23C1">
      <w:pPr>
        <w:pStyle w:val="Style1"/>
        <w:jc w:val="both"/>
        <w:rPr>
          <w:lang w:eastAsia="cs-CZ"/>
        </w:rPr>
      </w:pPr>
      <w:r w:rsidRPr="0053602B">
        <w:rPr>
          <w:highlight w:val="lightGray"/>
          <w:lang w:eastAsia="cs-CZ"/>
        </w:rPr>
        <w:t xml:space="preserve">5. </w:t>
      </w:r>
      <w:r w:rsidRPr="008D23C1">
        <w:rPr>
          <w:lang w:eastAsia="cs-CZ"/>
        </w:rPr>
        <w:tab/>
        <w:t>Kontraindikace</w:t>
      </w:r>
    </w:p>
    <w:p w14:paraId="7B9F1B8C" w14:textId="77777777" w:rsidR="009D0CDE" w:rsidRPr="008D23C1" w:rsidRDefault="009D0CDE" w:rsidP="000E2C8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</w:p>
    <w:p w14:paraId="21F0C7BE" w14:textId="62F26CF6" w:rsidR="009D0CDE" w:rsidRPr="008D23C1" w:rsidRDefault="009D0CDE" w:rsidP="000E2C8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 xml:space="preserve">Nepoužívat u zvířat </w:t>
      </w:r>
      <w:r w:rsidR="00DD3E15">
        <w:rPr>
          <w:szCs w:val="22"/>
          <w:lang w:val="cs-CZ"/>
        </w:rPr>
        <w:t xml:space="preserve">s onemocněním </w:t>
      </w:r>
      <w:r w:rsidR="00DD3E15" w:rsidRPr="00B454AF">
        <w:rPr>
          <w:szCs w:val="22"/>
          <w:lang w:val="cs-CZ"/>
        </w:rPr>
        <w:t>srd</w:t>
      </w:r>
      <w:r w:rsidR="00DD3E15">
        <w:rPr>
          <w:szCs w:val="22"/>
          <w:lang w:val="cs-CZ"/>
        </w:rPr>
        <w:t>ce</w:t>
      </w:r>
      <w:r w:rsidR="00DD3E15" w:rsidRPr="00B454AF">
        <w:rPr>
          <w:szCs w:val="22"/>
          <w:lang w:val="cs-CZ"/>
        </w:rPr>
        <w:t xml:space="preserve">, jater nebo ledvin </w:t>
      </w:r>
      <w:r w:rsidRPr="008D23C1">
        <w:rPr>
          <w:szCs w:val="22"/>
          <w:lang w:val="cs-CZ"/>
        </w:rPr>
        <w:t xml:space="preserve">nebo </w:t>
      </w:r>
      <w:r w:rsidR="005060D7" w:rsidRPr="008D23C1">
        <w:rPr>
          <w:szCs w:val="22"/>
          <w:lang w:val="cs-CZ"/>
        </w:rPr>
        <w:t>s</w:t>
      </w:r>
      <w:r w:rsidR="005060D7">
        <w:rPr>
          <w:szCs w:val="22"/>
          <w:lang w:val="cs-CZ"/>
        </w:rPr>
        <w:t> </w:t>
      </w:r>
      <w:r w:rsidRPr="008D23C1">
        <w:rPr>
          <w:szCs w:val="22"/>
          <w:lang w:val="cs-CZ"/>
        </w:rPr>
        <w:t xml:space="preserve">gastrointestinálními problémy, kde je možná gastrointestinální ulcerace nebo krvácení, nebo hypersenzitivita na karprofen nebo na jakékoliv jiné </w:t>
      </w:r>
      <w:proofErr w:type="spellStart"/>
      <w:r w:rsidRPr="008D23C1">
        <w:rPr>
          <w:szCs w:val="22"/>
          <w:lang w:val="cs-CZ"/>
        </w:rPr>
        <w:t>NSAIDs</w:t>
      </w:r>
      <w:proofErr w:type="spellEnd"/>
      <w:r w:rsidRPr="008D23C1">
        <w:rPr>
          <w:szCs w:val="22"/>
          <w:lang w:val="cs-CZ"/>
        </w:rPr>
        <w:t xml:space="preserve"> nebo na jakoukoliv pomocnou látku tohoto </w:t>
      </w:r>
      <w:r w:rsidR="008D23C1">
        <w:rPr>
          <w:szCs w:val="22"/>
          <w:lang w:val="cs-CZ"/>
        </w:rPr>
        <w:t xml:space="preserve">veterinárního léčivého </w:t>
      </w:r>
      <w:r w:rsidRPr="008D23C1">
        <w:rPr>
          <w:szCs w:val="22"/>
          <w:lang w:val="cs-CZ"/>
        </w:rPr>
        <w:t xml:space="preserve">přípravku. Podobně jako je tomu v případě jiných </w:t>
      </w:r>
      <w:proofErr w:type="spellStart"/>
      <w:r w:rsidRPr="008D23C1">
        <w:rPr>
          <w:szCs w:val="22"/>
          <w:lang w:val="cs-CZ"/>
        </w:rPr>
        <w:t>NSAIDs</w:t>
      </w:r>
      <w:proofErr w:type="spellEnd"/>
      <w:r w:rsidRPr="008D23C1">
        <w:rPr>
          <w:szCs w:val="22"/>
          <w:lang w:val="cs-CZ"/>
        </w:rPr>
        <w:t>, existuje riziko výskytu vzácných renálních nebo idiosynkratických jaterních nežádoucích účinků.</w:t>
      </w:r>
    </w:p>
    <w:p w14:paraId="2D2B7D7F" w14:textId="77777777" w:rsidR="009D0CDE" w:rsidRPr="008D23C1" w:rsidRDefault="009D0CDE" w:rsidP="000E2C80">
      <w:pPr>
        <w:pStyle w:val="Zkladntextodsazen2"/>
        <w:spacing w:after="0" w:line="240" w:lineRule="auto"/>
        <w:ind w:left="0"/>
        <w:jc w:val="both"/>
        <w:rPr>
          <w:sz w:val="22"/>
          <w:szCs w:val="22"/>
          <w:lang w:val="cs-CZ"/>
        </w:rPr>
      </w:pPr>
      <w:r w:rsidRPr="008D23C1">
        <w:rPr>
          <w:sz w:val="22"/>
          <w:szCs w:val="22"/>
          <w:lang w:val="cs-CZ"/>
        </w:rPr>
        <w:t>Nepodávejte intramuskulárně.</w:t>
      </w:r>
    </w:p>
    <w:p w14:paraId="787A30D3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Nepoužívat po chirurgických zákrocích, které byly spojeny se značnou ztrátou krve.</w:t>
      </w:r>
    </w:p>
    <w:p w14:paraId="02AFF7A2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 xml:space="preserve">U koček nepoužívat opakovaně. </w:t>
      </w:r>
    </w:p>
    <w:p w14:paraId="33BBA166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Nepoužívat u koček mladších než 5 měsíců.</w:t>
      </w:r>
    </w:p>
    <w:p w14:paraId="402B8B97" w14:textId="7606665E" w:rsidR="009D0CDE" w:rsidRDefault="009D0CDE" w:rsidP="008D23C1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Nepoužívat u psů mladších než 10 týdnů.</w:t>
      </w:r>
    </w:p>
    <w:p w14:paraId="6E9224DF" w14:textId="51DC6F4E" w:rsidR="008D23C1" w:rsidRPr="008D23C1" w:rsidRDefault="008D23C1" w:rsidP="000E2C80">
      <w:pPr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Viz bod „Březost a laktace“.</w:t>
      </w:r>
    </w:p>
    <w:p w14:paraId="5AE17C54" w14:textId="77777777" w:rsidR="008D23C1" w:rsidRPr="008D23C1" w:rsidRDefault="008D23C1" w:rsidP="000E2C80">
      <w:pPr>
        <w:spacing w:line="240" w:lineRule="auto"/>
        <w:jc w:val="both"/>
        <w:rPr>
          <w:szCs w:val="22"/>
          <w:lang w:val="cs-CZ"/>
        </w:rPr>
      </w:pPr>
    </w:p>
    <w:p w14:paraId="7AD4456F" w14:textId="77777777" w:rsidR="008D23C1" w:rsidRPr="008D23C1" w:rsidRDefault="008D23C1" w:rsidP="000E2C80">
      <w:pPr>
        <w:pStyle w:val="Style1"/>
        <w:jc w:val="both"/>
        <w:rPr>
          <w:lang w:eastAsia="cs-CZ"/>
        </w:rPr>
      </w:pPr>
      <w:r w:rsidRPr="0053602B">
        <w:rPr>
          <w:highlight w:val="lightGray"/>
          <w:lang w:eastAsia="cs-CZ"/>
        </w:rPr>
        <w:t>6.</w:t>
      </w:r>
      <w:r w:rsidRPr="008D23C1">
        <w:rPr>
          <w:lang w:eastAsia="cs-CZ"/>
        </w:rPr>
        <w:tab/>
        <w:t>Zvláštní upozornění</w:t>
      </w:r>
    </w:p>
    <w:p w14:paraId="6196FFE9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4A64C535" w14:textId="77777777" w:rsidR="008D23C1" w:rsidRPr="00F56EC6" w:rsidRDefault="008D23C1" w:rsidP="008D23C1">
      <w:pPr>
        <w:jc w:val="both"/>
        <w:rPr>
          <w:u w:val="single"/>
          <w:lang w:val="cs-CZ"/>
        </w:rPr>
      </w:pPr>
      <w:r w:rsidRPr="00F56EC6">
        <w:rPr>
          <w:u w:val="single"/>
          <w:lang w:val="cs-CZ"/>
        </w:rPr>
        <w:t>Zvláštní opatření pro bezpečné použití u cílových druhů zvířat:</w:t>
      </w:r>
    </w:p>
    <w:p w14:paraId="79398DE2" w14:textId="2FE7F881" w:rsidR="008D23C1" w:rsidRPr="008D23C1" w:rsidRDefault="008D23C1" w:rsidP="008D23C1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Nepřekračujte doporučenou dávku nebo dobu trvání léčby.</w:t>
      </w:r>
    </w:p>
    <w:p w14:paraId="30050DF0" w14:textId="77777777" w:rsidR="008D23C1" w:rsidRPr="008D23C1" w:rsidRDefault="008D23C1" w:rsidP="008D23C1">
      <w:pPr>
        <w:spacing w:line="240" w:lineRule="auto"/>
        <w:jc w:val="both"/>
        <w:rPr>
          <w:szCs w:val="22"/>
          <w:lang w:val="cs-CZ"/>
        </w:rPr>
      </w:pPr>
    </w:p>
    <w:p w14:paraId="4CF48D53" w14:textId="120554EC" w:rsidR="008D23C1" w:rsidRPr="008D23C1" w:rsidRDefault="008D23C1" w:rsidP="008D23C1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lastRenderedPageBreak/>
        <w:t>Kvůli delšímu biologickému poločasu u koček a užšímu terapeutickému indexu by měla být věnována zvláštní pozornost nepřekročení doporučené dávky</w:t>
      </w:r>
      <w:r w:rsidR="0039528A">
        <w:rPr>
          <w:szCs w:val="22"/>
          <w:lang w:val="cs-CZ"/>
        </w:rPr>
        <w:t xml:space="preserve"> a dávka by se neměla opakovat.</w:t>
      </w:r>
      <w:r w:rsidRPr="008D23C1">
        <w:rPr>
          <w:szCs w:val="22"/>
          <w:lang w:val="cs-CZ"/>
        </w:rPr>
        <w:t xml:space="preserve"> </w:t>
      </w:r>
    </w:p>
    <w:p w14:paraId="5CDE7A86" w14:textId="77777777" w:rsidR="008D23C1" w:rsidRPr="008D23C1" w:rsidRDefault="008D23C1" w:rsidP="008D23C1">
      <w:pPr>
        <w:spacing w:line="240" w:lineRule="auto"/>
        <w:jc w:val="both"/>
        <w:rPr>
          <w:szCs w:val="22"/>
          <w:lang w:val="cs-CZ"/>
        </w:rPr>
      </w:pPr>
    </w:p>
    <w:p w14:paraId="5E0F4A8F" w14:textId="12FAA981" w:rsidR="008D23C1" w:rsidRPr="008D23C1" w:rsidRDefault="008D23C1" w:rsidP="008D23C1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 xml:space="preserve">Použití u starých psů a koček může znamenat další riziko. Jestliže se nelze takovému použití vyhnout, může být potřeba snížit dávku a zvířatům poskytnout řádnou klinickou péči. </w:t>
      </w:r>
    </w:p>
    <w:p w14:paraId="0BAC2EA9" w14:textId="77777777" w:rsidR="008D23C1" w:rsidRPr="008D23C1" w:rsidRDefault="008D23C1" w:rsidP="008D23C1">
      <w:pPr>
        <w:spacing w:line="240" w:lineRule="auto"/>
        <w:jc w:val="both"/>
        <w:rPr>
          <w:szCs w:val="22"/>
          <w:lang w:val="cs-CZ"/>
        </w:rPr>
      </w:pPr>
    </w:p>
    <w:p w14:paraId="6786D3A5" w14:textId="77777777" w:rsidR="008D23C1" w:rsidRPr="008D23C1" w:rsidRDefault="008D23C1" w:rsidP="008D23C1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 xml:space="preserve">Nepoužívejte u dehydrovaných, </w:t>
      </w:r>
      <w:proofErr w:type="spellStart"/>
      <w:r w:rsidRPr="008D23C1">
        <w:rPr>
          <w:szCs w:val="22"/>
          <w:lang w:val="cs-CZ"/>
        </w:rPr>
        <w:t>hypovolemických</w:t>
      </w:r>
      <w:proofErr w:type="spellEnd"/>
      <w:r w:rsidRPr="008D23C1">
        <w:rPr>
          <w:szCs w:val="22"/>
          <w:lang w:val="cs-CZ"/>
        </w:rPr>
        <w:t xml:space="preserve"> nebo hypotenzních zvířat, protože je u nich potenciální riziko zvýšené renální toxicity.</w:t>
      </w:r>
    </w:p>
    <w:p w14:paraId="3A72615F" w14:textId="77777777" w:rsidR="008D23C1" w:rsidRPr="008D23C1" w:rsidRDefault="008D23C1" w:rsidP="008D23C1">
      <w:pPr>
        <w:spacing w:line="240" w:lineRule="auto"/>
        <w:jc w:val="both"/>
        <w:rPr>
          <w:szCs w:val="22"/>
          <w:lang w:val="cs-CZ"/>
        </w:rPr>
      </w:pPr>
    </w:p>
    <w:p w14:paraId="510E39B9" w14:textId="77777777" w:rsidR="008D23C1" w:rsidRPr="008D23C1" w:rsidRDefault="008D23C1" w:rsidP="008D23C1">
      <w:pPr>
        <w:spacing w:line="240" w:lineRule="auto"/>
        <w:jc w:val="both"/>
        <w:rPr>
          <w:szCs w:val="22"/>
          <w:lang w:val="cs-CZ"/>
        </w:rPr>
      </w:pPr>
      <w:proofErr w:type="spellStart"/>
      <w:r w:rsidRPr="008D23C1">
        <w:rPr>
          <w:szCs w:val="22"/>
          <w:lang w:val="cs-CZ"/>
        </w:rPr>
        <w:t>NSAIDs</w:t>
      </w:r>
      <w:proofErr w:type="spellEnd"/>
      <w:r w:rsidRPr="008D23C1">
        <w:rPr>
          <w:szCs w:val="22"/>
          <w:lang w:val="cs-CZ"/>
        </w:rPr>
        <w:t xml:space="preserve"> mohou způsobit inhibici fagocytózy, a proto by při léčbě zánětlivých stavů spojených s bakteriální infekcí měla být zvážena vhodná souběžná antimikrobiální léčba.</w:t>
      </w:r>
    </w:p>
    <w:p w14:paraId="29C96199" w14:textId="77777777" w:rsidR="008D23C1" w:rsidRPr="008D23C1" w:rsidRDefault="008D23C1" w:rsidP="008D23C1">
      <w:pPr>
        <w:spacing w:line="240" w:lineRule="auto"/>
        <w:jc w:val="both"/>
        <w:rPr>
          <w:szCs w:val="22"/>
          <w:lang w:val="cs-CZ"/>
        </w:rPr>
      </w:pPr>
    </w:p>
    <w:p w14:paraId="1FA75E7E" w14:textId="77777777" w:rsidR="008D23C1" w:rsidRPr="00F56EC6" w:rsidRDefault="008D23C1" w:rsidP="008D23C1">
      <w:pPr>
        <w:jc w:val="both"/>
        <w:rPr>
          <w:u w:val="single"/>
          <w:lang w:val="cs-CZ"/>
        </w:rPr>
      </w:pPr>
      <w:r w:rsidRPr="00F56EC6">
        <w:rPr>
          <w:u w:val="single"/>
          <w:lang w:val="cs-CZ"/>
        </w:rPr>
        <w:t>Zvláštní opatření pro osobu, která podává veterinární léčivý přípravek zvířatům:</w:t>
      </w:r>
    </w:p>
    <w:p w14:paraId="2DB1F9EF" w14:textId="77777777" w:rsidR="008D23C1" w:rsidRPr="008D23C1" w:rsidRDefault="008D23C1" w:rsidP="008D23C1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 xml:space="preserve">Předcházejte náhodnému </w:t>
      </w:r>
      <w:proofErr w:type="spellStart"/>
      <w:r w:rsidRPr="008D23C1">
        <w:rPr>
          <w:szCs w:val="22"/>
          <w:lang w:val="cs-CZ"/>
        </w:rPr>
        <w:t>samopodání</w:t>
      </w:r>
      <w:proofErr w:type="spellEnd"/>
      <w:r w:rsidRPr="008D23C1">
        <w:rPr>
          <w:szCs w:val="22"/>
          <w:lang w:val="cs-CZ"/>
        </w:rPr>
        <w:t xml:space="preserve"> injekce.</w:t>
      </w:r>
    </w:p>
    <w:p w14:paraId="1FCE0704" w14:textId="094AFA07" w:rsidR="008D23C1" w:rsidRPr="008D23C1" w:rsidRDefault="008D23C1" w:rsidP="008D23C1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 xml:space="preserve">Bylo prokázáno, že karprofen, podobně jako další </w:t>
      </w:r>
      <w:proofErr w:type="spellStart"/>
      <w:r w:rsidRPr="008D23C1">
        <w:rPr>
          <w:szCs w:val="22"/>
          <w:lang w:val="cs-CZ"/>
        </w:rPr>
        <w:t>NSAIDs</w:t>
      </w:r>
      <w:proofErr w:type="spellEnd"/>
      <w:r w:rsidRPr="008D23C1">
        <w:rPr>
          <w:szCs w:val="22"/>
          <w:lang w:val="cs-CZ"/>
        </w:rPr>
        <w:t xml:space="preserve">, vykazuje </w:t>
      </w:r>
      <w:proofErr w:type="spellStart"/>
      <w:r w:rsidRPr="008D23C1">
        <w:rPr>
          <w:szCs w:val="22"/>
          <w:lang w:val="cs-CZ"/>
        </w:rPr>
        <w:t>fotosenzibilizační</w:t>
      </w:r>
      <w:proofErr w:type="spellEnd"/>
      <w:r w:rsidRPr="008D23C1">
        <w:rPr>
          <w:szCs w:val="22"/>
          <w:lang w:val="cs-CZ"/>
        </w:rPr>
        <w:t xml:space="preserve"> potenciál u</w:t>
      </w:r>
      <w:r w:rsidR="009D6A0E">
        <w:rPr>
          <w:szCs w:val="22"/>
          <w:lang w:val="cs-CZ"/>
        </w:rPr>
        <w:t> </w:t>
      </w:r>
      <w:r w:rsidRPr="008D23C1">
        <w:rPr>
          <w:szCs w:val="22"/>
          <w:lang w:val="cs-CZ"/>
        </w:rPr>
        <w:t xml:space="preserve">laboratorních zvířat. Zabraňte kontaktu </w:t>
      </w:r>
      <w:r>
        <w:rPr>
          <w:szCs w:val="22"/>
          <w:lang w:val="cs-CZ"/>
        </w:rPr>
        <w:t>vete</w:t>
      </w:r>
      <w:r w:rsidR="0039528A">
        <w:rPr>
          <w:szCs w:val="22"/>
          <w:lang w:val="cs-CZ"/>
        </w:rPr>
        <w:t>ri</w:t>
      </w:r>
      <w:r>
        <w:rPr>
          <w:szCs w:val="22"/>
          <w:lang w:val="cs-CZ"/>
        </w:rPr>
        <w:t xml:space="preserve">nárního léčivého </w:t>
      </w:r>
      <w:r w:rsidRPr="008D23C1">
        <w:rPr>
          <w:szCs w:val="22"/>
          <w:lang w:val="cs-CZ"/>
        </w:rPr>
        <w:t xml:space="preserve">přípravku s pokožkou. Pokud ke kontaktu dojde, ihned postižené místo omyjte vodou. </w:t>
      </w:r>
    </w:p>
    <w:p w14:paraId="3DEFD8FA" w14:textId="77777777" w:rsidR="008D23C1" w:rsidRPr="008D23C1" w:rsidRDefault="008D23C1" w:rsidP="008D23C1">
      <w:pPr>
        <w:spacing w:line="240" w:lineRule="auto"/>
        <w:jc w:val="both"/>
        <w:outlineLvl w:val="0"/>
        <w:rPr>
          <w:b/>
          <w:szCs w:val="22"/>
          <w:lang w:val="cs-CZ"/>
        </w:rPr>
      </w:pPr>
    </w:p>
    <w:p w14:paraId="6AF2638F" w14:textId="77777777" w:rsidR="008D23C1" w:rsidRPr="000E2C80" w:rsidRDefault="008D23C1" w:rsidP="008D23C1">
      <w:pPr>
        <w:spacing w:line="240" w:lineRule="auto"/>
        <w:jc w:val="both"/>
        <w:rPr>
          <w:szCs w:val="22"/>
          <w:u w:val="single"/>
          <w:lang w:val="cs-CZ"/>
        </w:rPr>
      </w:pPr>
      <w:r w:rsidRPr="000E2C80">
        <w:rPr>
          <w:szCs w:val="22"/>
          <w:u w:val="single"/>
          <w:lang w:val="cs-CZ"/>
        </w:rPr>
        <w:t>Březost a kojení:</w:t>
      </w:r>
    </w:p>
    <w:p w14:paraId="3563D553" w14:textId="6151DFC6" w:rsidR="008D23C1" w:rsidRPr="008D23C1" w:rsidRDefault="008D23C1" w:rsidP="008D23C1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Studie na laboratorních zvířatech (potkan</w:t>
      </w:r>
      <w:r w:rsidR="0039528A">
        <w:rPr>
          <w:szCs w:val="22"/>
          <w:lang w:val="cs-CZ"/>
        </w:rPr>
        <w:t>i a</w:t>
      </w:r>
      <w:r w:rsidRPr="008D23C1">
        <w:rPr>
          <w:szCs w:val="22"/>
          <w:lang w:val="cs-CZ"/>
        </w:rPr>
        <w:t xml:space="preserve"> králí</w:t>
      </w:r>
      <w:r w:rsidR="0039528A">
        <w:rPr>
          <w:szCs w:val="22"/>
          <w:lang w:val="cs-CZ"/>
        </w:rPr>
        <w:t>ci</w:t>
      </w:r>
      <w:r w:rsidRPr="008D23C1">
        <w:rPr>
          <w:szCs w:val="22"/>
          <w:lang w:val="cs-CZ"/>
        </w:rPr>
        <w:t xml:space="preserve">) prokázaly </w:t>
      </w:r>
      <w:proofErr w:type="spellStart"/>
      <w:r w:rsidRPr="008D23C1">
        <w:rPr>
          <w:szCs w:val="22"/>
          <w:lang w:val="cs-CZ"/>
        </w:rPr>
        <w:t>fetotoxické</w:t>
      </w:r>
      <w:proofErr w:type="spellEnd"/>
      <w:r w:rsidRPr="008D23C1">
        <w:rPr>
          <w:szCs w:val="22"/>
          <w:lang w:val="cs-CZ"/>
        </w:rPr>
        <w:t xml:space="preserve"> účinky </w:t>
      </w:r>
      <w:proofErr w:type="spellStart"/>
      <w:r w:rsidRPr="008D23C1">
        <w:rPr>
          <w:szCs w:val="22"/>
          <w:lang w:val="cs-CZ"/>
        </w:rPr>
        <w:t>karprofenu</w:t>
      </w:r>
      <w:proofErr w:type="spellEnd"/>
      <w:r w:rsidRPr="008D23C1">
        <w:rPr>
          <w:szCs w:val="22"/>
          <w:lang w:val="cs-CZ"/>
        </w:rPr>
        <w:t xml:space="preserve"> v dávkách blízkých terapeutické dávce. </w:t>
      </w:r>
    </w:p>
    <w:p w14:paraId="51FB9736" w14:textId="77777777" w:rsidR="008D23C1" w:rsidRPr="008D23C1" w:rsidRDefault="008D23C1" w:rsidP="008D23C1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Bezpečnost veterinárního léčivého přípravku nebyla během březosti a laktace stanovena. Nepoužívejte u psů nebo koček v období březosti a laktace.</w:t>
      </w:r>
    </w:p>
    <w:p w14:paraId="037251EE" w14:textId="77777777" w:rsidR="008D23C1" w:rsidRDefault="008D23C1" w:rsidP="008D23C1">
      <w:pPr>
        <w:spacing w:line="240" w:lineRule="auto"/>
        <w:jc w:val="both"/>
        <w:rPr>
          <w:szCs w:val="22"/>
          <w:lang w:val="cs-CZ"/>
        </w:rPr>
      </w:pPr>
    </w:p>
    <w:p w14:paraId="5F5ED033" w14:textId="77777777" w:rsidR="008D23C1" w:rsidRPr="00F56EC6" w:rsidRDefault="008D23C1" w:rsidP="008D23C1">
      <w:pPr>
        <w:jc w:val="both"/>
        <w:rPr>
          <w:szCs w:val="22"/>
          <w:u w:val="single"/>
          <w:lang w:val="cs-CZ" w:eastAsia="cs-CZ"/>
        </w:rPr>
      </w:pPr>
      <w:r w:rsidRPr="00F56EC6">
        <w:rPr>
          <w:szCs w:val="22"/>
          <w:u w:val="single"/>
          <w:lang w:val="cs-CZ" w:eastAsia="cs-CZ"/>
        </w:rPr>
        <w:t>Interakce s jinými léčivými přípravky a další formy interakce:</w:t>
      </w:r>
    </w:p>
    <w:p w14:paraId="3BE4C616" w14:textId="118FAF99" w:rsidR="008D23C1" w:rsidRPr="008D23C1" w:rsidRDefault="008D23C1" w:rsidP="008D23C1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 xml:space="preserve">Současně nebo během 24 hod. po podání tohoto </w:t>
      </w:r>
      <w:r>
        <w:rPr>
          <w:szCs w:val="22"/>
          <w:lang w:val="cs-CZ"/>
        </w:rPr>
        <w:t xml:space="preserve">veterinárního léčivého </w:t>
      </w:r>
      <w:r w:rsidRPr="008D23C1">
        <w:rPr>
          <w:szCs w:val="22"/>
          <w:lang w:val="cs-CZ"/>
        </w:rPr>
        <w:t xml:space="preserve">přípravku nepodávejte jiné </w:t>
      </w:r>
      <w:proofErr w:type="spellStart"/>
      <w:r w:rsidRPr="008D23C1">
        <w:rPr>
          <w:szCs w:val="22"/>
          <w:lang w:val="cs-CZ"/>
        </w:rPr>
        <w:t>NSAIDs</w:t>
      </w:r>
      <w:proofErr w:type="spellEnd"/>
      <w:r w:rsidRPr="008D23C1">
        <w:rPr>
          <w:szCs w:val="22"/>
          <w:lang w:val="cs-CZ"/>
        </w:rPr>
        <w:t xml:space="preserve"> a glukokortikoidy. Karprofen se silně váže na plazmatické bílkoviny a může soutěžit s jinými silně vazebnými léky, což může vést k toxickým účinkům.</w:t>
      </w:r>
    </w:p>
    <w:p w14:paraId="5290212B" w14:textId="77777777" w:rsidR="008D23C1" w:rsidRPr="008D23C1" w:rsidRDefault="008D23C1" w:rsidP="008D23C1">
      <w:pPr>
        <w:spacing w:line="240" w:lineRule="auto"/>
        <w:jc w:val="both"/>
        <w:rPr>
          <w:szCs w:val="22"/>
          <w:lang w:val="cs-CZ"/>
        </w:rPr>
      </w:pPr>
    </w:p>
    <w:p w14:paraId="7E554D07" w14:textId="70A82D75" w:rsidR="008D23C1" w:rsidRPr="008D23C1" w:rsidRDefault="008D23C1" w:rsidP="008D23C1">
      <w:pPr>
        <w:autoSpaceDE w:val="0"/>
        <w:autoSpaceDN w:val="0"/>
        <w:adjustRightInd w:val="0"/>
        <w:spacing w:line="240" w:lineRule="auto"/>
        <w:jc w:val="both"/>
        <w:outlineLvl w:val="0"/>
        <w:rPr>
          <w:szCs w:val="22"/>
          <w:lang w:val="cs-CZ"/>
        </w:rPr>
      </w:pPr>
      <w:r w:rsidRPr="008D23C1">
        <w:rPr>
          <w:szCs w:val="22"/>
          <w:lang w:val="cs-CZ"/>
        </w:rPr>
        <w:t xml:space="preserve">Je třeba se vyhnout současnému podávání potenciálně </w:t>
      </w:r>
      <w:proofErr w:type="spellStart"/>
      <w:r w:rsidRPr="008D23C1">
        <w:rPr>
          <w:szCs w:val="22"/>
          <w:lang w:val="cs-CZ"/>
        </w:rPr>
        <w:t>nefrotoxických</w:t>
      </w:r>
      <w:proofErr w:type="spellEnd"/>
      <w:r w:rsidRPr="008D23C1">
        <w:rPr>
          <w:szCs w:val="22"/>
          <w:lang w:val="cs-CZ"/>
        </w:rPr>
        <w:t xml:space="preserve"> látek.</w:t>
      </w:r>
    </w:p>
    <w:p w14:paraId="297900A7" w14:textId="77777777" w:rsidR="008D23C1" w:rsidRPr="008D23C1" w:rsidRDefault="008D23C1" w:rsidP="008D23C1">
      <w:pPr>
        <w:spacing w:line="240" w:lineRule="auto"/>
        <w:jc w:val="both"/>
        <w:rPr>
          <w:szCs w:val="22"/>
          <w:lang w:val="cs-CZ"/>
        </w:rPr>
      </w:pPr>
    </w:p>
    <w:p w14:paraId="14C93DE7" w14:textId="77777777" w:rsidR="00284A57" w:rsidRPr="00F56EC6" w:rsidRDefault="00284A57" w:rsidP="00284A57">
      <w:pPr>
        <w:jc w:val="both"/>
        <w:rPr>
          <w:szCs w:val="22"/>
          <w:u w:val="single"/>
          <w:lang w:val="cs-CZ" w:eastAsia="cs-CZ"/>
        </w:rPr>
      </w:pPr>
      <w:r w:rsidRPr="00F56EC6">
        <w:rPr>
          <w:szCs w:val="22"/>
          <w:u w:val="single"/>
          <w:lang w:val="cs-CZ" w:eastAsia="cs-CZ"/>
        </w:rPr>
        <w:t>Předávkování:</w:t>
      </w:r>
    </w:p>
    <w:p w14:paraId="221ACAEE" w14:textId="77777777" w:rsidR="008D23C1" w:rsidRPr="008D23C1" w:rsidRDefault="008D23C1" w:rsidP="008D23C1">
      <w:pPr>
        <w:spacing w:line="240" w:lineRule="auto"/>
        <w:ind w:right="329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 xml:space="preserve">Neexistuje žádné specifické </w:t>
      </w:r>
      <w:proofErr w:type="spellStart"/>
      <w:r w:rsidRPr="008D23C1">
        <w:rPr>
          <w:szCs w:val="22"/>
          <w:lang w:val="cs-CZ"/>
        </w:rPr>
        <w:t>antidotum</w:t>
      </w:r>
      <w:proofErr w:type="spellEnd"/>
      <w:r w:rsidRPr="008D23C1">
        <w:rPr>
          <w:szCs w:val="22"/>
          <w:lang w:val="cs-CZ"/>
        </w:rPr>
        <w:t xml:space="preserve"> při předávkování </w:t>
      </w:r>
      <w:proofErr w:type="spellStart"/>
      <w:r w:rsidRPr="008D23C1">
        <w:rPr>
          <w:szCs w:val="22"/>
          <w:lang w:val="cs-CZ"/>
        </w:rPr>
        <w:t>karprofenem</w:t>
      </w:r>
      <w:proofErr w:type="spellEnd"/>
      <w:r w:rsidRPr="008D23C1">
        <w:rPr>
          <w:szCs w:val="22"/>
          <w:lang w:val="cs-CZ"/>
        </w:rPr>
        <w:t xml:space="preserve">; postupuje se podle obecných zásad podpůrné terapie při předávkování </w:t>
      </w:r>
      <w:proofErr w:type="spellStart"/>
      <w:r w:rsidRPr="008D23C1">
        <w:rPr>
          <w:szCs w:val="22"/>
          <w:lang w:val="cs-CZ"/>
        </w:rPr>
        <w:t>NSAIDs</w:t>
      </w:r>
      <w:proofErr w:type="spellEnd"/>
      <w:r w:rsidRPr="008D23C1">
        <w:rPr>
          <w:szCs w:val="22"/>
          <w:lang w:val="cs-CZ"/>
        </w:rPr>
        <w:t>.</w:t>
      </w:r>
    </w:p>
    <w:p w14:paraId="78E7D224" w14:textId="77777777" w:rsidR="008D23C1" w:rsidRPr="008D23C1" w:rsidRDefault="008D23C1" w:rsidP="008D23C1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</w:p>
    <w:p w14:paraId="21E559AB" w14:textId="77777777" w:rsidR="00284A57" w:rsidRPr="00F56EC6" w:rsidRDefault="00284A57" w:rsidP="00284A57">
      <w:pPr>
        <w:jc w:val="both"/>
        <w:rPr>
          <w:szCs w:val="24"/>
          <w:u w:val="single"/>
          <w:lang w:val="cs-CZ" w:eastAsia="cs-CZ"/>
        </w:rPr>
      </w:pPr>
      <w:r w:rsidRPr="00F56EC6">
        <w:rPr>
          <w:szCs w:val="24"/>
          <w:u w:val="single"/>
          <w:lang w:val="cs-CZ" w:eastAsia="cs-CZ"/>
        </w:rPr>
        <w:t>Hlavní inkompatibility:</w:t>
      </w:r>
    </w:p>
    <w:p w14:paraId="7075AC6E" w14:textId="77777777" w:rsidR="008D23C1" w:rsidRPr="008D23C1" w:rsidRDefault="008D23C1" w:rsidP="008D23C1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Studie kompatibility nejsou k dispozici, a proto tento veterinární léčivý přípravek nesmí být mísen s žádnými dalšími veterinárními léčivými přípravky.</w:t>
      </w:r>
    </w:p>
    <w:p w14:paraId="78E48899" w14:textId="77777777" w:rsidR="009D0CDE" w:rsidRPr="008D23C1" w:rsidRDefault="009D0CDE" w:rsidP="000E2C80">
      <w:pPr>
        <w:spacing w:line="240" w:lineRule="auto"/>
        <w:ind w:left="567" w:hanging="567"/>
        <w:jc w:val="both"/>
        <w:rPr>
          <w:b/>
          <w:szCs w:val="22"/>
          <w:lang w:val="cs-CZ"/>
        </w:rPr>
      </w:pPr>
    </w:p>
    <w:p w14:paraId="7EE1F093" w14:textId="77777777" w:rsidR="008D23C1" w:rsidRPr="008D23C1" w:rsidRDefault="008D23C1" w:rsidP="000E2C80">
      <w:pPr>
        <w:pStyle w:val="Style1"/>
        <w:jc w:val="both"/>
        <w:rPr>
          <w:lang w:eastAsia="cs-CZ"/>
        </w:rPr>
      </w:pPr>
      <w:r w:rsidRPr="0053602B">
        <w:rPr>
          <w:highlight w:val="lightGray"/>
          <w:lang w:eastAsia="cs-CZ"/>
        </w:rPr>
        <w:t>7.</w:t>
      </w:r>
      <w:r w:rsidRPr="008D23C1">
        <w:rPr>
          <w:lang w:eastAsia="cs-CZ"/>
        </w:rPr>
        <w:tab/>
        <w:t>Nežádoucí účinky</w:t>
      </w:r>
    </w:p>
    <w:p w14:paraId="68A72CE7" w14:textId="77777777" w:rsidR="009D0CDE" w:rsidRPr="008D23C1" w:rsidRDefault="009D0CDE" w:rsidP="000E2C80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</w:p>
    <w:p w14:paraId="1F99338E" w14:textId="77777777" w:rsidR="008D23C1" w:rsidRPr="008D23C1" w:rsidRDefault="008D23C1" w:rsidP="008D23C1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Kočky a psi:</w:t>
      </w:r>
    </w:p>
    <w:p w14:paraId="535B8116" w14:textId="77777777" w:rsidR="008D23C1" w:rsidRPr="008D23C1" w:rsidRDefault="008D23C1" w:rsidP="008D23C1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5360"/>
      </w:tblGrid>
      <w:tr w:rsidR="008D23C1" w:rsidRPr="00BD1590" w14:paraId="0645B80A" w14:textId="77777777" w:rsidTr="004151C5">
        <w:trPr>
          <w:trHeight w:val="665"/>
        </w:trPr>
        <w:tc>
          <w:tcPr>
            <w:tcW w:w="2006" w:type="pct"/>
          </w:tcPr>
          <w:p w14:paraId="7874132A" w14:textId="77777777" w:rsidR="008D23C1" w:rsidRPr="008D23C1" w:rsidRDefault="008D23C1" w:rsidP="008D23C1">
            <w:pPr>
              <w:spacing w:line="240" w:lineRule="auto"/>
              <w:ind w:right="-109"/>
              <w:jc w:val="both"/>
              <w:rPr>
                <w:szCs w:val="22"/>
                <w:lang w:val="cs-CZ"/>
              </w:rPr>
            </w:pPr>
            <w:r w:rsidRPr="008D23C1">
              <w:rPr>
                <w:szCs w:val="22"/>
                <w:lang w:val="cs-CZ"/>
              </w:rPr>
              <w:t>Vzácné</w:t>
            </w:r>
          </w:p>
          <w:p w14:paraId="18101ADC" w14:textId="77777777" w:rsidR="008D23C1" w:rsidRPr="008D23C1" w:rsidRDefault="008D23C1" w:rsidP="00106967">
            <w:pPr>
              <w:spacing w:line="240" w:lineRule="auto"/>
              <w:ind w:right="-109"/>
              <w:rPr>
                <w:szCs w:val="22"/>
                <w:lang w:val="cs-CZ"/>
              </w:rPr>
            </w:pPr>
            <w:r w:rsidRPr="008D23C1">
              <w:rPr>
                <w:szCs w:val="22"/>
                <w:lang w:val="cs-CZ"/>
              </w:rPr>
              <w:t>(1 až 10 zvířat/10 000 ošetřených zvířat):</w:t>
            </w:r>
          </w:p>
        </w:tc>
        <w:tc>
          <w:tcPr>
            <w:tcW w:w="2994" w:type="pct"/>
            <w:hideMark/>
          </w:tcPr>
          <w:p w14:paraId="3CE33347" w14:textId="77777777" w:rsidR="008D23C1" w:rsidRPr="008D23C1" w:rsidRDefault="008D23C1" w:rsidP="008D23C1">
            <w:pPr>
              <w:spacing w:line="240" w:lineRule="auto"/>
              <w:jc w:val="both"/>
              <w:rPr>
                <w:szCs w:val="22"/>
                <w:lang w:val="cs-CZ"/>
              </w:rPr>
            </w:pPr>
            <w:r w:rsidRPr="008D23C1">
              <w:rPr>
                <w:szCs w:val="22"/>
                <w:lang w:val="cs-CZ"/>
              </w:rPr>
              <w:t>Porucha funkce ledvin.</w:t>
            </w:r>
          </w:p>
          <w:p w14:paraId="7332FDF6" w14:textId="77777777" w:rsidR="008D23C1" w:rsidRPr="008D23C1" w:rsidRDefault="008D23C1" w:rsidP="008D23C1">
            <w:pPr>
              <w:spacing w:line="240" w:lineRule="auto"/>
              <w:jc w:val="both"/>
              <w:rPr>
                <w:szCs w:val="22"/>
                <w:lang w:val="cs-CZ"/>
              </w:rPr>
            </w:pPr>
            <w:r w:rsidRPr="008D23C1">
              <w:rPr>
                <w:szCs w:val="22"/>
                <w:lang w:val="cs-CZ"/>
              </w:rPr>
              <w:t>Porucha funkce jater</w:t>
            </w:r>
            <w:r w:rsidRPr="008D23C1">
              <w:rPr>
                <w:szCs w:val="22"/>
                <w:vertAlign w:val="superscript"/>
                <w:lang w:val="cs-CZ"/>
              </w:rPr>
              <w:t>1</w:t>
            </w:r>
            <w:r w:rsidRPr="008D23C1">
              <w:rPr>
                <w:szCs w:val="22"/>
                <w:lang w:val="cs-CZ"/>
              </w:rPr>
              <w:t>.</w:t>
            </w:r>
          </w:p>
        </w:tc>
      </w:tr>
      <w:tr w:rsidR="008D23C1" w:rsidRPr="00BD1590" w14:paraId="1C2625B1" w14:textId="77777777" w:rsidTr="004151C5">
        <w:trPr>
          <w:trHeight w:val="665"/>
        </w:trPr>
        <w:tc>
          <w:tcPr>
            <w:tcW w:w="2006" w:type="pct"/>
          </w:tcPr>
          <w:p w14:paraId="3BB1F9E0" w14:textId="77777777" w:rsidR="008D23C1" w:rsidRPr="008D23C1" w:rsidRDefault="008D23C1" w:rsidP="008D23C1">
            <w:pPr>
              <w:spacing w:line="240" w:lineRule="auto"/>
              <w:ind w:right="-109"/>
              <w:jc w:val="both"/>
              <w:rPr>
                <w:szCs w:val="22"/>
                <w:lang w:val="cs-CZ"/>
              </w:rPr>
            </w:pPr>
            <w:r w:rsidRPr="008D23C1">
              <w:rPr>
                <w:szCs w:val="22"/>
                <w:lang w:val="cs-CZ"/>
              </w:rPr>
              <w:t>Neznámá frekvence</w:t>
            </w:r>
          </w:p>
          <w:p w14:paraId="35CBE097" w14:textId="77777777" w:rsidR="008D23C1" w:rsidRPr="008D23C1" w:rsidRDefault="008D23C1" w:rsidP="008D23C1">
            <w:pPr>
              <w:spacing w:line="240" w:lineRule="auto"/>
              <w:ind w:right="-109"/>
              <w:jc w:val="both"/>
              <w:rPr>
                <w:szCs w:val="22"/>
                <w:lang w:val="cs-CZ"/>
              </w:rPr>
            </w:pPr>
            <w:r w:rsidRPr="008D23C1">
              <w:rPr>
                <w:szCs w:val="22"/>
                <w:lang w:val="cs-CZ"/>
              </w:rPr>
              <w:t>(z dostupných údajů nelze určit):</w:t>
            </w:r>
          </w:p>
        </w:tc>
        <w:tc>
          <w:tcPr>
            <w:tcW w:w="2994" w:type="pct"/>
          </w:tcPr>
          <w:p w14:paraId="6973CF01" w14:textId="77777777" w:rsidR="008D23C1" w:rsidRPr="008D23C1" w:rsidRDefault="008D23C1" w:rsidP="008D23C1">
            <w:pPr>
              <w:spacing w:line="240" w:lineRule="auto"/>
              <w:jc w:val="both"/>
              <w:rPr>
                <w:szCs w:val="22"/>
                <w:vertAlign w:val="superscript"/>
                <w:lang w:val="cs-CZ"/>
              </w:rPr>
            </w:pPr>
            <w:r w:rsidRPr="008D23C1">
              <w:rPr>
                <w:szCs w:val="22"/>
                <w:lang w:val="cs-CZ"/>
              </w:rPr>
              <w:t>Zvracení</w:t>
            </w:r>
            <w:r w:rsidRPr="008D23C1">
              <w:rPr>
                <w:szCs w:val="22"/>
                <w:vertAlign w:val="superscript"/>
                <w:lang w:val="cs-CZ"/>
              </w:rPr>
              <w:t>2</w:t>
            </w:r>
            <w:r w:rsidRPr="008D23C1">
              <w:rPr>
                <w:szCs w:val="22"/>
                <w:lang w:val="cs-CZ"/>
              </w:rPr>
              <w:t>, měkká stolice</w:t>
            </w:r>
            <w:r w:rsidRPr="008D23C1">
              <w:rPr>
                <w:szCs w:val="22"/>
                <w:vertAlign w:val="superscript"/>
                <w:lang w:val="cs-CZ"/>
              </w:rPr>
              <w:t>2</w:t>
            </w:r>
            <w:r w:rsidRPr="008D23C1">
              <w:rPr>
                <w:szCs w:val="22"/>
                <w:lang w:val="cs-CZ"/>
              </w:rPr>
              <w:t>,</w:t>
            </w:r>
            <w:r w:rsidRPr="008D23C1">
              <w:rPr>
                <w:szCs w:val="22"/>
                <w:vertAlign w:val="superscript"/>
                <w:lang w:val="cs-CZ"/>
              </w:rPr>
              <w:t xml:space="preserve"> </w:t>
            </w:r>
            <w:r w:rsidRPr="008D23C1">
              <w:rPr>
                <w:szCs w:val="22"/>
                <w:lang w:val="cs-CZ"/>
              </w:rPr>
              <w:t>průjem</w:t>
            </w:r>
            <w:r w:rsidRPr="008D23C1">
              <w:rPr>
                <w:szCs w:val="22"/>
                <w:vertAlign w:val="superscript"/>
                <w:lang w:val="cs-CZ"/>
              </w:rPr>
              <w:t>2</w:t>
            </w:r>
            <w:r w:rsidRPr="008D23C1">
              <w:rPr>
                <w:szCs w:val="22"/>
                <w:lang w:val="cs-CZ"/>
              </w:rPr>
              <w:t>, okultní krvácení ve stolici</w:t>
            </w:r>
            <w:r w:rsidRPr="008D23C1">
              <w:rPr>
                <w:szCs w:val="22"/>
                <w:vertAlign w:val="superscript"/>
                <w:lang w:val="cs-CZ"/>
              </w:rPr>
              <w:t>2</w:t>
            </w:r>
            <w:r w:rsidRPr="008D23C1">
              <w:rPr>
                <w:szCs w:val="22"/>
                <w:lang w:val="cs-CZ"/>
              </w:rPr>
              <w:t>, ztráta chuti</w:t>
            </w:r>
            <w:r w:rsidRPr="008D23C1">
              <w:rPr>
                <w:szCs w:val="22"/>
                <w:vertAlign w:val="superscript"/>
                <w:lang w:val="cs-CZ"/>
              </w:rPr>
              <w:t>2</w:t>
            </w:r>
            <w:r w:rsidRPr="008D23C1">
              <w:rPr>
                <w:szCs w:val="22"/>
                <w:lang w:val="cs-CZ"/>
              </w:rPr>
              <w:t>, letargie</w:t>
            </w:r>
            <w:r w:rsidRPr="008D23C1">
              <w:rPr>
                <w:szCs w:val="22"/>
                <w:vertAlign w:val="superscript"/>
                <w:lang w:val="cs-CZ"/>
              </w:rPr>
              <w:t>2</w:t>
            </w:r>
          </w:p>
          <w:p w14:paraId="1AD94483" w14:textId="7BC4515A" w:rsidR="008D23C1" w:rsidRPr="008D23C1" w:rsidRDefault="008D23C1" w:rsidP="008D23C1">
            <w:pPr>
              <w:spacing w:line="240" w:lineRule="auto"/>
              <w:jc w:val="both"/>
              <w:rPr>
                <w:szCs w:val="22"/>
                <w:lang w:val="cs-CZ"/>
              </w:rPr>
            </w:pPr>
            <w:r w:rsidRPr="008D23C1">
              <w:rPr>
                <w:szCs w:val="22"/>
                <w:lang w:val="cs-CZ"/>
              </w:rPr>
              <w:t xml:space="preserve">Reakce v místě </w:t>
            </w:r>
            <w:r w:rsidR="00DD3E15">
              <w:rPr>
                <w:szCs w:val="22"/>
                <w:lang w:val="cs-CZ"/>
              </w:rPr>
              <w:t xml:space="preserve">injekčního </w:t>
            </w:r>
            <w:r w:rsidRPr="008D23C1">
              <w:rPr>
                <w:szCs w:val="22"/>
                <w:lang w:val="cs-CZ"/>
              </w:rPr>
              <w:t>podání</w:t>
            </w:r>
            <w:r w:rsidRPr="008D23C1">
              <w:rPr>
                <w:szCs w:val="22"/>
                <w:vertAlign w:val="superscript"/>
                <w:lang w:val="cs-CZ"/>
              </w:rPr>
              <w:t>3</w:t>
            </w:r>
          </w:p>
        </w:tc>
      </w:tr>
    </w:tbl>
    <w:p w14:paraId="7E80B171" w14:textId="77777777" w:rsidR="008D23C1" w:rsidRPr="008D23C1" w:rsidRDefault="008D23C1" w:rsidP="008D23C1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</w:p>
    <w:p w14:paraId="2A243A75" w14:textId="625C3766" w:rsidR="008D23C1" w:rsidRPr="008D23C1" w:rsidRDefault="008D23C1" w:rsidP="008D23C1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vertAlign w:val="superscript"/>
          <w:lang w:val="cs-CZ"/>
        </w:rPr>
        <w:t>1</w:t>
      </w:r>
      <w:r w:rsidR="00106967">
        <w:rPr>
          <w:szCs w:val="22"/>
          <w:vertAlign w:val="superscript"/>
          <w:lang w:val="cs-CZ"/>
        </w:rPr>
        <w:t xml:space="preserve"> </w:t>
      </w:r>
      <w:r w:rsidRPr="008D23C1">
        <w:rPr>
          <w:szCs w:val="22"/>
          <w:lang w:val="cs-CZ"/>
        </w:rPr>
        <w:t>Idiosynkratické reakce.</w:t>
      </w:r>
    </w:p>
    <w:p w14:paraId="4AE35E77" w14:textId="1C669E29" w:rsidR="008D23C1" w:rsidRPr="008D23C1" w:rsidRDefault="008D23C1" w:rsidP="008D23C1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vertAlign w:val="superscript"/>
          <w:lang w:val="cs-CZ"/>
        </w:rPr>
        <w:t>2</w:t>
      </w:r>
      <w:r w:rsidR="00106967">
        <w:rPr>
          <w:szCs w:val="22"/>
          <w:vertAlign w:val="superscript"/>
          <w:lang w:val="cs-CZ"/>
        </w:rPr>
        <w:t xml:space="preserve"> </w:t>
      </w:r>
      <w:r w:rsidRPr="008D23C1">
        <w:rPr>
          <w:szCs w:val="22"/>
          <w:lang w:val="cs-CZ"/>
        </w:rPr>
        <w:t xml:space="preserve">Přechodné. Obecně se vyskytují během prvního týdne léčby a ve většině případů jsou přechodné </w:t>
      </w:r>
      <w:r w:rsidR="005060D7" w:rsidRPr="008D23C1">
        <w:rPr>
          <w:szCs w:val="22"/>
          <w:lang w:val="cs-CZ"/>
        </w:rPr>
        <w:t>a</w:t>
      </w:r>
      <w:r w:rsidR="005060D7">
        <w:rPr>
          <w:szCs w:val="22"/>
          <w:lang w:val="cs-CZ"/>
        </w:rPr>
        <w:t> </w:t>
      </w:r>
      <w:r w:rsidRPr="008D23C1">
        <w:rPr>
          <w:szCs w:val="22"/>
          <w:lang w:val="cs-CZ"/>
        </w:rPr>
        <w:t>vymizí po ukončení léčby, avšak ve velmi vzácných případech mohou být závažné nebo fatální.</w:t>
      </w:r>
    </w:p>
    <w:p w14:paraId="0FABCB68" w14:textId="27CE468A" w:rsidR="008D23C1" w:rsidRPr="008D23C1" w:rsidRDefault="008D23C1" w:rsidP="008D23C1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vertAlign w:val="superscript"/>
          <w:lang w:val="cs-CZ"/>
        </w:rPr>
        <w:t>3</w:t>
      </w:r>
      <w:r w:rsidR="00106967">
        <w:rPr>
          <w:szCs w:val="22"/>
          <w:vertAlign w:val="superscript"/>
          <w:lang w:val="cs-CZ"/>
        </w:rPr>
        <w:t xml:space="preserve"> </w:t>
      </w:r>
      <w:r w:rsidRPr="008D23C1">
        <w:rPr>
          <w:szCs w:val="22"/>
          <w:lang w:val="cs-CZ"/>
        </w:rPr>
        <w:t>Po subkutánní</w:t>
      </w:r>
      <w:r w:rsidR="00DD3E15">
        <w:rPr>
          <w:szCs w:val="22"/>
          <w:lang w:val="cs-CZ"/>
        </w:rPr>
        <w:t>m podání</w:t>
      </w:r>
      <w:r w:rsidRPr="008D23C1">
        <w:rPr>
          <w:szCs w:val="22"/>
          <w:lang w:val="cs-CZ"/>
        </w:rPr>
        <w:t>.</w:t>
      </w:r>
    </w:p>
    <w:p w14:paraId="4CA715E5" w14:textId="77777777" w:rsidR="008D23C1" w:rsidRPr="008D23C1" w:rsidRDefault="008D23C1" w:rsidP="008D23C1">
      <w:pPr>
        <w:autoSpaceDE w:val="0"/>
        <w:autoSpaceDN w:val="0"/>
        <w:adjustRightInd w:val="0"/>
        <w:spacing w:line="240" w:lineRule="auto"/>
        <w:jc w:val="both"/>
        <w:rPr>
          <w:szCs w:val="22"/>
          <w:lang w:val="cs-CZ"/>
        </w:rPr>
      </w:pPr>
    </w:p>
    <w:p w14:paraId="33859445" w14:textId="77777777" w:rsidR="00106967" w:rsidRPr="00F56EC6" w:rsidRDefault="00106967" w:rsidP="00106967">
      <w:pPr>
        <w:jc w:val="both"/>
        <w:rPr>
          <w:szCs w:val="22"/>
          <w:lang w:val="cs-CZ"/>
        </w:rPr>
      </w:pPr>
      <w:r w:rsidRPr="00F56EC6">
        <w:rPr>
          <w:szCs w:val="22"/>
          <w:lang w:val="cs-CZ"/>
        </w:rPr>
        <w:t xml:space="preserve">Hlášení nežádoucích účinků je důležité. Umožňuje nepřetržité sledování bezpečnosti veterinárního léčivého přípravku. Jestliže zaznamenáte jakékoliv nežádoucí účinky, a to i takové, které nejsou uvedeny </w:t>
      </w:r>
      <w:r w:rsidRPr="00F56EC6">
        <w:rPr>
          <w:szCs w:val="22"/>
          <w:lang w:val="cs-CZ"/>
        </w:rPr>
        <w:lastRenderedPageBreak/>
        <w:t>v této příbalové informaci, nebo si myslíte, že léčivo nefunguje, obraťte se prosím nejprve na svého veterinárního lékaře. Nežádoucí účinky můžete hlásit také místnímu zástupci držitele rozhodnutí o</w:t>
      </w:r>
      <w:r>
        <w:rPr>
          <w:szCs w:val="22"/>
          <w:lang w:val="cs-CZ"/>
        </w:rPr>
        <w:t> </w:t>
      </w:r>
      <w:r w:rsidRPr="00F56EC6">
        <w:rPr>
          <w:szCs w:val="22"/>
          <w:lang w:val="cs-CZ"/>
        </w:rPr>
        <w:t>registraci s využitím kontaktních údajů uvedených na konci této příbalové informace nebo prostřednictvím národního systému hlášení nežádoucích účinků:</w:t>
      </w:r>
    </w:p>
    <w:p w14:paraId="2695EA91" w14:textId="77777777" w:rsidR="00106967" w:rsidRPr="00F56EC6" w:rsidRDefault="00106967" w:rsidP="00106967">
      <w:pPr>
        <w:jc w:val="both"/>
        <w:rPr>
          <w:szCs w:val="22"/>
          <w:lang w:val="cs-CZ"/>
        </w:rPr>
      </w:pPr>
    </w:p>
    <w:p w14:paraId="60548BCC" w14:textId="77777777" w:rsidR="00106967" w:rsidRPr="00F56EC6" w:rsidRDefault="00106967" w:rsidP="00106967">
      <w:pPr>
        <w:rPr>
          <w:szCs w:val="22"/>
          <w:lang w:val="cs-CZ"/>
        </w:rPr>
      </w:pPr>
      <w:r w:rsidRPr="00F56EC6">
        <w:rPr>
          <w:szCs w:val="22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26840A1F" w14:textId="77777777" w:rsidR="00106967" w:rsidRPr="00F56EC6" w:rsidRDefault="00106967" w:rsidP="00106967">
      <w:pPr>
        <w:rPr>
          <w:szCs w:val="22"/>
          <w:lang w:val="cs-CZ"/>
        </w:rPr>
      </w:pPr>
      <w:r w:rsidRPr="00F56EC6">
        <w:rPr>
          <w:szCs w:val="22"/>
          <w:lang w:val="cs-CZ"/>
        </w:rPr>
        <w:t xml:space="preserve">Ústav pro státní kontrolu veterinárních biopreparátů a léčiv </w:t>
      </w:r>
    </w:p>
    <w:p w14:paraId="32850827" w14:textId="05DA2CF1" w:rsidR="00106967" w:rsidRPr="00F56EC6" w:rsidRDefault="00106967" w:rsidP="00106967">
      <w:pPr>
        <w:rPr>
          <w:szCs w:val="22"/>
          <w:lang w:val="cs-CZ"/>
        </w:rPr>
      </w:pPr>
      <w:r w:rsidRPr="00F56EC6">
        <w:rPr>
          <w:szCs w:val="22"/>
          <w:lang w:val="cs-CZ"/>
        </w:rPr>
        <w:t xml:space="preserve">Hudcova </w:t>
      </w:r>
      <w:r w:rsidR="00DD3E15">
        <w:rPr>
          <w:szCs w:val="22"/>
          <w:lang w:val="cs-CZ"/>
        </w:rPr>
        <w:t>232/</w:t>
      </w:r>
      <w:r w:rsidRPr="00F56EC6">
        <w:rPr>
          <w:szCs w:val="22"/>
          <w:lang w:val="cs-CZ"/>
        </w:rPr>
        <w:t>56a</w:t>
      </w:r>
    </w:p>
    <w:p w14:paraId="34967F2F" w14:textId="77777777" w:rsidR="00106967" w:rsidRPr="00F56EC6" w:rsidRDefault="00106967" w:rsidP="00106967">
      <w:pPr>
        <w:rPr>
          <w:szCs w:val="22"/>
          <w:lang w:val="cs-CZ"/>
        </w:rPr>
      </w:pPr>
      <w:r w:rsidRPr="00F56EC6">
        <w:rPr>
          <w:szCs w:val="22"/>
          <w:lang w:val="cs-CZ"/>
        </w:rPr>
        <w:t>621 00 Brno </w:t>
      </w:r>
    </w:p>
    <w:p w14:paraId="0C99FEB3" w14:textId="77777777" w:rsidR="00106967" w:rsidRPr="00F56EC6" w:rsidRDefault="00106967" w:rsidP="00106967">
      <w:pPr>
        <w:rPr>
          <w:szCs w:val="22"/>
          <w:lang w:val="cs-CZ"/>
        </w:rPr>
      </w:pPr>
      <w:r w:rsidRPr="00F56EC6">
        <w:rPr>
          <w:szCs w:val="22"/>
          <w:lang w:val="cs-CZ"/>
        </w:rPr>
        <w:t xml:space="preserve">e-mail: </w:t>
      </w:r>
      <w:r w:rsidR="00A0518D">
        <w:fldChar w:fldCharType="begin"/>
      </w:r>
      <w:r w:rsidR="00A0518D" w:rsidRPr="00BD1590">
        <w:rPr>
          <w:lang w:val="cs-CZ"/>
        </w:rPr>
        <w:instrText xml:space="preserve"> HYPERLINK "mailto:adr@uskvbl.cz" </w:instrText>
      </w:r>
      <w:r w:rsidR="00A0518D">
        <w:fldChar w:fldCharType="separate"/>
      </w:r>
      <w:r w:rsidRPr="00F56EC6">
        <w:rPr>
          <w:szCs w:val="22"/>
          <w:lang w:val="cs-CZ"/>
        </w:rPr>
        <w:t>adr@uskvbl.cz</w:t>
      </w:r>
      <w:r w:rsidR="00A0518D">
        <w:rPr>
          <w:szCs w:val="22"/>
          <w:lang w:val="cs-CZ"/>
        </w:rPr>
        <w:fldChar w:fldCharType="end"/>
      </w:r>
    </w:p>
    <w:p w14:paraId="0ACCDD97" w14:textId="77777777" w:rsidR="00106967" w:rsidRPr="00F56EC6" w:rsidRDefault="00106967" w:rsidP="00106967">
      <w:pPr>
        <w:jc w:val="both"/>
        <w:rPr>
          <w:szCs w:val="22"/>
          <w:lang w:val="cs-CZ"/>
        </w:rPr>
      </w:pPr>
      <w:r w:rsidRPr="00F56EC6">
        <w:rPr>
          <w:szCs w:val="22"/>
          <w:lang w:val="cs-CZ"/>
        </w:rPr>
        <w:t xml:space="preserve">Webové stránky: </w:t>
      </w:r>
      <w:r w:rsidR="00A0518D">
        <w:fldChar w:fldCharType="begin"/>
      </w:r>
      <w:r w:rsidR="00A0518D" w:rsidRPr="00BD1590">
        <w:rPr>
          <w:lang w:val="cs-CZ"/>
        </w:rPr>
        <w:instrText xml:space="preserve"> HYPERLINK "http://www.uskvbl.cz/cs/farmakovigilance" </w:instrText>
      </w:r>
      <w:r w:rsidR="00A0518D">
        <w:fldChar w:fldCharType="separate"/>
      </w:r>
      <w:r w:rsidRPr="00F56EC6">
        <w:rPr>
          <w:szCs w:val="22"/>
          <w:lang w:val="cs-CZ"/>
        </w:rPr>
        <w:t>http://www.uskvbl.cz/cs/farmakovigilance</w:t>
      </w:r>
      <w:r w:rsidR="00A0518D">
        <w:rPr>
          <w:szCs w:val="22"/>
          <w:lang w:val="cs-CZ"/>
        </w:rPr>
        <w:fldChar w:fldCharType="end"/>
      </w:r>
    </w:p>
    <w:p w14:paraId="13029903" w14:textId="77777777" w:rsidR="009D0CDE" w:rsidRPr="008D23C1" w:rsidRDefault="009D0CDE" w:rsidP="000E2C80">
      <w:pPr>
        <w:spacing w:line="240" w:lineRule="auto"/>
        <w:ind w:left="567" w:hanging="567"/>
        <w:jc w:val="both"/>
        <w:rPr>
          <w:b/>
          <w:szCs w:val="22"/>
          <w:lang w:val="cs-CZ"/>
        </w:rPr>
      </w:pPr>
    </w:p>
    <w:p w14:paraId="07718D9D" w14:textId="77777777" w:rsidR="008D23C1" w:rsidRPr="008D23C1" w:rsidRDefault="008D23C1" w:rsidP="000E2C80">
      <w:pPr>
        <w:spacing w:line="240" w:lineRule="auto"/>
        <w:jc w:val="both"/>
        <w:rPr>
          <w:b/>
          <w:szCs w:val="22"/>
          <w:lang w:val="cs-CZ" w:eastAsia="cs-CZ"/>
        </w:rPr>
      </w:pPr>
      <w:r w:rsidRPr="0053602B">
        <w:rPr>
          <w:b/>
          <w:szCs w:val="22"/>
          <w:highlight w:val="lightGray"/>
          <w:lang w:val="cs-CZ" w:eastAsia="cs-CZ"/>
        </w:rPr>
        <w:t>8.</w:t>
      </w:r>
      <w:r w:rsidRPr="008D23C1">
        <w:rPr>
          <w:b/>
          <w:szCs w:val="22"/>
          <w:lang w:val="cs-CZ" w:eastAsia="cs-CZ"/>
        </w:rPr>
        <w:tab/>
        <w:t>Dávkování pro každý druh, cesty a způsob podání</w:t>
      </w:r>
      <w:r w:rsidRPr="008D23C1" w:rsidDel="00D27267">
        <w:rPr>
          <w:b/>
          <w:szCs w:val="22"/>
          <w:lang w:val="cs-CZ" w:eastAsia="cs-CZ"/>
        </w:rPr>
        <w:t xml:space="preserve"> </w:t>
      </w:r>
    </w:p>
    <w:p w14:paraId="19BFB438" w14:textId="77777777" w:rsidR="009D0CDE" w:rsidRPr="008D23C1" w:rsidRDefault="009D0CDE" w:rsidP="000E2C80">
      <w:pPr>
        <w:spacing w:line="240" w:lineRule="auto"/>
        <w:jc w:val="both"/>
        <w:rPr>
          <w:iCs/>
          <w:szCs w:val="22"/>
          <w:lang w:val="cs-CZ"/>
        </w:rPr>
      </w:pPr>
    </w:p>
    <w:p w14:paraId="1B173179" w14:textId="77E9809F" w:rsidR="00284A57" w:rsidRPr="007637AD" w:rsidRDefault="00284A57" w:rsidP="00284A57">
      <w:pPr>
        <w:jc w:val="both"/>
        <w:rPr>
          <w:szCs w:val="22"/>
          <w:lang w:val="cs-CZ"/>
        </w:rPr>
      </w:pPr>
      <w:r w:rsidRPr="007637AD">
        <w:rPr>
          <w:szCs w:val="22"/>
          <w:lang w:val="cs-CZ"/>
        </w:rPr>
        <w:t xml:space="preserve">Intravenózní </w:t>
      </w:r>
      <w:r w:rsidR="0039528A" w:rsidRPr="000E2C80">
        <w:rPr>
          <w:b/>
          <w:bCs/>
          <w:szCs w:val="22"/>
          <w:lang w:val="cs-CZ"/>
        </w:rPr>
        <w:t>(</w:t>
      </w:r>
      <w:proofErr w:type="spellStart"/>
      <w:r w:rsidR="0039528A" w:rsidRPr="000E2C80">
        <w:rPr>
          <w:b/>
          <w:bCs/>
          <w:szCs w:val="22"/>
          <w:lang w:val="cs-CZ"/>
        </w:rPr>
        <w:t>i.v</w:t>
      </w:r>
      <w:proofErr w:type="spellEnd"/>
      <w:r w:rsidR="0039528A" w:rsidRPr="000E2C80">
        <w:rPr>
          <w:b/>
          <w:bCs/>
          <w:szCs w:val="22"/>
          <w:lang w:val="cs-CZ"/>
        </w:rPr>
        <w:t>.)</w:t>
      </w:r>
      <w:r w:rsidR="0039528A">
        <w:rPr>
          <w:szCs w:val="22"/>
          <w:lang w:val="cs-CZ"/>
        </w:rPr>
        <w:t xml:space="preserve"> </w:t>
      </w:r>
      <w:r w:rsidRPr="007637AD">
        <w:rPr>
          <w:szCs w:val="22"/>
          <w:lang w:val="cs-CZ"/>
        </w:rPr>
        <w:t xml:space="preserve">a subkutánní </w:t>
      </w:r>
      <w:r w:rsidR="0039528A" w:rsidRPr="000E2C80">
        <w:rPr>
          <w:b/>
          <w:bCs/>
          <w:szCs w:val="22"/>
          <w:lang w:val="cs-CZ"/>
        </w:rPr>
        <w:t>(</w:t>
      </w:r>
      <w:proofErr w:type="spellStart"/>
      <w:r w:rsidR="0039528A" w:rsidRPr="000E2C80">
        <w:rPr>
          <w:b/>
          <w:bCs/>
          <w:szCs w:val="22"/>
          <w:lang w:val="cs-CZ"/>
        </w:rPr>
        <w:t>s.c</w:t>
      </w:r>
      <w:proofErr w:type="spellEnd"/>
      <w:r w:rsidR="0039528A" w:rsidRPr="000E2C80">
        <w:rPr>
          <w:b/>
          <w:bCs/>
          <w:szCs w:val="22"/>
          <w:lang w:val="cs-CZ"/>
        </w:rPr>
        <w:t>.)</w:t>
      </w:r>
      <w:r w:rsidR="0039528A">
        <w:rPr>
          <w:szCs w:val="22"/>
          <w:lang w:val="cs-CZ"/>
        </w:rPr>
        <w:t xml:space="preserve"> </w:t>
      </w:r>
      <w:r w:rsidRPr="007637AD">
        <w:rPr>
          <w:szCs w:val="22"/>
          <w:lang w:val="cs-CZ"/>
        </w:rPr>
        <w:t>podání.</w:t>
      </w:r>
    </w:p>
    <w:p w14:paraId="57708CFD" w14:textId="77777777" w:rsidR="00284A57" w:rsidRDefault="00284A57" w:rsidP="008D23C1">
      <w:pPr>
        <w:pStyle w:val="Zkladntextodsazen2"/>
        <w:spacing w:after="0" w:line="240" w:lineRule="auto"/>
        <w:ind w:left="0"/>
        <w:jc w:val="both"/>
        <w:rPr>
          <w:sz w:val="22"/>
          <w:szCs w:val="22"/>
          <w:u w:val="single"/>
          <w:lang w:val="cs-CZ"/>
        </w:rPr>
      </w:pPr>
    </w:p>
    <w:p w14:paraId="6A7181D0" w14:textId="2F74E617" w:rsidR="009D0CDE" w:rsidRPr="008D23C1" w:rsidRDefault="009D0CDE" w:rsidP="000E2C80">
      <w:pPr>
        <w:pStyle w:val="Zkladntextodsazen2"/>
        <w:spacing w:after="0" w:line="240" w:lineRule="auto"/>
        <w:ind w:left="0"/>
        <w:jc w:val="both"/>
        <w:rPr>
          <w:sz w:val="22"/>
          <w:szCs w:val="22"/>
          <w:lang w:val="cs-CZ"/>
        </w:rPr>
      </w:pPr>
      <w:r w:rsidRPr="000E2C80">
        <w:rPr>
          <w:sz w:val="22"/>
          <w:szCs w:val="22"/>
          <w:lang w:val="cs-CZ"/>
        </w:rPr>
        <w:t>Psi</w:t>
      </w:r>
      <w:r w:rsidRPr="00106967">
        <w:rPr>
          <w:sz w:val="22"/>
          <w:szCs w:val="22"/>
          <w:lang w:val="cs-CZ"/>
        </w:rPr>
        <w:t>:</w:t>
      </w:r>
      <w:r w:rsidRPr="008D23C1">
        <w:rPr>
          <w:sz w:val="22"/>
          <w:szCs w:val="22"/>
          <w:lang w:val="cs-CZ"/>
        </w:rPr>
        <w:t xml:space="preserve"> doporučená dávka je 4,0 mg </w:t>
      </w:r>
      <w:proofErr w:type="spellStart"/>
      <w:r w:rsidRPr="008D23C1">
        <w:rPr>
          <w:sz w:val="22"/>
          <w:szCs w:val="22"/>
          <w:lang w:val="cs-CZ"/>
        </w:rPr>
        <w:t>karprofenu</w:t>
      </w:r>
      <w:proofErr w:type="spellEnd"/>
      <w:r w:rsidRPr="008D23C1">
        <w:rPr>
          <w:sz w:val="22"/>
          <w:szCs w:val="22"/>
          <w:lang w:val="cs-CZ"/>
        </w:rPr>
        <w:t xml:space="preserve">/kg živé hmotnosti (1 ml/12,5 kg ž.hm.), </w:t>
      </w:r>
      <w:r w:rsidR="00DD3E15" w:rsidRPr="008D23C1">
        <w:rPr>
          <w:sz w:val="22"/>
          <w:szCs w:val="22"/>
          <w:lang w:val="cs-CZ"/>
        </w:rPr>
        <w:t>intravenózně</w:t>
      </w:r>
      <w:r w:rsidRPr="008D23C1">
        <w:rPr>
          <w:sz w:val="22"/>
          <w:szCs w:val="22"/>
          <w:lang w:val="cs-CZ"/>
        </w:rPr>
        <w:t xml:space="preserve"> nebo subkutánně. </w:t>
      </w:r>
      <w:r w:rsidR="00391EB5">
        <w:rPr>
          <w:sz w:val="22"/>
          <w:szCs w:val="22"/>
          <w:lang w:val="cs-CZ"/>
        </w:rPr>
        <w:t>Veterinární léčivý p</w:t>
      </w:r>
      <w:r w:rsidRPr="008D23C1">
        <w:rPr>
          <w:sz w:val="22"/>
          <w:szCs w:val="22"/>
          <w:lang w:val="cs-CZ"/>
        </w:rPr>
        <w:t xml:space="preserve">řípravek je vhodné používat před operací současně s premedikací nebo indukcí anestezie. </w:t>
      </w:r>
    </w:p>
    <w:p w14:paraId="1F8DEE9E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2307E603" w14:textId="32ABBE8C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  <w:r w:rsidRPr="000E2C80">
        <w:rPr>
          <w:szCs w:val="22"/>
          <w:lang w:val="cs-CZ"/>
        </w:rPr>
        <w:t>Kočky</w:t>
      </w:r>
      <w:r w:rsidRPr="00106967">
        <w:rPr>
          <w:szCs w:val="22"/>
          <w:lang w:val="cs-CZ"/>
        </w:rPr>
        <w:t>: d</w:t>
      </w:r>
      <w:r w:rsidRPr="008D23C1">
        <w:rPr>
          <w:szCs w:val="22"/>
          <w:lang w:val="cs-CZ"/>
        </w:rPr>
        <w:t xml:space="preserve">oporučená dávka je 4 mg </w:t>
      </w:r>
      <w:proofErr w:type="spellStart"/>
      <w:r w:rsidRPr="008D23C1">
        <w:rPr>
          <w:szCs w:val="22"/>
          <w:lang w:val="cs-CZ"/>
        </w:rPr>
        <w:t>karprofenu</w:t>
      </w:r>
      <w:proofErr w:type="spellEnd"/>
      <w:r w:rsidRPr="008D23C1">
        <w:rPr>
          <w:szCs w:val="22"/>
          <w:lang w:val="cs-CZ"/>
        </w:rPr>
        <w:t xml:space="preserve">/ kg živé hmotnosti (0,24 ml/3,0 kg ž.hm.), </w:t>
      </w:r>
      <w:r w:rsidR="00DD3E15" w:rsidRPr="008D23C1">
        <w:rPr>
          <w:szCs w:val="22"/>
          <w:lang w:val="cs-CZ"/>
        </w:rPr>
        <w:t>intravenózně</w:t>
      </w:r>
      <w:r w:rsidRPr="008D23C1">
        <w:rPr>
          <w:szCs w:val="22"/>
          <w:lang w:val="cs-CZ"/>
        </w:rPr>
        <w:t xml:space="preserve"> nebo subkutánně. Přípravek je vhodné používat před operací při indukci anestezie. K přesnému odměření dávky se doporučuje používat kalibrované 1 ml injekční stříkačky. </w:t>
      </w:r>
    </w:p>
    <w:p w14:paraId="010FC6ED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554F30A9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 xml:space="preserve">Z klinických studií u psů a koček vyplývá, že jednorázové perioperační podání </w:t>
      </w:r>
      <w:proofErr w:type="spellStart"/>
      <w:r w:rsidRPr="008D23C1">
        <w:rPr>
          <w:szCs w:val="22"/>
          <w:lang w:val="cs-CZ"/>
        </w:rPr>
        <w:t>karprofenu</w:t>
      </w:r>
      <w:proofErr w:type="spellEnd"/>
      <w:r w:rsidRPr="008D23C1">
        <w:rPr>
          <w:szCs w:val="22"/>
          <w:lang w:val="cs-CZ"/>
        </w:rPr>
        <w:t xml:space="preserve"> během prvních 24hod. je dostatečné; v případě potřeby další analgezie v tomto období může být psům (ale ne u koček) podána poloviční dávka (2 mg/kg) </w:t>
      </w:r>
      <w:proofErr w:type="spellStart"/>
      <w:r w:rsidRPr="008D23C1">
        <w:rPr>
          <w:szCs w:val="22"/>
          <w:lang w:val="cs-CZ"/>
        </w:rPr>
        <w:t>karprofenu</w:t>
      </w:r>
      <w:proofErr w:type="spellEnd"/>
      <w:r w:rsidRPr="008D23C1">
        <w:rPr>
          <w:szCs w:val="22"/>
          <w:lang w:val="cs-CZ"/>
        </w:rPr>
        <w:t xml:space="preserve">, pokud je to nezbytné. </w:t>
      </w:r>
    </w:p>
    <w:p w14:paraId="5A0AB6EF" w14:textId="7B6A9B4F" w:rsidR="009D0CDE" w:rsidRDefault="009D0CDE" w:rsidP="008D23C1">
      <w:pPr>
        <w:spacing w:line="240" w:lineRule="auto"/>
        <w:jc w:val="both"/>
        <w:rPr>
          <w:szCs w:val="22"/>
          <w:lang w:val="cs-CZ"/>
        </w:rPr>
      </w:pPr>
    </w:p>
    <w:p w14:paraId="43D5175E" w14:textId="01B9D190" w:rsidR="00391EB5" w:rsidRDefault="00391EB5" w:rsidP="008D23C1">
      <w:pPr>
        <w:spacing w:line="240" w:lineRule="auto"/>
        <w:jc w:val="both"/>
        <w:rPr>
          <w:szCs w:val="22"/>
          <w:lang w:val="cs-CZ"/>
        </w:rPr>
      </w:pPr>
      <w:r w:rsidRPr="004151C5">
        <w:rPr>
          <w:szCs w:val="22"/>
          <w:lang w:val="cs-CZ"/>
        </w:rPr>
        <w:t xml:space="preserve">Aby bylo zajištěno správné dávkování, měla by být </w:t>
      </w:r>
      <w:r w:rsidR="00DD3E15">
        <w:rPr>
          <w:szCs w:val="22"/>
          <w:lang w:val="cs-CZ"/>
        </w:rPr>
        <w:t>živ</w:t>
      </w:r>
      <w:r w:rsidR="00DD3E15" w:rsidRPr="004151C5">
        <w:rPr>
          <w:szCs w:val="22"/>
          <w:lang w:val="cs-CZ"/>
        </w:rPr>
        <w:t xml:space="preserve">á </w:t>
      </w:r>
      <w:r w:rsidRPr="004151C5">
        <w:rPr>
          <w:szCs w:val="22"/>
          <w:lang w:val="cs-CZ"/>
        </w:rPr>
        <w:t>hmotnost stanovena co nejpřesněji</w:t>
      </w:r>
      <w:r>
        <w:rPr>
          <w:szCs w:val="22"/>
          <w:lang w:val="cs-CZ"/>
        </w:rPr>
        <w:t>.</w:t>
      </w:r>
    </w:p>
    <w:p w14:paraId="1DA703E4" w14:textId="77777777" w:rsidR="00391EB5" w:rsidRPr="008D23C1" w:rsidRDefault="00391EB5" w:rsidP="000E2C80">
      <w:pPr>
        <w:spacing w:line="240" w:lineRule="auto"/>
        <w:jc w:val="both"/>
        <w:rPr>
          <w:szCs w:val="22"/>
          <w:lang w:val="cs-CZ"/>
        </w:rPr>
      </w:pPr>
    </w:p>
    <w:p w14:paraId="6818D792" w14:textId="423B7F1E" w:rsidR="009D0CDE" w:rsidRDefault="009D0CDE" w:rsidP="008D23C1">
      <w:pPr>
        <w:pStyle w:val="Zkladntextodsazen2"/>
        <w:spacing w:after="0" w:line="240" w:lineRule="auto"/>
        <w:ind w:left="0"/>
        <w:jc w:val="both"/>
        <w:rPr>
          <w:sz w:val="22"/>
          <w:szCs w:val="22"/>
          <w:lang w:val="cs-CZ"/>
        </w:rPr>
      </w:pPr>
      <w:r w:rsidRPr="008D23C1">
        <w:rPr>
          <w:sz w:val="22"/>
          <w:szCs w:val="22"/>
          <w:lang w:val="cs-CZ"/>
        </w:rPr>
        <w:t xml:space="preserve">K prodloužení analgetického a protizánětlivého působení v pooperačním období může u psů po parenterální léčbě následovat podání tablet s obsahem </w:t>
      </w:r>
      <w:proofErr w:type="spellStart"/>
      <w:r w:rsidRPr="008D23C1">
        <w:rPr>
          <w:sz w:val="22"/>
          <w:szCs w:val="22"/>
          <w:lang w:val="cs-CZ"/>
        </w:rPr>
        <w:t>karprofenu</w:t>
      </w:r>
      <w:proofErr w:type="spellEnd"/>
      <w:r w:rsidRPr="008D23C1">
        <w:rPr>
          <w:sz w:val="22"/>
          <w:szCs w:val="22"/>
          <w:lang w:val="cs-CZ"/>
        </w:rPr>
        <w:t xml:space="preserve"> v dávce 4 mg/kg/den po dobu až 5 dnů.</w:t>
      </w:r>
    </w:p>
    <w:p w14:paraId="7F886D0C" w14:textId="69A032FD" w:rsidR="00391EB5" w:rsidRDefault="00391EB5" w:rsidP="008D23C1">
      <w:pPr>
        <w:pStyle w:val="Zkladntextodsazen2"/>
        <w:spacing w:after="0" w:line="240" w:lineRule="auto"/>
        <w:ind w:left="0"/>
        <w:jc w:val="both"/>
        <w:rPr>
          <w:sz w:val="22"/>
          <w:szCs w:val="22"/>
          <w:lang w:val="cs-CZ"/>
        </w:rPr>
      </w:pPr>
    </w:p>
    <w:p w14:paraId="3A9B4963" w14:textId="77777777" w:rsidR="008D23C1" w:rsidRPr="008D23C1" w:rsidRDefault="008D23C1" w:rsidP="000E2C80">
      <w:pPr>
        <w:pStyle w:val="Style1"/>
        <w:keepNext/>
        <w:jc w:val="both"/>
        <w:rPr>
          <w:lang w:eastAsia="cs-CZ"/>
        </w:rPr>
      </w:pPr>
      <w:r w:rsidRPr="0053602B">
        <w:rPr>
          <w:highlight w:val="lightGray"/>
          <w:lang w:eastAsia="cs-CZ"/>
        </w:rPr>
        <w:t>9.</w:t>
      </w:r>
      <w:r w:rsidRPr="008D23C1">
        <w:rPr>
          <w:lang w:eastAsia="cs-CZ"/>
        </w:rPr>
        <w:tab/>
        <w:t>Informace o správném podávání</w:t>
      </w:r>
    </w:p>
    <w:p w14:paraId="1693F1EB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43D410B4" w14:textId="77777777" w:rsidR="00106967" w:rsidRDefault="009D0CDE" w:rsidP="008D23C1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 xml:space="preserve">Nepodávat intramuskulárně. </w:t>
      </w:r>
    </w:p>
    <w:p w14:paraId="44B494C5" w14:textId="66F0ED7F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Přípravek by se měl podávat jehlou o síle 21G.</w:t>
      </w:r>
    </w:p>
    <w:p w14:paraId="5EBC1F95" w14:textId="4B63D199" w:rsidR="009D0CDE" w:rsidRPr="008D23C1" w:rsidRDefault="009D0CDE" w:rsidP="000E2C80">
      <w:pPr>
        <w:pStyle w:val="Zkladntextodsazen2"/>
        <w:spacing w:after="0" w:line="240" w:lineRule="auto"/>
        <w:ind w:left="0"/>
        <w:jc w:val="both"/>
        <w:rPr>
          <w:sz w:val="22"/>
          <w:szCs w:val="22"/>
          <w:lang w:val="cs-CZ"/>
        </w:rPr>
      </w:pPr>
      <w:r w:rsidRPr="008D23C1">
        <w:rPr>
          <w:sz w:val="22"/>
          <w:szCs w:val="22"/>
          <w:lang w:val="cs-CZ"/>
        </w:rPr>
        <w:t>Zátku lze propíchnout max</w:t>
      </w:r>
      <w:r w:rsidR="00DD3E15">
        <w:rPr>
          <w:sz w:val="22"/>
          <w:szCs w:val="22"/>
          <w:lang w:val="cs-CZ"/>
        </w:rPr>
        <w:t>.</w:t>
      </w:r>
      <w:r w:rsidRPr="008D23C1">
        <w:rPr>
          <w:sz w:val="22"/>
          <w:szCs w:val="22"/>
          <w:lang w:val="cs-CZ"/>
        </w:rPr>
        <w:t xml:space="preserve"> 20krát. Při více než 20násobném propichování použijte odběrovou jehlu.</w:t>
      </w:r>
    </w:p>
    <w:p w14:paraId="1841091C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5C230322" w14:textId="77777777" w:rsidR="008D23C1" w:rsidRPr="008D23C1" w:rsidRDefault="008D23C1" w:rsidP="000E2C80">
      <w:pPr>
        <w:pStyle w:val="Style1"/>
        <w:jc w:val="both"/>
        <w:rPr>
          <w:lang w:eastAsia="cs-CZ"/>
        </w:rPr>
      </w:pPr>
      <w:r w:rsidRPr="0053602B">
        <w:rPr>
          <w:highlight w:val="lightGray"/>
          <w:lang w:eastAsia="cs-CZ"/>
        </w:rPr>
        <w:t>10.</w:t>
      </w:r>
      <w:r w:rsidRPr="008D23C1">
        <w:rPr>
          <w:lang w:eastAsia="cs-CZ"/>
        </w:rPr>
        <w:tab/>
        <w:t>Ochranné lhůty</w:t>
      </w:r>
    </w:p>
    <w:p w14:paraId="3926E687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24669BD7" w14:textId="1EA700E5" w:rsidR="009D0CDE" w:rsidRPr="008D23C1" w:rsidRDefault="00391EB5" w:rsidP="000E2C80">
      <w:pPr>
        <w:spacing w:line="240" w:lineRule="auto"/>
        <w:jc w:val="both"/>
        <w:outlineLvl w:val="0"/>
        <w:rPr>
          <w:szCs w:val="22"/>
          <w:lang w:val="cs-CZ"/>
        </w:rPr>
      </w:pPr>
      <w:r>
        <w:rPr>
          <w:szCs w:val="22"/>
          <w:lang w:val="cs-CZ"/>
        </w:rPr>
        <w:t>Neuplatňuje se.</w:t>
      </w:r>
    </w:p>
    <w:p w14:paraId="236E6899" w14:textId="77777777" w:rsidR="009D0CDE" w:rsidRPr="008D23C1" w:rsidRDefault="009D0CDE" w:rsidP="000E2C80">
      <w:pPr>
        <w:spacing w:line="240" w:lineRule="auto"/>
        <w:jc w:val="both"/>
        <w:rPr>
          <w:iCs/>
          <w:szCs w:val="22"/>
          <w:lang w:val="cs-CZ"/>
        </w:rPr>
      </w:pPr>
    </w:p>
    <w:p w14:paraId="1BF6A103" w14:textId="77777777" w:rsidR="008D23C1" w:rsidRPr="008D23C1" w:rsidRDefault="008D23C1" w:rsidP="000E2C80">
      <w:pPr>
        <w:pStyle w:val="Style1"/>
        <w:jc w:val="both"/>
        <w:rPr>
          <w:lang w:eastAsia="cs-CZ"/>
        </w:rPr>
      </w:pPr>
      <w:r w:rsidRPr="0053602B">
        <w:rPr>
          <w:highlight w:val="lightGray"/>
          <w:lang w:eastAsia="cs-CZ"/>
        </w:rPr>
        <w:t>11.</w:t>
      </w:r>
      <w:r w:rsidRPr="008D23C1">
        <w:rPr>
          <w:lang w:eastAsia="cs-CZ"/>
        </w:rPr>
        <w:tab/>
        <w:t>Zvláštní opatření pro uchovávání</w:t>
      </w:r>
    </w:p>
    <w:p w14:paraId="31D92285" w14:textId="77777777" w:rsidR="009D0CDE" w:rsidRPr="008D23C1" w:rsidRDefault="009D0CDE" w:rsidP="000E2C80">
      <w:pPr>
        <w:numPr>
          <w:ilvl w:val="12"/>
          <w:numId w:val="0"/>
        </w:numPr>
        <w:spacing w:line="240" w:lineRule="auto"/>
        <w:ind w:right="-2"/>
        <w:jc w:val="both"/>
        <w:rPr>
          <w:szCs w:val="22"/>
          <w:lang w:val="cs-CZ"/>
        </w:rPr>
      </w:pPr>
    </w:p>
    <w:p w14:paraId="720E2706" w14:textId="50A9267A" w:rsidR="009D0CDE" w:rsidRPr="008D23C1" w:rsidRDefault="009D0CDE" w:rsidP="000E2C80">
      <w:pPr>
        <w:numPr>
          <w:ilvl w:val="12"/>
          <w:numId w:val="0"/>
        </w:numPr>
        <w:spacing w:line="240" w:lineRule="auto"/>
        <w:ind w:right="-2"/>
        <w:jc w:val="both"/>
        <w:outlineLvl w:val="0"/>
        <w:rPr>
          <w:szCs w:val="22"/>
          <w:lang w:val="cs-CZ"/>
        </w:rPr>
      </w:pPr>
      <w:r w:rsidRPr="008D23C1">
        <w:rPr>
          <w:szCs w:val="22"/>
          <w:lang w:val="cs-CZ"/>
        </w:rPr>
        <w:t>Uchováv</w:t>
      </w:r>
      <w:r w:rsidR="00703BB7">
        <w:rPr>
          <w:szCs w:val="22"/>
          <w:lang w:val="cs-CZ"/>
        </w:rPr>
        <w:t>ejte</w:t>
      </w:r>
      <w:r w:rsidRPr="008D23C1">
        <w:rPr>
          <w:szCs w:val="22"/>
          <w:lang w:val="cs-CZ"/>
        </w:rPr>
        <w:t xml:space="preserve"> mimo</w:t>
      </w:r>
      <w:r w:rsidR="00391EB5">
        <w:rPr>
          <w:szCs w:val="22"/>
          <w:lang w:val="cs-CZ"/>
        </w:rPr>
        <w:t xml:space="preserve"> dohled a</w:t>
      </w:r>
      <w:r w:rsidRPr="008D23C1">
        <w:rPr>
          <w:szCs w:val="22"/>
          <w:lang w:val="cs-CZ"/>
        </w:rPr>
        <w:t xml:space="preserve"> dosah dětí.</w:t>
      </w:r>
    </w:p>
    <w:p w14:paraId="23FC01CD" w14:textId="77777777" w:rsidR="009D0CDE" w:rsidRPr="008D23C1" w:rsidRDefault="009D0CDE" w:rsidP="000E2C80">
      <w:pPr>
        <w:numPr>
          <w:ilvl w:val="12"/>
          <w:numId w:val="0"/>
        </w:numPr>
        <w:spacing w:line="240" w:lineRule="auto"/>
        <w:ind w:right="-2"/>
        <w:jc w:val="both"/>
        <w:rPr>
          <w:szCs w:val="22"/>
          <w:lang w:val="cs-CZ"/>
        </w:rPr>
      </w:pPr>
    </w:p>
    <w:p w14:paraId="15DDC940" w14:textId="7169E575" w:rsidR="009D0CDE" w:rsidRPr="008D23C1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Uchovávejte v chladničce (2–8 °C).</w:t>
      </w:r>
    </w:p>
    <w:p w14:paraId="787E636E" w14:textId="77777777" w:rsidR="009D0CDE" w:rsidRPr="008D23C1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Chraňte před mrazem.</w:t>
      </w:r>
    </w:p>
    <w:p w14:paraId="7B9418D2" w14:textId="77777777" w:rsidR="00391EB5" w:rsidRPr="008D23C1" w:rsidRDefault="00391EB5" w:rsidP="00391EB5">
      <w:pPr>
        <w:spacing w:line="240" w:lineRule="auto"/>
        <w:ind w:right="-318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Po prvním otevření uchovávejte při teplotě do 25 °C.</w:t>
      </w:r>
    </w:p>
    <w:p w14:paraId="23B9623B" w14:textId="77777777" w:rsidR="009D0CDE" w:rsidRPr="008D23C1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</w:p>
    <w:p w14:paraId="19FA413C" w14:textId="0435F3C3" w:rsidR="009D0CDE" w:rsidRPr="008D23C1" w:rsidRDefault="009D0CDE" w:rsidP="0053602B">
      <w:pPr>
        <w:spacing w:line="240" w:lineRule="auto"/>
        <w:ind w:right="-1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 xml:space="preserve">Nepoužívejte tento veterinární léčivý přípravek po uplynutí doby použitelnosti uvedené na etiketě </w:t>
      </w:r>
      <w:r w:rsidR="005060D7" w:rsidRPr="008D23C1">
        <w:rPr>
          <w:szCs w:val="22"/>
          <w:lang w:val="cs-CZ"/>
        </w:rPr>
        <w:t>a</w:t>
      </w:r>
      <w:r w:rsidR="005060D7">
        <w:rPr>
          <w:szCs w:val="22"/>
          <w:lang w:val="cs-CZ"/>
        </w:rPr>
        <w:t> </w:t>
      </w:r>
      <w:r w:rsidRPr="008D23C1">
        <w:rPr>
          <w:szCs w:val="22"/>
          <w:lang w:val="cs-CZ"/>
        </w:rPr>
        <w:t>krabičce po E</w:t>
      </w:r>
      <w:r w:rsidR="00391EB5">
        <w:rPr>
          <w:szCs w:val="22"/>
          <w:lang w:val="cs-CZ"/>
        </w:rPr>
        <w:t>xp</w:t>
      </w:r>
      <w:r w:rsidRPr="008D23C1">
        <w:rPr>
          <w:szCs w:val="22"/>
          <w:lang w:val="cs-CZ"/>
        </w:rPr>
        <w:t>. Doba použitelnosti končí posledním dnem v uvedeném měsíci.</w:t>
      </w:r>
    </w:p>
    <w:p w14:paraId="30A55F6F" w14:textId="77777777" w:rsidR="009D0CDE" w:rsidRPr="008D23C1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</w:p>
    <w:p w14:paraId="534AE77C" w14:textId="77777777" w:rsidR="009D0CDE" w:rsidRPr="008D23C1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 xml:space="preserve">Doba použitelnosti po prvním otevření vnitřního obalu: 28 dní. </w:t>
      </w:r>
    </w:p>
    <w:p w14:paraId="2D843167" w14:textId="77777777" w:rsidR="009D0CDE" w:rsidRPr="008D23C1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</w:p>
    <w:p w14:paraId="60670EFF" w14:textId="77777777" w:rsidR="008D23C1" w:rsidRPr="008D23C1" w:rsidRDefault="008D23C1" w:rsidP="000E2C80">
      <w:pPr>
        <w:pStyle w:val="Style1"/>
        <w:keepNext/>
        <w:jc w:val="both"/>
        <w:rPr>
          <w:lang w:eastAsia="cs-CZ"/>
        </w:rPr>
      </w:pPr>
      <w:r w:rsidRPr="0053602B">
        <w:rPr>
          <w:highlight w:val="lightGray"/>
          <w:lang w:eastAsia="cs-CZ"/>
        </w:rPr>
        <w:t>12.</w:t>
      </w:r>
      <w:r w:rsidRPr="008D23C1">
        <w:rPr>
          <w:lang w:eastAsia="cs-CZ"/>
        </w:rPr>
        <w:tab/>
        <w:t>Zvláštní opatření pro likvidaci</w:t>
      </w:r>
    </w:p>
    <w:p w14:paraId="35C4DA58" w14:textId="77777777" w:rsidR="009D0CDE" w:rsidRPr="008D23C1" w:rsidRDefault="009D0CDE" w:rsidP="005060D7">
      <w:pPr>
        <w:keepNext/>
        <w:spacing w:line="240" w:lineRule="auto"/>
        <w:jc w:val="both"/>
        <w:rPr>
          <w:szCs w:val="22"/>
          <w:lang w:val="cs-CZ"/>
        </w:rPr>
      </w:pPr>
    </w:p>
    <w:p w14:paraId="4F4F7C19" w14:textId="77777777" w:rsidR="00391EB5" w:rsidRPr="00F56EC6" w:rsidRDefault="00391EB5" w:rsidP="00391EB5">
      <w:pPr>
        <w:jc w:val="both"/>
        <w:rPr>
          <w:szCs w:val="22"/>
          <w:lang w:val="cs-CZ" w:eastAsia="cs-CZ"/>
        </w:rPr>
      </w:pPr>
      <w:r w:rsidRPr="00F56EC6">
        <w:rPr>
          <w:szCs w:val="22"/>
          <w:lang w:val="cs-CZ" w:eastAsia="cs-CZ"/>
        </w:rPr>
        <w:t xml:space="preserve">Léčivé přípravky se nesmí likvidovat prostřednictvím odpadní vody či domovního odpadu. </w:t>
      </w:r>
    </w:p>
    <w:p w14:paraId="3758BB53" w14:textId="77777777" w:rsidR="00391EB5" w:rsidRDefault="00391EB5" w:rsidP="00391EB5">
      <w:pPr>
        <w:jc w:val="both"/>
        <w:rPr>
          <w:szCs w:val="22"/>
          <w:lang w:val="cs-CZ" w:eastAsia="cs-CZ"/>
        </w:rPr>
      </w:pPr>
    </w:p>
    <w:p w14:paraId="046680D7" w14:textId="77777777" w:rsidR="00391EB5" w:rsidRPr="00F56EC6" w:rsidRDefault="00391EB5" w:rsidP="00391EB5">
      <w:pPr>
        <w:jc w:val="both"/>
        <w:rPr>
          <w:szCs w:val="22"/>
          <w:lang w:val="cs-CZ" w:eastAsia="cs-CZ"/>
        </w:rPr>
      </w:pPr>
      <w:r w:rsidRPr="00F56EC6">
        <w:rPr>
          <w:lang w:val="cs-CZ"/>
        </w:rPr>
        <w:t xml:space="preserve">Všechen nepoužitý veterinární léčivý přípravek nebo odpad, který pochází z tohoto přípravku, likvidujte odevzdáním v souladu s místními požadavky a platnými národními systémy sběru. </w:t>
      </w:r>
      <w:r w:rsidRPr="00F56EC6">
        <w:rPr>
          <w:szCs w:val="22"/>
          <w:lang w:val="cs-CZ" w:eastAsia="cs-CZ"/>
        </w:rPr>
        <w:t>Tato opatření napomáhají chránit životní prostředí.</w:t>
      </w:r>
    </w:p>
    <w:p w14:paraId="6B6972B2" w14:textId="77777777" w:rsidR="00391EB5" w:rsidRPr="00F56EC6" w:rsidRDefault="00391EB5" w:rsidP="00391EB5">
      <w:pPr>
        <w:jc w:val="both"/>
        <w:rPr>
          <w:szCs w:val="22"/>
          <w:lang w:val="cs-CZ" w:eastAsia="cs-CZ"/>
        </w:rPr>
      </w:pPr>
    </w:p>
    <w:p w14:paraId="47621884" w14:textId="24D5375D" w:rsidR="00391EB5" w:rsidRPr="00F56EC6" w:rsidRDefault="00391EB5" w:rsidP="00391EB5">
      <w:pPr>
        <w:jc w:val="both"/>
        <w:rPr>
          <w:szCs w:val="22"/>
          <w:lang w:val="cs-CZ" w:eastAsia="cs-CZ"/>
        </w:rPr>
      </w:pPr>
      <w:r w:rsidRPr="00F56EC6">
        <w:rPr>
          <w:szCs w:val="22"/>
          <w:lang w:val="cs-CZ" w:eastAsia="cs-CZ"/>
        </w:rPr>
        <w:t>O možnostech likvidace nepotřebných léčivých přípravků se poraďte s </w:t>
      </w:r>
      <w:r w:rsidR="004E43F7">
        <w:rPr>
          <w:szCs w:val="22"/>
          <w:lang w:val="cs-CZ" w:eastAsia="cs-CZ"/>
        </w:rPr>
        <w:t>v</w:t>
      </w:r>
      <w:r w:rsidRPr="00F56EC6">
        <w:rPr>
          <w:szCs w:val="22"/>
          <w:lang w:val="cs-CZ" w:eastAsia="cs-CZ"/>
        </w:rPr>
        <w:t>aším veterinárním lékařem</w:t>
      </w:r>
      <w:r w:rsidR="00BB257A">
        <w:rPr>
          <w:szCs w:val="22"/>
          <w:lang w:val="cs-CZ" w:eastAsia="cs-CZ"/>
        </w:rPr>
        <w:t xml:space="preserve"> nebo lékárníkem</w:t>
      </w:r>
      <w:r w:rsidRPr="00F56EC6">
        <w:rPr>
          <w:szCs w:val="22"/>
          <w:lang w:val="cs-CZ" w:eastAsia="cs-CZ"/>
        </w:rPr>
        <w:t xml:space="preserve">. </w:t>
      </w:r>
    </w:p>
    <w:p w14:paraId="0BB67438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1E9BCD90" w14:textId="77777777" w:rsidR="008D23C1" w:rsidRPr="008D23C1" w:rsidRDefault="008D23C1" w:rsidP="008D23C1">
      <w:pPr>
        <w:pStyle w:val="Style1"/>
        <w:jc w:val="both"/>
        <w:rPr>
          <w:lang w:eastAsia="cs-CZ"/>
        </w:rPr>
      </w:pPr>
      <w:r w:rsidRPr="0053602B">
        <w:rPr>
          <w:highlight w:val="lightGray"/>
          <w:lang w:eastAsia="cs-CZ"/>
        </w:rPr>
        <w:t>13.</w:t>
      </w:r>
      <w:r w:rsidRPr="008D23C1">
        <w:rPr>
          <w:lang w:eastAsia="cs-CZ"/>
        </w:rPr>
        <w:tab/>
        <w:t>Klasifikace veterinárních léčivých přípravků</w:t>
      </w:r>
    </w:p>
    <w:p w14:paraId="5A29C1B0" w14:textId="77777777" w:rsidR="008D23C1" w:rsidRPr="008D23C1" w:rsidRDefault="008D23C1" w:rsidP="000E2C80">
      <w:pPr>
        <w:spacing w:line="240" w:lineRule="auto"/>
        <w:jc w:val="both"/>
        <w:rPr>
          <w:b/>
          <w:szCs w:val="22"/>
          <w:lang w:val="cs-CZ"/>
        </w:rPr>
      </w:pPr>
    </w:p>
    <w:p w14:paraId="0EF85582" w14:textId="77777777" w:rsidR="008D23C1" w:rsidRPr="008D23C1" w:rsidRDefault="008D23C1" w:rsidP="000E2C80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Veterinární léčivý přípravek je vydáván pouze na předpis.</w:t>
      </w:r>
    </w:p>
    <w:p w14:paraId="1481F05C" w14:textId="77777777" w:rsidR="009D0CDE" w:rsidRPr="008D23C1" w:rsidRDefault="009D0CDE" w:rsidP="000E2C80">
      <w:pPr>
        <w:spacing w:line="240" w:lineRule="auto"/>
        <w:ind w:right="-318"/>
        <w:jc w:val="both"/>
        <w:rPr>
          <w:szCs w:val="22"/>
          <w:lang w:val="cs-CZ"/>
        </w:rPr>
      </w:pPr>
    </w:p>
    <w:p w14:paraId="0C5B02FA" w14:textId="77777777" w:rsidR="008D23C1" w:rsidRPr="008D23C1" w:rsidRDefault="008D23C1" w:rsidP="008D23C1">
      <w:pPr>
        <w:pStyle w:val="Style1"/>
        <w:jc w:val="both"/>
        <w:rPr>
          <w:lang w:eastAsia="cs-CZ"/>
        </w:rPr>
      </w:pPr>
      <w:r w:rsidRPr="0053602B">
        <w:rPr>
          <w:highlight w:val="lightGray"/>
          <w:lang w:eastAsia="cs-CZ"/>
        </w:rPr>
        <w:t>14.</w:t>
      </w:r>
      <w:r w:rsidRPr="008D23C1">
        <w:rPr>
          <w:lang w:eastAsia="cs-CZ"/>
        </w:rPr>
        <w:tab/>
        <w:t>Registrační čísla a velikosti balení</w:t>
      </w:r>
    </w:p>
    <w:p w14:paraId="3A8224D7" w14:textId="65FDD61A" w:rsidR="00391EB5" w:rsidRDefault="00391EB5" w:rsidP="008D23C1">
      <w:pPr>
        <w:spacing w:line="240" w:lineRule="auto"/>
        <w:ind w:right="-318"/>
        <w:jc w:val="both"/>
        <w:rPr>
          <w:szCs w:val="22"/>
          <w:lang w:val="cs-CZ"/>
        </w:rPr>
      </w:pPr>
    </w:p>
    <w:p w14:paraId="00380242" w14:textId="77777777" w:rsidR="00391EB5" w:rsidRPr="00B454AF" w:rsidRDefault="00391EB5" w:rsidP="00391EB5">
      <w:pPr>
        <w:spacing w:line="240" w:lineRule="auto"/>
        <w:jc w:val="both"/>
        <w:rPr>
          <w:szCs w:val="22"/>
          <w:lang w:val="cs-CZ"/>
        </w:rPr>
      </w:pPr>
      <w:r w:rsidRPr="00B454AF">
        <w:rPr>
          <w:szCs w:val="22"/>
          <w:lang w:val="cs-CZ"/>
        </w:rPr>
        <w:t>96/005/11-C</w:t>
      </w:r>
    </w:p>
    <w:p w14:paraId="560B7F4E" w14:textId="3DC39AC3" w:rsidR="00391EB5" w:rsidRDefault="00391EB5" w:rsidP="008D23C1">
      <w:pPr>
        <w:spacing w:line="240" w:lineRule="auto"/>
        <w:ind w:right="-318"/>
        <w:jc w:val="both"/>
        <w:rPr>
          <w:szCs w:val="22"/>
          <w:lang w:val="cs-CZ"/>
        </w:rPr>
      </w:pPr>
    </w:p>
    <w:p w14:paraId="3D79CF31" w14:textId="22B9B51E" w:rsidR="00391EB5" w:rsidRPr="00B454AF" w:rsidRDefault="00391EB5" w:rsidP="00391EB5">
      <w:pPr>
        <w:pStyle w:val="Bezmezer"/>
        <w:jc w:val="both"/>
        <w:rPr>
          <w:sz w:val="22"/>
          <w:szCs w:val="22"/>
          <w:lang w:val="cs-CZ"/>
        </w:rPr>
      </w:pPr>
      <w:r w:rsidRPr="00B454AF">
        <w:rPr>
          <w:sz w:val="22"/>
          <w:szCs w:val="22"/>
          <w:lang w:val="cs-CZ"/>
        </w:rPr>
        <w:t xml:space="preserve">1 lahvička obsahující 20 ml injekčního roztoku s gumovou zátkou a hliníkovou </w:t>
      </w:r>
      <w:proofErr w:type="spellStart"/>
      <w:r w:rsidRPr="00B454AF">
        <w:rPr>
          <w:sz w:val="22"/>
          <w:szCs w:val="22"/>
          <w:lang w:val="cs-CZ"/>
        </w:rPr>
        <w:t>pertlí</w:t>
      </w:r>
      <w:proofErr w:type="spellEnd"/>
      <w:r w:rsidRPr="00B454AF">
        <w:rPr>
          <w:sz w:val="22"/>
          <w:szCs w:val="22"/>
          <w:lang w:val="cs-CZ"/>
        </w:rPr>
        <w:t xml:space="preserve"> v krabičce.</w:t>
      </w:r>
    </w:p>
    <w:p w14:paraId="454F9E1E" w14:textId="6C7D66C5" w:rsidR="008D23C1" w:rsidRPr="008D23C1" w:rsidRDefault="008D23C1" w:rsidP="000E2C80">
      <w:pPr>
        <w:spacing w:line="240" w:lineRule="auto"/>
        <w:ind w:right="-318"/>
        <w:jc w:val="both"/>
        <w:rPr>
          <w:szCs w:val="22"/>
          <w:lang w:val="cs-CZ"/>
        </w:rPr>
      </w:pPr>
    </w:p>
    <w:p w14:paraId="1E9F4180" w14:textId="77777777" w:rsidR="008D23C1" w:rsidRPr="008D23C1" w:rsidRDefault="008D23C1" w:rsidP="008D23C1">
      <w:pPr>
        <w:pStyle w:val="Style1"/>
        <w:jc w:val="both"/>
        <w:rPr>
          <w:lang w:eastAsia="cs-CZ"/>
        </w:rPr>
      </w:pPr>
      <w:r w:rsidRPr="0053602B">
        <w:rPr>
          <w:highlight w:val="lightGray"/>
          <w:lang w:eastAsia="cs-CZ"/>
        </w:rPr>
        <w:t>15.</w:t>
      </w:r>
      <w:r w:rsidRPr="008D23C1">
        <w:rPr>
          <w:lang w:eastAsia="cs-CZ"/>
        </w:rPr>
        <w:tab/>
        <w:t>Datum poslední revize příbalové informace</w:t>
      </w:r>
    </w:p>
    <w:p w14:paraId="5EA07DDA" w14:textId="77777777" w:rsidR="008D23C1" w:rsidRPr="008D23C1" w:rsidRDefault="008D23C1" w:rsidP="000E2C80">
      <w:pPr>
        <w:spacing w:line="240" w:lineRule="auto"/>
        <w:jc w:val="both"/>
        <w:rPr>
          <w:b/>
          <w:szCs w:val="22"/>
          <w:lang w:val="cs-CZ"/>
        </w:rPr>
      </w:pPr>
    </w:p>
    <w:p w14:paraId="47FC9CCE" w14:textId="0040AD73" w:rsidR="008D23C1" w:rsidRPr="0053602B" w:rsidRDefault="00DD3E15" w:rsidP="008D23C1">
      <w:pPr>
        <w:spacing w:line="240" w:lineRule="auto"/>
        <w:jc w:val="both"/>
        <w:rPr>
          <w:szCs w:val="22"/>
          <w:lang w:val="cs-CZ"/>
        </w:rPr>
      </w:pPr>
      <w:r w:rsidRPr="0053602B">
        <w:rPr>
          <w:szCs w:val="22"/>
          <w:lang w:val="cs-CZ"/>
        </w:rPr>
        <w:t>01/2025</w:t>
      </w:r>
    </w:p>
    <w:p w14:paraId="4EFA6A49" w14:textId="77777777" w:rsidR="00C76E74" w:rsidRPr="008D23C1" w:rsidRDefault="00C76E74" w:rsidP="000E2C80">
      <w:pPr>
        <w:spacing w:line="240" w:lineRule="auto"/>
        <w:jc w:val="both"/>
        <w:rPr>
          <w:b/>
          <w:szCs w:val="22"/>
          <w:lang w:val="cs-CZ"/>
        </w:rPr>
      </w:pPr>
    </w:p>
    <w:p w14:paraId="41185371" w14:textId="77777777" w:rsidR="008D23C1" w:rsidRPr="008D23C1" w:rsidRDefault="008D23C1" w:rsidP="005060D7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Podrobné informace o tomto veterinárním léčivém přípravku jsou k dispozici v databázi přípravků Unie (</w:t>
      </w:r>
      <w:r w:rsidR="00A0518D">
        <w:fldChar w:fldCharType="begin"/>
      </w:r>
      <w:r w:rsidR="00A0518D" w:rsidRPr="00BD1590">
        <w:rPr>
          <w:lang w:val="cs-CZ"/>
        </w:rPr>
        <w:instrText xml:space="preserve"> HYPERLINK "https://medicines.health.europa.eu/veterinary" </w:instrText>
      </w:r>
      <w:r w:rsidR="00A0518D">
        <w:fldChar w:fldCharType="separate"/>
      </w:r>
      <w:r w:rsidRPr="008D23C1">
        <w:rPr>
          <w:rStyle w:val="Hypertextovodkaz"/>
          <w:szCs w:val="22"/>
          <w:lang w:val="cs-CZ"/>
        </w:rPr>
        <w:t>https://medicines.health.europa.eu/veterinary</w:t>
      </w:r>
      <w:r w:rsidR="00A0518D">
        <w:rPr>
          <w:rStyle w:val="Hypertextovodkaz"/>
          <w:szCs w:val="22"/>
          <w:lang w:val="cs-CZ"/>
        </w:rPr>
        <w:fldChar w:fldCharType="end"/>
      </w:r>
      <w:r w:rsidRPr="008D23C1">
        <w:rPr>
          <w:szCs w:val="22"/>
          <w:lang w:val="cs-CZ"/>
        </w:rPr>
        <w:t>).</w:t>
      </w:r>
    </w:p>
    <w:p w14:paraId="5D45F043" w14:textId="77777777" w:rsidR="008D23C1" w:rsidRPr="008D23C1" w:rsidRDefault="008D23C1" w:rsidP="005060D7">
      <w:pPr>
        <w:spacing w:line="240" w:lineRule="auto"/>
        <w:jc w:val="both"/>
        <w:rPr>
          <w:szCs w:val="22"/>
          <w:lang w:val="cs-CZ"/>
        </w:rPr>
      </w:pPr>
    </w:p>
    <w:p w14:paraId="5F1F2EDA" w14:textId="77777777" w:rsidR="008D23C1" w:rsidRPr="008D23C1" w:rsidRDefault="008D23C1" w:rsidP="005060D7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>Podrobné informace o tomto veterinárním léčivém přípravku naleznete také v národní databázi (</w:t>
      </w:r>
      <w:r w:rsidR="00A0518D">
        <w:fldChar w:fldCharType="begin"/>
      </w:r>
      <w:r w:rsidR="00A0518D" w:rsidRPr="00BD1590">
        <w:rPr>
          <w:lang w:val="cs-CZ"/>
        </w:rPr>
        <w:instrText xml:space="preserve"> HYPERLINK "https://www.uskvbl.cz" </w:instrText>
      </w:r>
      <w:r w:rsidR="00A0518D">
        <w:fldChar w:fldCharType="separate"/>
      </w:r>
      <w:r w:rsidRPr="008D23C1">
        <w:rPr>
          <w:rStyle w:val="Hypertextovodkaz"/>
          <w:szCs w:val="22"/>
          <w:lang w:val="cs-CZ"/>
        </w:rPr>
        <w:t>https://www.uskvbl.cz</w:t>
      </w:r>
      <w:r w:rsidR="00A0518D">
        <w:rPr>
          <w:rStyle w:val="Hypertextovodkaz"/>
          <w:szCs w:val="22"/>
          <w:lang w:val="cs-CZ"/>
        </w:rPr>
        <w:fldChar w:fldCharType="end"/>
      </w:r>
      <w:r w:rsidRPr="008D23C1">
        <w:rPr>
          <w:szCs w:val="22"/>
          <w:lang w:val="cs-CZ"/>
        </w:rPr>
        <w:t>).</w:t>
      </w:r>
    </w:p>
    <w:p w14:paraId="21DC8D2D" w14:textId="77777777" w:rsidR="008D23C1" w:rsidRPr="008D23C1" w:rsidRDefault="008D23C1" w:rsidP="005060D7">
      <w:pPr>
        <w:spacing w:line="240" w:lineRule="auto"/>
        <w:jc w:val="both"/>
        <w:rPr>
          <w:szCs w:val="22"/>
          <w:lang w:val="cs-CZ"/>
        </w:rPr>
      </w:pPr>
    </w:p>
    <w:p w14:paraId="4B55AF6C" w14:textId="77777777" w:rsidR="008D23C1" w:rsidRPr="008D23C1" w:rsidRDefault="008D23C1" w:rsidP="000E2C80">
      <w:pPr>
        <w:pStyle w:val="Style1"/>
        <w:jc w:val="both"/>
        <w:rPr>
          <w:lang w:eastAsia="cs-CZ"/>
        </w:rPr>
      </w:pPr>
      <w:r w:rsidRPr="0053602B">
        <w:rPr>
          <w:highlight w:val="lightGray"/>
          <w:lang w:eastAsia="cs-CZ"/>
        </w:rPr>
        <w:t>16.</w:t>
      </w:r>
      <w:r w:rsidRPr="008D23C1">
        <w:rPr>
          <w:lang w:eastAsia="cs-CZ"/>
        </w:rPr>
        <w:tab/>
        <w:t>Kontaktní údaje</w:t>
      </w:r>
    </w:p>
    <w:p w14:paraId="31379A34" w14:textId="77777777" w:rsidR="008D23C1" w:rsidRPr="008D23C1" w:rsidRDefault="008D23C1" w:rsidP="000E2C80">
      <w:pPr>
        <w:spacing w:line="240" w:lineRule="auto"/>
        <w:jc w:val="both"/>
        <w:rPr>
          <w:szCs w:val="22"/>
          <w:lang w:val="cs-CZ"/>
        </w:rPr>
      </w:pPr>
    </w:p>
    <w:p w14:paraId="3D2379CF" w14:textId="77777777" w:rsidR="008D23C1" w:rsidRPr="008D23C1" w:rsidRDefault="008D23C1" w:rsidP="000E2C80">
      <w:pPr>
        <w:spacing w:line="240" w:lineRule="auto"/>
        <w:jc w:val="both"/>
        <w:rPr>
          <w:rStyle w:val="Hypertextovodkaz"/>
          <w:szCs w:val="22"/>
          <w:lang w:val="cs-CZ"/>
        </w:rPr>
      </w:pPr>
      <w:r w:rsidRPr="008D23C1">
        <w:rPr>
          <w:rStyle w:val="Hypertextovodkaz"/>
          <w:szCs w:val="22"/>
          <w:lang w:val="cs-CZ"/>
        </w:rPr>
        <w:t>Držitel rozhodnutí o registraci a výrobce odpovědný za uvolnění šarže:</w:t>
      </w:r>
    </w:p>
    <w:p w14:paraId="1504C787" w14:textId="77777777" w:rsidR="008D23C1" w:rsidRPr="008D23C1" w:rsidRDefault="008D23C1" w:rsidP="000E2C80">
      <w:pPr>
        <w:spacing w:line="240" w:lineRule="auto"/>
        <w:jc w:val="both"/>
        <w:rPr>
          <w:szCs w:val="22"/>
          <w:lang w:val="cs-CZ"/>
        </w:rPr>
      </w:pPr>
      <w:r w:rsidRPr="008D23C1">
        <w:rPr>
          <w:szCs w:val="22"/>
          <w:lang w:val="cs-CZ"/>
        </w:rPr>
        <w:t xml:space="preserve">KRKA, </w:t>
      </w:r>
      <w:proofErr w:type="spellStart"/>
      <w:r w:rsidRPr="008D23C1">
        <w:rPr>
          <w:szCs w:val="22"/>
          <w:lang w:val="cs-CZ"/>
        </w:rPr>
        <w:t>d.d</w:t>
      </w:r>
      <w:proofErr w:type="spellEnd"/>
      <w:r w:rsidRPr="008D23C1">
        <w:rPr>
          <w:szCs w:val="22"/>
          <w:lang w:val="cs-CZ"/>
        </w:rPr>
        <w:t xml:space="preserve">., Novo </w:t>
      </w:r>
      <w:proofErr w:type="spellStart"/>
      <w:r w:rsidRPr="008D23C1">
        <w:rPr>
          <w:szCs w:val="22"/>
          <w:lang w:val="cs-CZ"/>
        </w:rPr>
        <w:t>mesto</w:t>
      </w:r>
      <w:proofErr w:type="spellEnd"/>
      <w:r w:rsidRPr="008D23C1">
        <w:rPr>
          <w:szCs w:val="22"/>
          <w:lang w:val="cs-CZ"/>
        </w:rPr>
        <w:t xml:space="preserve">, </w:t>
      </w:r>
      <w:proofErr w:type="spellStart"/>
      <w:r w:rsidRPr="008D23C1">
        <w:rPr>
          <w:szCs w:val="22"/>
          <w:lang w:val="cs-CZ"/>
        </w:rPr>
        <w:t>Šmarješka</w:t>
      </w:r>
      <w:proofErr w:type="spellEnd"/>
      <w:r w:rsidRPr="008D23C1">
        <w:rPr>
          <w:szCs w:val="22"/>
          <w:lang w:val="cs-CZ"/>
        </w:rPr>
        <w:t xml:space="preserve"> cesta 6, 8501 Novo </w:t>
      </w:r>
      <w:proofErr w:type="spellStart"/>
      <w:r w:rsidRPr="008D23C1">
        <w:rPr>
          <w:szCs w:val="22"/>
          <w:lang w:val="cs-CZ"/>
        </w:rPr>
        <w:t>mesto</w:t>
      </w:r>
      <w:proofErr w:type="spellEnd"/>
      <w:r w:rsidRPr="008D23C1">
        <w:rPr>
          <w:szCs w:val="22"/>
          <w:lang w:val="cs-CZ"/>
        </w:rPr>
        <w:t>, Slovinsko</w:t>
      </w:r>
    </w:p>
    <w:p w14:paraId="73674AE6" w14:textId="77777777" w:rsidR="008D23C1" w:rsidRPr="008D23C1" w:rsidRDefault="008D23C1" w:rsidP="000E2C80">
      <w:pPr>
        <w:spacing w:line="240" w:lineRule="auto"/>
        <w:jc w:val="both"/>
        <w:rPr>
          <w:szCs w:val="22"/>
          <w:lang w:val="cs-CZ"/>
        </w:rPr>
      </w:pPr>
    </w:p>
    <w:p w14:paraId="5CB156FC" w14:textId="77777777" w:rsidR="008D23C1" w:rsidRPr="008D23C1" w:rsidRDefault="008D23C1" w:rsidP="000E2C80">
      <w:pPr>
        <w:spacing w:line="240" w:lineRule="auto"/>
        <w:jc w:val="both"/>
        <w:rPr>
          <w:rStyle w:val="Hypertextovodkaz"/>
          <w:szCs w:val="22"/>
          <w:lang w:val="cs-CZ"/>
        </w:rPr>
      </w:pPr>
      <w:r w:rsidRPr="008D23C1">
        <w:rPr>
          <w:rStyle w:val="Hypertextovodkaz"/>
          <w:szCs w:val="22"/>
          <w:lang w:val="cs-CZ"/>
        </w:rPr>
        <w:t>Místní zástupci a kontaktní údaje pro hlášení podezření na nežádoucí účinky:</w:t>
      </w:r>
    </w:p>
    <w:p w14:paraId="1A62DE16" w14:textId="77777777" w:rsidR="008D23C1" w:rsidRPr="008D23C1" w:rsidRDefault="008D23C1" w:rsidP="000E2C80">
      <w:pPr>
        <w:tabs>
          <w:tab w:val="left" w:pos="0"/>
        </w:tabs>
        <w:spacing w:line="240" w:lineRule="auto"/>
        <w:jc w:val="both"/>
        <w:rPr>
          <w:bCs/>
          <w:szCs w:val="22"/>
          <w:lang w:val="cs-CZ"/>
        </w:rPr>
      </w:pPr>
      <w:r w:rsidRPr="008D23C1">
        <w:rPr>
          <w:bCs/>
          <w:szCs w:val="22"/>
          <w:lang w:val="cs-CZ"/>
        </w:rPr>
        <w:t>KRKA ČR, s.r.o., Sokolovská 192/79; 186 00 Praha 8 - Karlín; tel.: +420 221 115 150</w:t>
      </w:r>
    </w:p>
    <w:p w14:paraId="5DEEB1FB" w14:textId="77777777" w:rsidR="008D23C1" w:rsidRPr="008D23C1" w:rsidRDefault="008D23C1" w:rsidP="000E2C80">
      <w:pPr>
        <w:spacing w:line="240" w:lineRule="auto"/>
        <w:jc w:val="both"/>
        <w:rPr>
          <w:szCs w:val="22"/>
          <w:lang w:val="cs-CZ"/>
        </w:rPr>
      </w:pPr>
    </w:p>
    <w:p w14:paraId="292EC8AB" w14:textId="77777777" w:rsidR="008D23C1" w:rsidRPr="008D23C1" w:rsidRDefault="008D23C1" w:rsidP="000E2C80">
      <w:pPr>
        <w:spacing w:line="240" w:lineRule="auto"/>
        <w:jc w:val="both"/>
        <w:rPr>
          <w:rStyle w:val="Hypertextovodkaz"/>
          <w:szCs w:val="22"/>
          <w:lang w:val="cs-CZ"/>
        </w:rPr>
      </w:pPr>
      <w:r w:rsidRPr="008D23C1">
        <w:rPr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0927F265" w14:textId="21EBC33D" w:rsidR="008D23C1" w:rsidRPr="008D23C1" w:rsidRDefault="008D23C1" w:rsidP="000E2C80">
      <w:pPr>
        <w:spacing w:line="240" w:lineRule="auto"/>
        <w:ind w:left="567" w:hanging="567"/>
        <w:jc w:val="both"/>
        <w:rPr>
          <w:b/>
          <w:szCs w:val="22"/>
          <w:lang w:val="cs-CZ"/>
        </w:rPr>
      </w:pPr>
    </w:p>
    <w:p w14:paraId="6F71B25E" w14:textId="77777777" w:rsidR="008D23C1" w:rsidRPr="008D23C1" w:rsidRDefault="008D23C1" w:rsidP="000E2C80">
      <w:pPr>
        <w:pStyle w:val="Style1"/>
        <w:keepNext/>
        <w:jc w:val="both"/>
        <w:rPr>
          <w:lang w:eastAsia="cs-CZ"/>
        </w:rPr>
      </w:pPr>
      <w:r w:rsidRPr="0053602B">
        <w:rPr>
          <w:highlight w:val="lightGray"/>
          <w:lang w:eastAsia="cs-CZ"/>
        </w:rPr>
        <w:t>17.</w:t>
      </w:r>
      <w:r w:rsidRPr="008D23C1">
        <w:rPr>
          <w:lang w:eastAsia="cs-CZ"/>
        </w:rPr>
        <w:tab/>
        <w:t>Další informace</w:t>
      </w:r>
    </w:p>
    <w:p w14:paraId="77D4A958" w14:textId="77777777" w:rsidR="008D23C1" w:rsidRPr="008D23C1" w:rsidRDefault="008D23C1" w:rsidP="000E2C80">
      <w:pPr>
        <w:keepNext/>
        <w:spacing w:line="240" w:lineRule="auto"/>
        <w:jc w:val="both"/>
        <w:rPr>
          <w:b/>
          <w:szCs w:val="22"/>
          <w:lang w:val="cs-CZ"/>
        </w:rPr>
      </w:pPr>
    </w:p>
    <w:p w14:paraId="33E01688" w14:textId="77777777" w:rsidR="009D0CDE" w:rsidRPr="008D23C1" w:rsidRDefault="009D0CDE" w:rsidP="000E2C80">
      <w:pPr>
        <w:spacing w:line="240" w:lineRule="auto"/>
        <w:jc w:val="both"/>
        <w:rPr>
          <w:szCs w:val="22"/>
          <w:lang w:val="cs-CZ"/>
        </w:rPr>
      </w:pPr>
    </w:p>
    <w:p w14:paraId="72500CBE" w14:textId="77777777" w:rsidR="00E4151C" w:rsidRPr="008D23C1" w:rsidRDefault="00E4151C" w:rsidP="000E2C80">
      <w:pPr>
        <w:spacing w:line="240" w:lineRule="auto"/>
        <w:jc w:val="both"/>
        <w:rPr>
          <w:szCs w:val="22"/>
          <w:lang w:val="cs-CZ"/>
        </w:rPr>
      </w:pPr>
    </w:p>
    <w:sectPr w:rsidR="00E4151C" w:rsidRPr="008D23C1"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76B3E" w14:textId="77777777" w:rsidR="00A0518D" w:rsidRDefault="00A0518D">
      <w:pPr>
        <w:spacing w:line="240" w:lineRule="auto"/>
      </w:pPr>
      <w:r>
        <w:separator/>
      </w:r>
    </w:p>
  </w:endnote>
  <w:endnote w:type="continuationSeparator" w:id="0">
    <w:p w14:paraId="442F4D6D" w14:textId="77777777" w:rsidR="00A0518D" w:rsidRDefault="00A05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D893B" w14:textId="77777777" w:rsidR="00E4151C" w:rsidRDefault="00D60CA3">
    <w:pPr>
      <w:pStyle w:val="Zpat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>
      <w:rPr>
        <w:rStyle w:val="slostrnky"/>
        <w:rFonts w:cs="Arial"/>
      </w:rPr>
      <w:t>21</w:t>
    </w:r>
    <w:r>
      <w:rPr>
        <w:rStyle w:val="slostrnky"/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2DEA" w14:textId="77777777" w:rsidR="00E4151C" w:rsidRDefault="00D60CA3">
    <w:pPr>
      <w:pStyle w:val="Zpat"/>
      <w:tabs>
        <w:tab w:val="right" w:pos="8931"/>
      </w:tabs>
      <w:ind w:right="96"/>
      <w:jc w:val="center"/>
      <w:rPr>
        <w:rFonts w:ascii="Times New Roman" w:hAnsi="Times New Roman"/>
        <w:sz w:val="18"/>
        <w:szCs w:val="18"/>
      </w:rPr>
    </w:pPr>
    <w:r>
      <w:fldChar w:fldCharType="begin"/>
    </w:r>
    <w:r>
      <w:instrText xml:space="preserve"> EQ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620FD" w14:textId="77777777" w:rsidR="00A0518D" w:rsidRDefault="00A0518D">
      <w:pPr>
        <w:spacing w:line="240" w:lineRule="auto"/>
      </w:pPr>
      <w:r>
        <w:separator/>
      </w:r>
    </w:p>
  </w:footnote>
  <w:footnote w:type="continuationSeparator" w:id="0">
    <w:p w14:paraId="7C4A7AB4" w14:textId="77777777" w:rsidR="00A0518D" w:rsidRDefault="00A051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9E9E5" w14:textId="452DDB73" w:rsidR="00C60485" w:rsidRDefault="00C60485" w:rsidP="00C60485">
    <w:pPr>
      <w:rPr>
        <w:lang w:val="cs-CZ"/>
      </w:rPr>
    </w:pPr>
  </w:p>
  <w:p w14:paraId="029FDE40" w14:textId="77777777" w:rsidR="00E4151C" w:rsidRDefault="00E4151C">
    <w:pPr>
      <w:pStyle w:val="Zhlav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900ED"/>
    <w:multiLevelType w:val="hybridMultilevel"/>
    <w:tmpl w:val="3D08C984"/>
    <w:lvl w:ilvl="0" w:tplc="E752CC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50343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BE890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54C45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BCC9FF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8FA52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8C32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C00D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5D4D9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9C44CC1"/>
    <w:multiLevelType w:val="hybridMultilevel"/>
    <w:tmpl w:val="7FF2C56E"/>
    <w:lvl w:ilvl="0" w:tplc="DC46E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46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8C3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C1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81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627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07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637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D8D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E135BD9"/>
    <w:multiLevelType w:val="hybridMultilevel"/>
    <w:tmpl w:val="DAD6C0E0"/>
    <w:lvl w:ilvl="0" w:tplc="78D6115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456EE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DEE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0A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45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2C1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CE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7468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60B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41609"/>
    <w:multiLevelType w:val="hybridMultilevel"/>
    <w:tmpl w:val="1E5AABE8"/>
    <w:lvl w:ilvl="0" w:tplc="AC329CAE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667041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B16DA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5D06C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3C3D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908BB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492ED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C0A3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EBEB3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E7422D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58B56C73"/>
    <w:multiLevelType w:val="hybridMultilevel"/>
    <w:tmpl w:val="5BA42128"/>
    <w:lvl w:ilvl="0" w:tplc="FD48396C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46163F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B9EB9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3507B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6AFA3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ECE11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A4BD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426E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DA490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2D6557"/>
    <w:multiLevelType w:val="multilevel"/>
    <w:tmpl w:val="1E5AABE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 w15:restartNumberingAfterBreak="0">
    <w:nsid w:val="69E95A54"/>
    <w:multiLevelType w:val="hybridMultilevel"/>
    <w:tmpl w:val="3C18EFB0"/>
    <w:lvl w:ilvl="0" w:tplc="02826D6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E7147B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563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A4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F02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5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1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04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0CC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6F9337D0"/>
    <w:multiLevelType w:val="hybridMultilevel"/>
    <w:tmpl w:val="B6C885E6"/>
    <w:lvl w:ilvl="0" w:tplc="DE0E4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46C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569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46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EA7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6AC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86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62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8A8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B50F1"/>
    <w:multiLevelType w:val="hybridMultilevel"/>
    <w:tmpl w:val="64CEA6CC"/>
    <w:lvl w:ilvl="0" w:tplc="83A497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CAF29E" w:tentative="1">
      <w:start w:val="1"/>
      <w:numFmt w:val="lowerLetter"/>
      <w:lvlText w:val="%2."/>
      <w:lvlJc w:val="left"/>
      <w:pPr>
        <w:ind w:left="1440" w:hanging="360"/>
      </w:pPr>
    </w:lvl>
    <w:lvl w:ilvl="2" w:tplc="30383A04" w:tentative="1">
      <w:start w:val="1"/>
      <w:numFmt w:val="lowerRoman"/>
      <w:lvlText w:val="%3."/>
      <w:lvlJc w:val="right"/>
      <w:pPr>
        <w:ind w:left="2160" w:hanging="180"/>
      </w:pPr>
    </w:lvl>
    <w:lvl w:ilvl="3" w:tplc="372E571C" w:tentative="1">
      <w:start w:val="1"/>
      <w:numFmt w:val="decimal"/>
      <w:lvlText w:val="%4."/>
      <w:lvlJc w:val="left"/>
      <w:pPr>
        <w:ind w:left="2880" w:hanging="360"/>
      </w:pPr>
    </w:lvl>
    <w:lvl w:ilvl="4" w:tplc="32160774" w:tentative="1">
      <w:start w:val="1"/>
      <w:numFmt w:val="lowerLetter"/>
      <w:lvlText w:val="%5."/>
      <w:lvlJc w:val="left"/>
      <w:pPr>
        <w:ind w:left="3600" w:hanging="360"/>
      </w:pPr>
    </w:lvl>
    <w:lvl w:ilvl="5" w:tplc="4B08026A" w:tentative="1">
      <w:start w:val="1"/>
      <w:numFmt w:val="lowerRoman"/>
      <w:lvlText w:val="%6."/>
      <w:lvlJc w:val="right"/>
      <w:pPr>
        <w:ind w:left="4320" w:hanging="180"/>
      </w:pPr>
    </w:lvl>
    <w:lvl w:ilvl="6" w:tplc="1C403200" w:tentative="1">
      <w:start w:val="1"/>
      <w:numFmt w:val="decimal"/>
      <w:lvlText w:val="%7."/>
      <w:lvlJc w:val="left"/>
      <w:pPr>
        <w:ind w:left="5040" w:hanging="360"/>
      </w:pPr>
    </w:lvl>
    <w:lvl w:ilvl="7" w:tplc="983A684A" w:tentative="1">
      <w:start w:val="1"/>
      <w:numFmt w:val="lowerLetter"/>
      <w:lvlText w:val="%8."/>
      <w:lvlJc w:val="left"/>
      <w:pPr>
        <w:ind w:left="5760" w:hanging="360"/>
      </w:pPr>
    </w:lvl>
    <w:lvl w:ilvl="8" w:tplc="69C4E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26D2E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11"/>
  </w:num>
  <w:num w:numId="7">
    <w:abstractNumId w:val="6"/>
  </w:num>
  <w:num w:numId="8">
    <w:abstractNumId w:val="8"/>
  </w:num>
  <w:num w:numId="9">
    <w:abstractNumId w:val="19"/>
  </w:num>
  <w:num w:numId="10">
    <w:abstractNumId w:val="1"/>
  </w:num>
  <w:num w:numId="11">
    <w:abstractNumId w:val="16"/>
  </w:num>
  <w:num w:numId="12">
    <w:abstractNumId w:val="7"/>
  </w:num>
  <w:num w:numId="13">
    <w:abstractNumId w:val="4"/>
  </w:num>
  <w:num w:numId="14">
    <w:abstractNumId w:val="3"/>
  </w:num>
  <w:num w:numId="1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17"/>
  </w:num>
  <w:num w:numId="17">
    <w:abstractNumId w:val="9"/>
  </w:num>
  <w:num w:numId="18">
    <w:abstractNumId w:val="10"/>
  </w:num>
  <w:num w:numId="19">
    <w:abstractNumId w:val="20"/>
  </w:num>
  <w:num w:numId="20">
    <w:abstractNumId w:val="12"/>
  </w:num>
  <w:num w:numId="21">
    <w:abstractNumId w:val="18"/>
  </w:num>
  <w:num w:numId="22">
    <w:abstractNumId w:val="15"/>
  </w:num>
  <w:num w:numId="23">
    <w:abstractNumId w:val="5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E4151C"/>
    <w:rsid w:val="000B1D90"/>
    <w:rsid w:val="000E2C80"/>
    <w:rsid w:val="000F71F2"/>
    <w:rsid w:val="00106967"/>
    <w:rsid w:val="00134ED3"/>
    <w:rsid w:val="00284A57"/>
    <w:rsid w:val="0033273C"/>
    <w:rsid w:val="003757AE"/>
    <w:rsid w:val="00391EB5"/>
    <w:rsid w:val="0039528A"/>
    <w:rsid w:val="004252FA"/>
    <w:rsid w:val="00476C88"/>
    <w:rsid w:val="004E43F7"/>
    <w:rsid w:val="005017F0"/>
    <w:rsid w:val="005060D7"/>
    <w:rsid w:val="0053602B"/>
    <w:rsid w:val="005867F2"/>
    <w:rsid w:val="005C0EA4"/>
    <w:rsid w:val="00693BD2"/>
    <w:rsid w:val="00703BB7"/>
    <w:rsid w:val="00753D2F"/>
    <w:rsid w:val="00754312"/>
    <w:rsid w:val="007637AD"/>
    <w:rsid w:val="00782D06"/>
    <w:rsid w:val="00825418"/>
    <w:rsid w:val="008D23C1"/>
    <w:rsid w:val="008D6974"/>
    <w:rsid w:val="00911FF0"/>
    <w:rsid w:val="00912EC1"/>
    <w:rsid w:val="00936CB3"/>
    <w:rsid w:val="009A0611"/>
    <w:rsid w:val="009D0CDE"/>
    <w:rsid w:val="009D6A0E"/>
    <w:rsid w:val="00A00A0B"/>
    <w:rsid w:val="00A0518D"/>
    <w:rsid w:val="00A56692"/>
    <w:rsid w:val="00AC2962"/>
    <w:rsid w:val="00AD1906"/>
    <w:rsid w:val="00B13D06"/>
    <w:rsid w:val="00B30C3C"/>
    <w:rsid w:val="00B454AF"/>
    <w:rsid w:val="00BB257A"/>
    <w:rsid w:val="00BD1590"/>
    <w:rsid w:val="00C509E4"/>
    <w:rsid w:val="00C60485"/>
    <w:rsid w:val="00C76E74"/>
    <w:rsid w:val="00D222FA"/>
    <w:rsid w:val="00D60CA3"/>
    <w:rsid w:val="00D82886"/>
    <w:rsid w:val="00DA0D8A"/>
    <w:rsid w:val="00DD215D"/>
    <w:rsid w:val="00DD3E15"/>
    <w:rsid w:val="00E4151C"/>
    <w:rsid w:val="00EC0F47"/>
    <w:rsid w:val="00ED654B"/>
    <w:rsid w:val="00FA2B70"/>
    <w:rsid w:val="00F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3CE66"/>
  <w15:docId w15:val="{7CD070D8-7EC9-4FE0-9277-7C5BB5B5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rFonts w:eastAsia="Times New Roman"/>
      <w:sz w:val="22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ln"/>
    <w:next w:val="Normln"/>
    <w:pPr>
      <w:spacing w:line="120" w:lineRule="atLeast"/>
      <w:ind w:left="1418"/>
      <w:jc w:val="both"/>
    </w:pPr>
    <w:rPr>
      <w:rFonts w:ascii="Arial" w:hAnsi="Arial"/>
      <w:b/>
      <w:smallCaps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character" w:styleId="Hypertextovodkaz">
    <w:name w:val="Hyperlink"/>
    <w:rPr>
      <w:color w:val="0000FF"/>
      <w:u w:val="single"/>
    </w:rPr>
  </w:style>
  <w:style w:type="paragraph" w:customStyle="1" w:styleId="EMEAEnBodyText">
    <w:name w:val="EMEA En Body Text"/>
    <w:basedOn w:val="Normln"/>
    <w:pPr>
      <w:tabs>
        <w:tab w:val="clear" w:pos="567"/>
      </w:tabs>
      <w:spacing w:before="120" w:after="120" w:line="240" w:lineRule="auto"/>
      <w:jc w:val="both"/>
    </w:pPr>
    <w:rPr>
      <w:lang w:val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ytextAgency">
    <w:name w:val="Body text (Agency)"/>
    <w:basedOn w:val="Normln"/>
    <w:link w:val="BodytextAgencyChar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paragraph" w:customStyle="1" w:styleId="NormalAgency">
    <w:name w:val="Normal (Agency)"/>
    <w:link w:val="NormalAgencyChar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styleId="Odkaznakoment">
    <w:name w:val="annotation referenc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TextkomenteChar">
    <w:name w:val="Text komentáře Char"/>
    <w:link w:val="Textkomente"/>
    <w:semiHidden/>
    <w:rPr>
      <w:rFonts w:eastAsia="Times New Roman"/>
      <w:lang w:eastAsia="en-US"/>
    </w:rPr>
  </w:style>
  <w:style w:type="character" w:customStyle="1" w:styleId="PedmtkomenteChar">
    <w:name w:val="Předmět komentáře Char"/>
    <w:link w:val="Pedmtkomente"/>
    <w:rPr>
      <w:rFonts w:eastAsia="Times New Roman"/>
      <w:b/>
      <w:bCs/>
      <w:lang w:eastAsia="en-US"/>
    </w:rPr>
  </w:style>
  <w:style w:type="paragraph" w:styleId="Revize">
    <w:name w:val="Revision"/>
    <w:hidden/>
    <w:uiPriority w:val="99"/>
    <w:semiHidden/>
    <w:rPr>
      <w:rFonts w:eastAsia="Times New Roman"/>
      <w:sz w:val="22"/>
      <w:lang w:val="en-GB" w:eastAsia="en-US"/>
    </w:rPr>
  </w:style>
  <w:style w:type="paragraph" w:styleId="Zkladntextodsazen2">
    <w:name w:val="Body Text Indent 2"/>
    <w:basedOn w:val="Normln"/>
    <w:link w:val="Zkladntextodsazen2Char"/>
    <w:rsid w:val="009D0CDE"/>
    <w:pPr>
      <w:tabs>
        <w:tab w:val="clear" w:pos="567"/>
      </w:tabs>
      <w:spacing w:after="120" w:line="480" w:lineRule="auto"/>
      <w:ind w:left="283"/>
    </w:pPr>
    <w:rPr>
      <w:sz w:val="24"/>
      <w:lang w:val="sl-SI" w:eastAsia="sl-SI"/>
    </w:rPr>
  </w:style>
  <w:style w:type="character" w:customStyle="1" w:styleId="Zkladntextodsazen2Char">
    <w:name w:val="Základní text odsazený 2 Char"/>
    <w:link w:val="Zkladntextodsazen2"/>
    <w:rsid w:val="009D0CDE"/>
    <w:rPr>
      <w:rFonts w:eastAsia="Times New Roman"/>
      <w:sz w:val="24"/>
      <w:lang w:val="sl-SI" w:eastAsia="sl-SI"/>
    </w:rPr>
  </w:style>
  <w:style w:type="paragraph" w:styleId="Textvbloku">
    <w:name w:val="Block Text"/>
    <w:basedOn w:val="Normln"/>
    <w:unhideWhenUsed/>
    <w:rsid w:val="009D0CDE"/>
    <w:pPr>
      <w:tabs>
        <w:tab w:val="clear" w:pos="567"/>
      </w:tabs>
      <w:spacing w:line="240" w:lineRule="auto"/>
      <w:ind w:left="2268" w:right="1711" w:hanging="567"/>
    </w:pPr>
    <w:rPr>
      <w:b/>
      <w:lang w:val="cs-CZ"/>
    </w:rPr>
  </w:style>
  <w:style w:type="paragraph" w:styleId="Bezmezer">
    <w:name w:val="No Spacing"/>
    <w:uiPriority w:val="1"/>
    <w:qFormat/>
    <w:rsid w:val="009D0CDE"/>
    <w:rPr>
      <w:rFonts w:eastAsia="Times New Roman"/>
      <w:sz w:val="24"/>
      <w:lang w:val="sl-SI" w:eastAsia="sl-SI"/>
    </w:rPr>
  </w:style>
  <w:style w:type="paragraph" w:customStyle="1" w:styleId="Style1">
    <w:name w:val="Style1"/>
    <w:basedOn w:val="Normln"/>
    <w:qFormat/>
    <w:rsid w:val="004252FA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AD1906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cs-CZ" w:eastAsia="cs-CZ"/>
    </w:rPr>
  </w:style>
  <w:style w:type="character" w:customStyle="1" w:styleId="FormtovanvHTMLChar">
    <w:name w:val="Formátovaný v HTML Char"/>
    <w:link w:val="FormtovanvHTML"/>
    <w:uiPriority w:val="99"/>
    <w:rsid w:val="00AD1906"/>
    <w:rPr>
      <w:rFonts w:ascii="Courier New" w:eastAsia="Times New Roman" w:hAnsi="Courier New" w:cs="Courier New"/>
      <w:lang w:val="cs-CZ" w:eastAsia="cs-CZ"/>
    </w:rPr>
  </w:style>
  <w:style w:type="character" w:customStyle="1" w:styleId="y2iqfc">
    <w:name w:val="y2iqfc"/>
    <w:basedOn w:val="Standardnpsmoodstavce"/>
    <w:rsid w:val="00AD1906"/>
  </w:style>
  <w:style w:type="paragraph" w:customStyle="1" w:styleId="Style2">
    <w:name w:val="Style2"/>
    <w:basedOn w:val="Normln"/>
    <w:qFormat/>
    <w:rsid w:val="00B454AF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1215</Words>
  <Characters>7174</Characters>
  <Application>Microsoft Office Word</Application>
  <DocSecurity>0</DocSecurity>
  <Lines>59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Hqrdtemplateclean_en</vt:lpstr>
      <vt:lpstr>Hqrdtemplatecleanen v10.1</vt:lpstr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K.R.</dc:creator>
  <cp:lastModifiedBy>Nepejchalová Leona</cp:lastModifiedBy>
  <cp:revision>19</cp:revision>
  <cp:lastPrinted>2025-01-31T16:40:00Z</cp:lastPrinted>
  <dcterms:created xsi:type="dcterms:W3CDTF">2024-11-12T07:23:00Z</dcterms:created>
  <dcterms:modified xsi:type="dcterms:W3CDTF">2025-01-31T16:40:00Z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/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/>
  </property>
  <property fmtid="{D5CDD505-2E9C-101B-9397-08002B2CF9AE}" pid="6" name="DM_Creation_Date">
    <vt:lpwstr/>
  </property>
  <property fmtid="{D5CDD505-2E9C-101B-9397-08002B2CF9AE}" pid="7" name="DM_Creator_Name">
    <vt:lpwstr/>
  </property>
  <property fmtid="{D5CDD505-2E9C-101B-9397-08002B2CF9AE}" pid="8" name="DM_DocRefId">
    <vt:lpwstr/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/>
  </property>
  <property fmtid="{D5CDD505-2E9C-101B-9397-08002B2CF9AE}" pid="12" name="DM_emea_doc_lang">
    <vt:lpwstr/>
  </property>
  <property fmtid="{D5CDD505-2E9C-101B-9397-08002B2CF9AE}" pid="13" name="DM_emea_doc_number">
    <vt:lpwstr/>
  </property>
  <property fmtid="{D5CDD505-2E9C-101B-9397-08002B2CF9AE}" pid="14" name="DM_emea_doc_ref_id">
    <vt:lpwstr/>
  </property>
  <property fmtid="{D5CDD505-2E9C-101B-9397-08002B2CF9AE}" pid="15" name="DM_emea_from">
    <vt:lpwstr/>
  </property>
  <property fmtid="{D5CDD505-2E9C-101B-9397-08002B2CF9AE}" pid="16" name="DM_emea_internal_label">
    <vt:lpwstr/>
  </property>
  <property fmtid="{D5CDD505-2E9C-101B-9397-08002B2CF9AE}" pid="17" name="DM_emea_legal_date">
    <vt:lpwstr/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/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/>
  </property>
  <property fmtid="{D5CDD505-2E9C-101B-9397-08002B2CF9AE}" pid="29" name="DM_emea_to">
    <vt:lpwstr/>
  </property>
  <property fmtid="{D5CDD505-2E9C-101B-9397-08002B2CF9AE}" pid="30" name="DM_emea_year">
    <vt:lpwstr/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/>
  </property>
  <property fmtid="{D5CDD505-2E9C-101B-9397-08002B2CF9AE}" pid="34" name="DM_Modified_Date">
    <vt:lpwstr/>
  </property>
  <property fmtid="{D5CDD505-2E9C-101B-9397-08002B2CF9AE}" pid="35" name="DM_Modifier_Name">
    <vt:lpwstr/>
  </property>
  <property fmtid="{D5CDD505-2E9C-101B-9397-08002B2CF9AE}" pid="36" name="DM_Modify_Date">
    <vt:lpwstr/>
  </property>
  <property fmtid="{D5CDD505-2E9C-101B-9397-08002B2CF9AE}" pid="37" name="DM_Name">
    <vt:lpwstr/>
  </property>
  <property fmtid="{D5CDD505-2E9C-101B-9397-08002B2CF9AE}" pid="38" name="DM_Owner">
    <vt:lpwstr/>
  </property>
  <property fmtid="{D5CDD505-2E9C-101B-9397-08002B2CF9AE}" pid="39" name="DM_Path">
    <vt:lpwstr/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/>
  </property>
  <property fmtid="{D5CDD505-2E9C-101B-9397-08002B2CF9AE}" pid="44" name="DM_Version">
    <vt:lpwstr/>
  </property>
  <property fmtid="{D5CDD505-2E9C-101B-9397-08002B2CF9AE}" pid="45" name="MSIP_Label_0eea11ca-d417-4147-80ed-01a58412c458_ActionId">
    <vt:lpwstr/>
  </property>
  <property fmtid="{D5CDD505-2E9C-101B-9397-08002B2CF9AE}" pid="46" name="MSIP_Label_0eea11ca-d417-4147-80ed-01a58412c458_Application">
    <vt:lpwstr/>
  </property>
  <property fmtid="{D5CDD505-2E9C-101B-9397-08002B2CF9AE}" pid="47" name="MSIP_Label_0eea11ca-d417-4147-80ed-01a58412c458_Enabled">
    <vt:lpwstr/>
  </property>
  <property fmtid="{D5CDD505-2E9C-101B-9397-08002B2CF9AE}" pid="48" name="MSIP_Label_0eea11ca-d417-4147-80ed-01a58412c458_Extended_MSFT_Method">
    <vt:lpwstr/>
  </property>
  <property fmtid="{D5CDD505-2E9C-101B-9397-08002B2CF9AE}" pid="49" name="MSIP_Label_0eea11ca-d417-4147-80ed-01a58412c458_Name">
    <vt:lpwstr/>
  </property>
  <property fmtid="{D5CDD505-2E9C-101B-9397-08002B2CF9AE}" pid="50" name="MSIP_Label_0eea11ca-d417-4147-80ed-01a58412c458_Owner">
    <vt:lpwstr/>
  </property>
  <property fmtid="{D5CDD505-2E9C-101B-9397-08002B2CF9AE}" pid="51" name="MSIP_Label_0eea11ca-d417-4147-80ed-01a58412c458_Parent">
    <vt:lpwstr/>
  </property>
  <property fmtid="{D5CDD505-2E9C-101B-9397-08002B2CF9AE}" pid="52" name="MSIP_Label_0eea11ca-d417-4147-80ed-01a58412c458_SetDate">
    <vt:lpwstr/>
  </property>
  <property fmtid="{D5CDD505-2E9C-101B-9397-08002B2CF9AE}" pid="53" name="MSIP_Label_0eea11ca-d417-4147-80ed-01a58412c458_SiteId">
    <vt:lpwstr/>
  </property>
  <property fmtid="{D5CDD505-2E9C-101B-9397-08002B2CF9AE}" pid="54" name="MSIP_Label_afe1b31d-cec0-4074-b4bd-f07689e43d84_ActionId">
    <vt:lpwstr/>
  </property>
  <property fmtid="{D5CDD505-2E9C-101B-9397-08002B2CF9AE}" pid="55" name="MSIP_Label_afe1b31d-cec0-4074-b4bd-f07689e43d84_Application">
    <vt:lpwstr/>
  </property>
  <property fmtid="{D5CDD505-2E9C-101B-9397-08002B2CF9AE}" pid="56" name="MSIP_Label_afe1b31d-cec0-4074-b4bd-f07689e43d84_Enabled">
    <vt:lpwstr/>
  </property>
  <property fmtid="{D5CDD505-2E9C-101B-9397-08002B2CF9AE}" pid="57" name="MSIP_Label_afe1b31d-cec0-4074-b4bd-f07689e43d84_Extended_MSFT_Method">
    <vt:lpwstr/>
  </property>
  <property fmtid="{D5CDD505-2E9C-101B-9397-08002B2CF9AE}" pid="58" name="MSIP_Label_afe1b31d-cec0-4074-b4bd-f07689e43d84_Name">
    <vt:lpwstr/>
  </property>
  <property fmtid="{D5CDD505-2E9C-101B-9397-08002B2CF9AE}" pid="59" name="MSIP_Label_afe1b31d-cec0-4074-b4bd-f07689e43d84_Owner">
    <vt:lpwstr/>
  </property>
  <property fmtid="{D5CDD505-2E9C-101B-9397-08002B2CF9AE}" pid="60" name="MSIP_Label_afe1b31d-cec0-4074-b4bd-f07689e43d84_SetDate">
    <vt:lpwstr/>
  </property>
  <property fmtid="{D5CDD505-2E9C-101B-9397-08002B2CF9AE}" pid="61" name="MSIP_Label_afe1b31d-cec0-4074-b4bd-f07689e43d84_SiteId">
    <vt:lpwstr/>
  </property>
</Properties>
</file>