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9440B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19440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EB0993" w14:textId="291C3278" w:rsidR="0092486B" w:rsidRPr="00DD7547" w:rsidRDefault="0092486B" w:rsidP="0092486B">
      <w:r w:rsidRPr="00DD7547">
        <w:t>ERYSIN SINGLE SHOT injekční emulze pro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2BDFFE08" w14:textId="0618B488" w:rsidR="0092486B" w:rsidRPr="00DD7547" w:rsidRDefault="00CC5C4E" w:rsidP="0092486B">
      <w:r>
        <w:t>Každá</w:t>
      </w:r>
      <w:r w:rsidR="005A2E08">
        <w:t xml:space="preserve"> dávka (</w:t>
      </w:r>
      <w:r w:rsidR="0092486B" w:rsidRPr="00DD7547">
        <w:t>2 ml</w:t>
      </w:r>
      <w:r w:rsidR="005A2E08">
        <w:t>) obsahuje</w:t>
      </w:r>
      <w:r w:rsidR="0092486B" w:rsidRPr="00DD7547">
        <w:t>:</w:t>
      </w:r>
    </w:p>
    <w:p w14:paraId="4B2138D2" w14:textId="77777777" w:rsidR="0092486B" w:rsidRPr="00DD7547" w:rsidRDefault="0092486B" w:rsidP="0092486B">
      <w:pPr>
        <w:rPr>
          <w:b/>
        </w:rPr>
      </w:pPr>
      <w:r w:rsidRPr="00DD7547">
        <w:rPr>
          <w:b/>
        </w:rPr>
        <w:t>Léčivé látky:</w:t>
      </w:r>
    </w:p>
    <w:p w14:paraId="548DA7CE" w14:textId="7CD26E3D" w:rsidR="0092486B" w:rsidRPr="00DD7547" w:rsidRDefault="0092486B" w:rsidP="0092486B">
      <w:pPr>
        <w:tabs>
          <w:tab w:val="left" w:pos="1701"/>
        </w:tabs>
      </w:pPr>
      <w:proofErr w:type="spellStart"/>
      <w:r w:rsidRPr="00DD7547">
        <w:rPr>
          <w:i/>
        </w:rPr>
        <w:t>Erysipelothrix</w:t>
      </w:r>
      <w:proofErr w:type="spellEnd"/>
      <w:r w:rsidRPr="00DD7547">
        <w:rPr>
          <w:i/>
        </w:rPr>
        <w:t xml:space="preserve"> </w:t>
      </w:r>
      <w:proofErr w:type="spellStart"/>
      <w:r w:rsidRPr="00DD7547">
        <w:rPr>
          <w:i/>
        </w:rPr>
        <w:t>rhusiopathiae</w:t>
      </w:r>
      <w:proofErr w:type="spellEnd"/>
      <w:r w:rsidR="00CC5C4E">
        <w:rPr>
          <w:i/>
        </w:rPr>
        <w:t>,</w:t>
      </w:r>
      <w:r w:rsidRPr="00DD7547">
        <w:t xml:space="preserve"> ina</w:t>
      </w:r>
      <w:r w:rsidR="00CC5C4E">
        <w:t>ktivovaná</w:t>
      </w:r>
      <w:r w:rsidRPr="00DD7547">
        <w:t xml:space="preserve"> (3 kmeny – typ 2, 1 kmen – typ 1)        </w:t>
      </w:r>
      <w:r w:rsidRPr="00B02D26">
        <w:t xml:space="preserve">RP </w:t>
      </w:r>
      <w:r w:rsidRPr="00DD7547">
        <w:rPr>
          <w:lang w:val="en-US"/>
        </w:rPr>
        <w:sym w:font="Symbol" w:char="F0B3"/>
      </w:r>
      <w:r w:rsidRPr="00B02D26">
        <w:t xml:space="preserve"> 1</w:t>
      </w:r>
      <w:r w:rsidRPr="00B02D26">
        <w:rPr>
          <w:b/>
        </w:rPr>
        <w:t>*</w:t>
      </w:r>
    </w:p>
    <w:p w14:paraId="596B69AB" w14:textId="77777777" w:rsidR="0092486B" w:rsidRPr="00DD7547" w:rsidRDefault="0092486B" w:rsidP="0092486B">
      <w:pPr>
        <w:tabs>
          <w:tab w:val="left" w:pos="1701"/>
        </w:tabs>
      </w:pPr>
    </w:p>
    <w:p w14:paraId="08C1AB2D" w14:textId="29E393D9" w:rsidR="0092486B" w:rsidRPr="0092486B" w:rsidRDefault="0092486B" w:rsidP="00A72A1B">
      <w:pPr>
        <w:pStyle w:val="Zkladntextodsazen"/>
        <w:tabs>
          <w:tab w:val="left" w:pos="450"/>
        </w:tabs>
        <w:ind w:left="450" w:hanging="450"/>
        <w:rPr>
          <w:b w:val="0"/>
          <w:bCs/>
        </w:rPr>
      </w:pPr>
      <w:r w:rsidRPr="0092486B">
        <w:rPr>
          <w:b w:val="0"/>
          <w:bCs/>
        </w:rPr>
        <w:t>*RP</w:t>
      </w:r>
      <w:r w:rsidR="005A2E08">
        <w:rPr>
          <w:b w:val="0"/>
          <w:bCs/>
        </w:rPr>
        <w:tab/>
      </w:r>
      <w:r w:rsidRPr="0092486B">
        <w:rPr>
          <w:b w:val="0"/>
          <w:bCs/>
        </w:rPr>
        <w:t>= Relativní účinnost (stanovena ELISA metodou) v porovnání s referenčním sérem získaným po vakcinaci myší šarží vakcíny, která vyhověla v </w:t>
      </w:r>
      <w:proofErr w:type="spellStart"/>
      <w:r w:rsidRPr="0092486B">
        <w:rPr>
          <w:b w:val="0"/>
          <w:bCs/>
        </w:rPr>
        <w:t>čelenžním</w:t>
      </w:r>
      <w:proofErr w:type="spellEnd"/>
      <w:r w:rsidRPr="0092486B">
        <w:rPr>
          <w:b w:val="0"/>
          <w:bCs/>
        </w:rPr>
        <w:t xml:space="preserve"> testu na cílovém druhu zvířat.</w:t>
      </w:r>
    </w:p>
    <w:p w14:paraId="08D09FF6" w14:textId="77777777" w:rsidR="0092486B" w:rsidRPr="00DD7547" w:rsidRDefault="0092486B" w:rsidP="0092486B">
      <w:pPr>
        <w:rPr>
          <w:b/>
        </w:rPr>
      </w:pPr>
    </w:p>
    <w:p w14:paraId="6C7E9774" w14:textId="5FDEB984" w:rsidR="0092486B" w:rsidRPr="00DD7547" w:rsidRDefault="0092486B" w:rsidP="0092486B">
      <w:pPr>
        <w:rPr>
          <w:b/>
        </w:rPr>
      </w:pPr>
      <w:r w:rsidRPr="00DD7547">
        <w:rPr>
          <w:b/>
        </w:rPr>
        <w:t>Adjuvans:</w:t>
      </w:r>
      <w:r w:rsidR="005A2E08">
        <w:rPr>
          <w:b/>
        </w:rPr>
        <w:tab/>
      </w:r>
      <w:r w:rsidR="005A2E08">
        <w:rPr>
          <w:b/>
        </w:rPr>
        <w:tab/>
      </w:r>
      <w:r w:rsidRPr="00DD7547">
        <w:t xml:space="preserve">Olejové adjuvans </w:t>
      </w:r>
      <w:r w:rsidR="005A2E08">
        <w:tab/>
      </w:r>
      <w:r w:rsidR="005A2E08">
        <w:tab/>
      </w:r>
      <w:r w:rsidRPr="00DD7547">
        <w:t>0,5 ml</w:t>
      </w:r>
    </w:p>
    <w:p w14:paraId="4F8530AE" w14:textId="61F9DF42" w:rsidR="0092486B" w:rsidRDefault="005A2E0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>
        <w:rPr>
          <w:bCs/>
          <w:szCs w:val="22"/>
        </w:rPr>
        <w:tab/>
      </w:r>
      <w:proofErr w:type="spellStart"/>
      <w:r w:rsidR="0092486B" w:rsidRPr="00DD7547">
        <w:t>Thiomersal</w:t>
      </w:r>
      <w:proofErr w:type="spellEnd"/>
      <w:r w:rsidR="0092486B" w:rsidRPr="00DD7547">
        <w:t xml:space="preserve"> </w:t>
      </w:r>
      <w:r>
        <w:tab/>
      </w:r>
      <w:r>
        <w:tab/>
      </w:r>
      <w:r>
        <w:tab/>
      </w:r>
      <w:r w:rsidR="0092486B" w:rsidRPr="00DD7547">
        <w:rPr>
          <w:szCs w:val="22"/>
        </w:rPr>
        <w:t>0,2 mg</w:t>
      </w:r>
    </w:p>
    <w:p w14:paraId="4ADC57A5" w14:textId="021B2066" w:rsidR="00CC5C4E" w:rsidRDefault="00CC5C4E">
      <w:pPr>
        <w:tabs>
          <w:tab w:val="clear" w:pos="567"/>
        </w:tabs>
        <w:spacing w:line="240" w:lineRule="auto"/>
      </w:pPr>
    </w:p>
    <w:p w14:paraId="5028E96E" w14:textId="01D56EF4" w:rsidR="00CC5C4E" w:rsidRDefault="00CC5C4E" w:rsidP="00CC5C4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Bílá až bílošedá mléčná tekutina, ve které může být malé množství sedimentu.</w:t>
      </w:r>
    </w:p>
    <w:p w14:paraId="65B69928" w14:textId="77777777" w:rsidR="00CC5C4E" w:rsidRPr="00DD7547" w:rsidRDefault="00CC5C4E" w:rsidP="00A72A1B">
      <w:pPr>
        <w:tabs>
          <w:tab w:val="clear" w:pos="567"/>
        </w:tabs>
        <w:spacing w:line="240" w:lineRule="auto"/>
      </w:pP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2DDCECF1" w14:textId="77777777" w:rsidR="0092486B" w:rsidRPr="00DD7547" w:rsidRDefault="0092486B" w:rsidP="0092486B">
      <w:pPr>
        <w:ind w:left="1080" w:hanging="1080"/>
        <w:jc w:val="both"/>
      </w:pPr>
      <w:r w:rsidRPr="00DD7547">
        <w:t>Prasata.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5AD46AE" w14:textId="49F6DA71" w:rsidR="00571B6B" w:rsidRDefault="00571B6B" w:rsidP="00571B6B">
      <w:r w:rsidRPr="00DD7547">
        <w:t>K</w:t>
      </w:r>
      <w:r w:rsidR="00CC5C4E">
        <w:t xml:space="preserve"> aktivní </w:t>
      </w:r>
      <w:r w:rsidRPr="00DD7547">
        <w:t>imunizaci prasat proti července.</w:t>
      </w:r>
    </w:p>
    <w:p w14:paraId="51CC756B" w14:textId="4326F531" w:rsidR="00571B6B" w:rsidRPr="00DD7547" w:rsidRDefault="00571B6B" w:rsidP="00571B6B">
      <w:r w:rsidRPr="00DD7547">
        <w:rPr>
          <w:rFonts w:eastAsia="MS Mincho"/>
        </w:rPr>
        <w:t>Nástup imunity:</w:t>
      </w:r>
      <w:r w:rsidRPr="00DD7547">
        <w:t xml:space="preserve"> </w:t>
      </w:r>
      <w:r w:rsidR="005A2E08">
        <w:tab/>
      </w:r>
      <w:r w:rsidRPr="00DD7547">
        <w:t>21 dnů po vakcinaci.</w:t>
      </w:r>
    </w:p>
    <w:p w14:paraId="2BC16FB3" w14:textId="3FDB8886" w:rsidR="00571B6B" w:rsidRPr="00DD7547" w:rsidRDefault="00CC5C4E" w:rsidP="00571B6B">
      <w:pPr>
        <w:pStyle w:val="Prosttex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571B6B" w:rsidRPr="00DD7547">
        <w:rPr>
          <w:rFonts w:ascii="Times New Roman" w:hAnsi="Times New Roman" w:cs="Times New Roman"/>
          <w:sz w:val="22"/>
        </w:rPr>
        <w:t>rvání imunity:</w:t>
      </w:r>
      <w:r w:rsidR="005A2E08">
        <w:rPr>
          <w:rFonts w:ascii="Times New Roman" w:hAnsi="Times New Roman" w:cs="Times New Roman"/>
          <w:sz w:val="22"/>
        </w:rPr>
        <w:tab/>
      </w:r>
      <w:r w:rsidR="00571B6B" w:rsidRPr="00DD7547">
        <w:rPr>
          <w:rFonts w:ascii="Times New Roman" w:hAnsi="Times New Roman" w:cs="Times New Roman"/>
          <w:sz w:val="22"/>
        </w:rPr>
        <w:t>6 měsíců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515BEB5C" w14:textId="77777777" w:rsidR="00571B6B" w:rsidRPr="00DD7547" w:rsidRDefault="00571B6B" w:rsidP="00571B6B">
      <w:pPr>
        <w:jc w:val="both"/>
      </w:pPr>
      <w:r w:rsidRPr="00DD7547">
        <w:t xml:space="preserve">Nevakcinují se prasata s klinickými příznaky onemocnění, prasnice 2 týdny před a 4 týdny po porodu a selata do 8 týdnů stáří. 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B3F2C4B" w14:textId="08AE5EBA" w:rsidR="00CC5C4E" w:rsidRPr="00B41D57" w:rsidRDefault="0019440B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</w:p>
    <w:p w14:paraId="37809787" w14:textId="1FDABCC0" w:rsidR="00A72A1B" w:rsidRDefault="00CC5C4E" w:rsidP="00F354C5">
      <w:pPr>
        <w:tabs>
          <w:tab w:val="clear" w:pos="567"/>
        </w:tabs>
        <w:spacing w:line="240" w:lineRule="auto"/>
      </w:pPr>
      <w:r w:rsidRPr="00B41D57">
        <w:t xml:space="preserve">Vakcinovat pouze zdravá </w:t>
      </w:r>
      <w:r w:rsidR="00A72A1B">
        <w:t>zvířata</w:t>
      </w:r>
      <w:r w:rsidRPr="00B41D57">
        <w:t>.</w:t>
      </w:r>
    </w:p>
    <w:p w14:paraId="0AD34BD4" w14:textId="77777777" w:rsidR="00A72A1B" w:rsidRDefault="00A72A1B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4F1A40" w14:textId="5B41EAA3" w:rsidR="00F354C5" w:rsidRDefault="0019440B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53B4DA1" w14:textId="77777777" w:rsidR="000737EC" w:rsidRPr="00DD7547" w:rsidRDefault="000737EC" w:rsidP="000737EC">
      <w:pPr>
        <w:autoSpaceDE w:val="0"/>
        <w:autoSpaceDN w:val="0"/>
        <w:adjustRightInd w:val="0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Pro uživatele:</w:t>
      </w:r>
    </w:p>
    <w:p w14:paraId="7F1E10B2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Tento přípravek obsahuje minerální olej. Náhodná injekce/</w:t>
      </w:r>
      <w:r w:rsidRPr="00DD7547">
        <w:t>náhodné sebepoškození injekčně aplikovaným přípravkem</w:t>
      </w:r>
      <w:r w:rsidRPr="00DD7547">
        <w:rPr>
          <w:rFonts w:ascii="TimesNewRoman,Italic" w:hAnsi="TimesNewRoman,Italic"/>
          <w:szCs w:val="22"/>
        </w:rPr>
        <w:t xml:space="preserve"> může způsobit silné bolesti a otok, zvláště po injekčním podání do kloubu nebo prstu, a ve vzácných případech může vést k</w:t>
      </w:r>
      <w:r>
        <w:rPr>
          <w:rFonts w:ascii="TimesNewRoman,Italic" w:hAnsi="TimesNewRoman,Italic"/>
          <w:szCs w:val="22"/>
        </w:rPr>
        <w:t>e</w:t>
      </w:r>
      <w:r w:rsidRPr="00DD7547">
        <w:rPr>
          <w:rFonts w:ascii="TimesNewRoman,Italic" w:hAnsi="TimesNewRoman,Italic"/>
          <w:szCs w:val="22"/>
        </w:rPr>
        <w:t xml:space="preserve"> ztrátě postiženého prstu, pokud není poskytnuta rychlá lékařská péče.</w:t>
      </w:r>
    </w:p>
    <w:p w14:paraId="3F737C91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Pokud u vás došlo k náhodné injekci přípravku, vyhledejte lékařskou pomoc, i když šlo jen o malé množství, a vezměte příbalovou informaci s sebou.</w:t>
      </w:r>
    </w:p>
    <w:p w14:paraId="4C7EA2E9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Pokud bolest přetrvává více než 12 hodin po lékařské prohlídce, obraťte se na lékaře znovu.</w:t>
      </w:r>
    </w:p>
    <w:p w14:paraId="313CB57D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</w:p>
    <w:p w14:paraId="010B4505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Pro lékaře:</w:t>
      </w:r>
    </w:p>
    <w:p w14:paraId="286384AB" w14:textId="77777777" w:rsidR="000737EC" w:rsidRPr="00DD7547" w:rsidRDefault="000737EC" w:rsidP="00A72A1B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DD7547">
        <w:rPr>
          <w:rFonts w:ascii="TimesNewRoman,Italic" w:hAnsi="TimesNewRoman,Italic"/>
          <w:szCs w:val="22"/>
        </w:rPr>
        <w:t>Tento přípravek obsahuje minerální olej. I když bylo injekčně aplikované malé množství, náhodná</w:t>
      </w:r>
    </w:p>
    <w:p w14:paraId="0CE56247" w14:textId="77777777" w:rsidR="000737EC" w:rsidRPr="00DD7547" w:rsidRDefault="000737EC" w:rsidP="00A72A1B">
      <w:pPr>
        <w:autoSpaceDE w:val="0"/>
        <w:autoSpaceDN w:val="0"/>
        <w:adjustRightInd w:val="0"/>
        <w:jc w:val="both"/>
      </w:pPr>
      <w:r w:rsidRPr="00DD7547">
        <w:rPr>
          <w:rFonts w:ascii="TimesNewRoman,Italic" w:hAnsi="TimesNewRoman,Italic"/>
          <w:szCs w:val="22"/>
        </w:rPr>
        <w:t>injekce tohoto přípravku může vyvolat intenzivní otok, který může např. končit ischemickou nekróz</w:t>
      </w:r>
      <w:r>
        <w:rPr>
          <w:rFonts w:ascii="TimesNewRoman,Italic" w:hAnsi="TimesNewRoman,Italic"/>
          <w:szCs w:val="22"/>
        </w:rPr>
        <w:t>o</w:t>
      </w:r>
      <w:r w:rsidRPr="00DD7547">
        <w:rPr>
          <w:rFonts w:ascii="TimesNewRoman,Italic" w:hAnsi="TimesNewRoman,Italic"/>
          <w:szCs w:val="22"/>
        </w:rPr>
        <w:t>u a dokonce i ztrát</w:t>
      </w:r>
      <w:r>
        <w:rPr>
          <w:rFonts w:ascii="TimesNewRoman,Italic" w:hAnsi="TimesNewRoman,Italic"/>
          <w:szCs w:val="22"/>
        </w:rPr>
        <w:t>o</w:t>
      </w:r>
      <w:r w:rsidRPr="00DD7547">
        <w:rPr>
          <w:rFonts w:ascii="TimesNewRoman,Italic" w:hAnsi="TimesNewRoman,Italic"/>
          <w:szCs w:val="22"/>
        </w:rPr>
        <w:t>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59BE2DED" w:rsidR="005B1FD0" w:rsidRPr="00B41D57" w:rsidRDefault="0019440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Březost a laktace</w:t>
      </w:r>
      <w:r w:rsidRPr="00B41D57">
        <w:t>:</w:t>
      </w:r>
    </w:p>
    <w:p w14:paraId="3E5D4F31" w14:textId="77777777" w:rsidR="00DA54ED" w:rsidRPr="00DD7547" w:rsidRDefault="00DA54ED" w:rsidP="00DA54ED">
      <w:pPr>
        <w:ind w:left="1080" w:hanging="1080"/>
        <w:jc w:val="both"/>
      </w:pPr>
      <w:r w:rsidRPr="00DD7547">
        <w:t>Nevakcinují se prasnice 2 týdny před a 4 týdny po porodu.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0D872D2" w:rsidR="005B1FD0" w:rsidRPr="00B41D57" w:rsidRDefault="0019440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FAC3DA3" w14:textId="2587DE1B" w:rsidR="000737EC" w:rsidRDefault="000737EC" w:rsidP="00A72A1B">
      <w:pPr>
        <w:jc w:val="both"/>
      </w:pPr>
      <w:r w:rsidRPr="00DD7547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86068CE" w14:textId="77777777" w:rsidR="00A72A1B" w:rsidRPr="00DD7547" w:rsidRDefault="00A72A1B" w:rsidP="00A72A1B">
      <w:pPr>
        <w:jc w:val="both"/>
      </w:pPr>
    </w:p>
    <w:p w14:paraId="5B6C6DA5" w14:textId="6E6890A4" w:rsidR="005B1FD0" w:rsidRPr="00B41D57" w:rsidRDefault="0019440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9BDD7B5" w14:textId="77777777" w:rsidR="0082696E" w:rsidRPr="00DD7547" w:rsidRDefault="0082696E" w:rsidP="0082696E">
      <w:pPr>
        <w:ind w:left="1080" w:hanging="1080"/>
        <w:jc w:val="both"/>
      </w:pPr>
      <w:r w:rsidRPr="00DD7547">
        <w:t>Dvojnásobná dávka vakcíny nezpůsobuje žádné vedlejší účinky cílovým zvířatům.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565C439" w:rsidR="005B1FD0" w:rsidRPr="00B41D57" w:rsidRDefault="0019440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2973C4F" w14:textId="77777777" w:rsidR="00CC5C4E" w:rsidRPr="00CC5C4E" w:rsidRDefault="00CC5C4E" w:rsidP="00CC5C4E">
      <w:r w:rsidRPr="00CC5C4E">
        <w:t>Nemísit s jiným veterinárním léčivým přípravkem.</w:t>
      </w:r>
    </w:p>
    <w:p w14:paraId="435ECEDB" w14:textId="55A18D1D" w:rsidR="00DD593B" w:rsidRPr="00B41D57" w:rsidRDefault="00DD593B" w:rsidP="00DD593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14F260E" w14:textId="7807BD8F" w:rsidR="00F1497C" w:rsidRPr="00B41D57" w:rsidRDefault="00F1497C" w:rsidP="00F1497C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5E01FECC" w14:textId="77777777" w:rsidR="00601480" w:rsidRDefault="00601480" w:rsidP="00601480">
      <w:pPr>
        <w:spacing w:line="240" w:lineRule="exact"/>
      </w:pPr>
      <w:r w:rsidRPr="00D77F22">
        <w:t>Časté</w:t>
      </w:r>
      <w:r>
        <w:t xml:space="preserve"> (</w:t>
      </w:r>
      <w:r w:rsidRPr="00D77F22">
        <w:t>1 až 10 zvířat / 100 ošetřených zvířat):</w:t>
      </w:r>
      <w:r>
        <w:tab/>
      </w:r>
    </w:p>
    <w:p w14:paraId="0D98BC5E" w14:textId="77777777" w:rsidR="00601480" w:rsidRPr="00D77F22" w:rsidRDefault="00601480" w:rsidP="00601480">
      <w:pPr>
        <w:spacing w:line="240" w:lineRule="exact"/>
        <w:rPr>
          <w:iCs/>
          <w:szCs w:val="22"/>
          <w:vertAlign w:val="superscript"/>
        </w:rPr>
      </w:pPr>
      <w:r>
        <w:rPr>
          <w:iCs/>
          <w:szCs w:val="22"/>
        </w:rPr>
        <w:t xml:space="preserve">- </w:t>
      </w:r>
      <w:r w:rsidRPr="00D77F22">
        <w:rPr>
          <w:iCs/>
          <w:szCs w:val="22"/>
        </w:rPr>
        <w:t>Přechodné zvýšení teploty</w:t>
      </w:r>
      <w:r>
        <w:rPr>
          <w:iCs/>
          <w:szCs w:val="22"/>
        </w:rPr>
        <w:t xml:space="preserve">, </w:t>
      </w:r>
      <w:r w:rsidRPr="00CC5C4E">
        <w:rPr>
          <w:iCs/>
          <w:szCs w:val="22"/>
        </w:rPr>
        <w:t xml:space="preserve">snížení příjmu krmiva, ospalost </w:t>
      </w:r>
      <w:r w:rsidRPr="00D77F22">
        <w:rPr>
          <w:iCs/>
          <w:szCs w:val="22"/>
          <w:vertAlign w:val="superscript"/>
        </w:rPr>
        <w:t>1</w:t>
      </w:r>
    </w:p>
    <w:p w14:paraId="377F16F9" w14:textId="78A83BD3" w:rsidR="00601480" w:rsidRPr="00B41D57" w:rsidRDefault="00601480" w:rsidP="00601480">
      <w:pPr>
        <w:tabs>
          <w:tab w:val="clear" w:pos="567"/>
        </w:tabs>
        <w:spacing w:line="240" w:lineRule="exact"/>
        <w:rPr>
          <w:szCs w:val="22"/>
        </w:rPr>
      </w:pPr>
      <w:r>
        <w:rPr>
          <w:iCs/>
          <w:szCs w:val="22"/>
        </w:rPr>
        <w:t xml:space="preserve">- </w:t>
      </w:r>
      <w:r w:rsidRPr="00D77F22">
        <w:rPr>
          <w:iCs/>
          <w:szCs w:val="22"/>
        </w:rPr>
        <w:t xml:space="preserve">Lokální reakce </w:t>
      </w:r>
      <w:r>
        <w:rPr>
          <w:iCs/>
          <w:szCs w:val="22"/>
        </w:rPr>
        <w:t xml:space="preserve">(otok) </w:t>
      </w:r>
      <w:r w:rsidRPr="00D77F22">
        <w:rPr>
          <w:iCs/>
          <w:szCs w:val="22"/>
        </w:rPr>
        <w:t xml:space="preserve">v místě </w:t>
      </w:r>
      <w:r>
        <w:rPr>
          <w:iCs/>
          <w:szCs w:val="22"/>
        </w:rPr>
        <w:t>injekčního podání</w:t>
      </w:r>
      <w:r w:rsidR="00BE79D4">
        <w:rPr>
          <w:iCs/>
          <w:szCs w:val="22"/>
        </w:rPr>
        <w:t xml:space="preserve"> </w:t>
      </w:r>
      <w:r w:rsidRPr="00D77F22">
        <w:rPr>
          <w:iCs/>
          <w:szCs w:val="22"/>
          <w:vertAlign w:val="superscript"/>
        </w:rPr>
        <w:t>2</w:t>
      </w:r>
    </w:p>
    <w:p w14:paraId="020DA30C" w14:textId="77777777" w:rsidR="00F1497C" w:rsidRPr="00D77F22" w:rsidRDefault="00F1497C" w:rsidP="00F1497C">
      <w:pPr>
        <w:tabs>
          <w:tab w:val="clear" w:pos="567"/>
        </w:tabs>
        <w:spacing w:line="240" w:lineRule="auto"/>
        <w:rPr>
          <w:szCs w:val="22"/>
        </w:rPr>
      </w:pPr>
    </w:p>
    <w:p w14:paraId="6034C020" w14:textId="086E5CF9" w:rsidR="00F1497C" w:rsidRPr="00D77F22" w:rsidRDefault="00F1497C" w:rsidP="00F1497C">
      <w:pPr>
        <w:tabs>
          <w:tab w:val="clear" w:pos="567"/>
          <w:tab w:val="left" w:pos="360"/>
        </w:tabs>
        <w:ind w:left="360" w:hanging="360"/>
      </w:pPr>
      <w:r w:rsidRPr="00D77F22">
        <w:rPr>
          <w:vertAlign w:val="superscript"/>
        </w:rPr>
        <w:t>1</w:t>
      </w:r>
      <w:r w:rsidRPr="00D77F22">
        <w:tab/>
        <w:t>za 2</w:t>
      </w:r>
      <w:r w:rsidRPr="00D77F22">
        <w:noBreakHyphen/>
        <w:t xml:space="preserve">4 hodiny po vakcinaci, vymizí v průběhu 24 – 36 hodin. </w:t>
      </w:r>
    </w:p>
    <w:p w14:paraId="62BB7161" w14:textId="1887BC1C" w:rsidR="00F1497C" w:rsidRPr="00DD7547" w:rsidRDefault="00F1497C" w:rsidP="00F1497C">
      <w:pPr>
        <w:tabs>
          <w:tab w:val="clear" w:pos="567"/>
          <w:tab w:val="left" w:pos="360"/>
        </w:tabs>
      </w:pPr>
      <w:r w:rsidRPr="00D77F22">
        <w:rPr>
          <w:vertAlign w:val="superscript"/>
        </w:rPr>
        <w:t>2</w:t>
      </w:r>
      <w:r w:rsidRPr="00D77F22">
        <w:tab/>
        <w:t>vymizí do 2 – 3 týdnů.</w:t>
      </w:r>
    </w:p>
    <w:p w14:paraId="75F9C232" w14:textId="77777777" w:rsidR="00F1497C" w:rsidRPr="00B41D57" w:rsidRDefault="00F1497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53F007" w14:textId="3D802017" w:rsidR="00F1497C" w:rsidRDefault="0019440B" w:rsidP="00F1497C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1497C">
        <w:t>i</w:t>
      </w:r>
      <w:r w:rsidRPr="00B41D57">
        <w:t xml:space="preserve"> rozhodnutí o registraci</w:t>
      </w:r>
      <w:r w:rsidR="00F1497C">
        <w:t xml:space="preserve"> </w:t>
      </w:r>
      <w:r w:rsidR="00F1497C" w:rsidRPr="009E6B9D">
        <w:rPr>
          <w:szCs w:val="22"/>
        </w:rPr>
        <w:t>s využitím kontaktních údajů uvedených na konci této příbalové informace</w:t>
      </w:r>
      <w:r w:rsidRPr="00B41D57">
        <w:t xml:space="preserve"> nebo prostřednictvím národního systému hlášení nežádoucích účinků</w:t>
      </w:r>
      <w:r w:rsidR="003E6225">
        <w:t>:</w:t>
      </w:r>
    </w:p>
    <w:p w14:paraId="316B2859" w14:textId="77777777" w:rsidR="00F1497C" w:rsidRPr="009E6B9D" w:rsidRDefault="00F1497C" w:rsidP="00F1497C">
      <w:pPr>
        <w:jc w:val="both"/>
        <w:rPr>
          <w:szCs w:val="22"/>
        </w:rPr>
      </w:pPr>
      <w:r w:rsidRPr="009E6B9D">
        <w:rPr>
          <w:szCs w:val="22"/>
        </w:rPr>
        <w:t xml:space="preserve">Ústav pro státní kontrolu veterinárních biopreparátů a léčiv </w:t>
      </w:r>
    </w:p>
    <w:p w14:paraId="76F7B0AD" w14:textId="77777777" w:rsidR="00F1497C" w:rsidRPr="009E6B9D" w:rsidRDefault="00F1497C" w:rsidP="00F1497C">
      <w:pPr>
        <w:jc w:val="both"/>
        <w:rPr>
          <w:szCs w:val="22"/>
        </w:rPr>
      </w:pPr>
      <w:r w:rsidRPr="009E6B9D">
        <w:rPr>
          <w:szCs w:val="22"/>
        </w:rPr>
        <w:t xml:space="preserve">Hudcova 232/56a </w:t>
      </w:r>
    </w:p>
    <w:p w14:paraId="1741CE97" w14:textId="77777777" w:rsidR="00F1497C" w:rsidRPr="009E6B9D" w:rsidRDefault="00F1497C" w:rsidP="00F1497C">
      <w:pPr>
        <w:jc w:val="both"/>
        <w:rPr>
          <w:szCs w:val="22"/>
        </w:rPr>
      </w:pPr>
      <w:r w:rsidRPr="009E6B9D">
        <w:rPr>
          <w:szCs w:val="22"/>
        </w:rPr>
        <w:t>621 00 Brno</w:t>
      </w:r>
    </w:p>
    <w:p w14:paraId="529F4681" w14:textId="77777777" w:rsidR="00F1497C" w:rsidRPr="009E6B9D" w:rsidRDefault="00F1497C" w:rsidP="00F1497C">
      <w:pPr>
        <w:jc w:val="both"/>
        <w:rPr>
          <w:szCs w:val="22"/>
        </w:rPr>
      </w:pPr>
      <w:r w:rsidRPr="009E6B9D">
        <w:rPr>
          <w:szCs w:val="22"/>
        </w:rPr>
        <w:t xml:space="preserve">Mail: </w:t>
      </w:r>
      <w:hyperlink r:id="rId8" w:history="1">
        <w:r w:rsidRPr="009E6B9D">
          <w:rPr>
            <w:rStyle w:val="Hypertextovodkaz"/>
            <w:szCs w:val="22"/>
          </w:rPr>
          <w:t>adr@uskvbl.cz</w:t>
        </w:r>
      </w:hyperlink>
      <w:r w:rsidRPr="009E6B9D">
        <w:rPr>
          <w:szCs w:val="22"/>
        </w:rPr>
        <w:t xml:space="preserve"> </w:t>
      </w:r>
    </w:p>
    <w:p w14:paraId="43609FED" w14:textId="77777777" w:rsidR="00F1497C" w:rsidRPr="009E6B9D" w:rsidRDefault="00F1497C" w:rsidP="00F1497C">
      <w:pPr>
        <w:rPr>
          <w:noProof/>
          <w:szCs w:val="22"/>
        </w:rPr>
      </w:pPr>
      <w:r w:rsidRPr="009E6B9D">
        <w:rPr>
          <w:szCs w:val="22"/>
        </w:rPr>
        <w:t xml:space="preserve">Webové stránky: </w:t>
      </w:r>
      <w:hyperlink r:id="rId9" w:history="1">
        <w:r w:rsidRPr="009E6B9D">
          <w:rPr>
            <w:rStyle w:val="Hypertextovodkaz"/>
            <w:szCs w:val="22"/>
          </w:rPr>
          <w:t>www.uskvbl.cz/cs/farmakovigilance</w:t>
        </w:r>
      </w:hyperlink>
      <w:r w:rsidRPr="009E6B9D">
        <w:rPr>
          <w:szCs w:val="22"/>
        </w:rP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F6C25C9" w14:textId="4041E119" w:rsidR="000737EC" w:rsidRPr="00DD7547" w:rsidRDefault="00F1497C" w:rsidP="00A72A1B">
      <w:pPr>
        <w:tabs>
          <w:tab w:val="clear" w:pos="567"/>
        </w:tabs>
        <w:spacing w:line="240" w:lineRule="auto"/>
      </w:pPr>
      <w:r>
        <w:rPr>
          <w:szCs w:val="22"/>
        </w:rPr>
        <w:t xml:space="preserve">Dávka </w:t>
      </w:r>
      <w:r w:rsidR="000737EC" w:rsidRPr="00DD7547">
        <w:t>2 ml</w:t>
      </w:r>
      <w:r>
        <w:t>, podání</w:t>
      </w:r>
      <w:r w:rsidR="000737EC" w:rsidRPr="00DD7547">
        <w:t xml:space="preserve"> subkutánně.</w:t>
      </w:r>
    </w:p>
    <w:p w14:paraId="72F28B46" w14:textId="77777777" w:rsidR="000737EC" w:rsidRPr="00DD7547" w:rsidRDefault="000737EC" w:rsidP="000737EC">
      <w:pPr>
        <w:ind w:left="1080" w:hanging="1080"/>
      </w:pPr>
      <w:r w:rsidRPr="00DD7547">
        <w:t xml:space="preserve">První vakcinace od stáří 8 týdnů. </w:t>
      </w:r>
    </w:p>
    <w:p w14:paraId="5DD5F4FD" w14:textId="77777777" w:rsidR="000737EC" w:rsidRPr="00DD7547" w:rsidRDefault="000737EC" w:rsidP="000737EC">
      <w:pPr>
        <w:ind w:left="1080" w:hanging="1080"/>
      </w:pPr>
      <w:r w:rsidRPr="00DD7547">
        <w:t>U chovných prasat druhá a další vakcinace vždy za 6 měsíců.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36E6AA6" w14:textId="77777777" w:rsidR="000737EC" w:rsidRPr="00DD7547" w:rsidRDefault="000737EC" w:rsidP="000737EC">
      <w:r w:rsidRPr="00DD7547">
        <w:rPr>
          <w:snapToGrid w:val="0"/>
        </w:rPr>
        <w:t>Před upotřeb</w:t>
      </w:r>
      <w:r>
        <w:rPr>
          <w:snapToGrid w:val="0"/>
        </w:rPr>
        <w:t>ením nutno obsah lékovky protře</w:t>
      </w:r>
      <w:r w:rsidRPr="00DD7547">
        <w:rPr>
          <w:snapToGrid w:val="0"/>
        </w:rPr>
        <w:t>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19440B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42F00384" w14:textId="77777777" w:rsidR="000737EC" w:rsidRPr="00DD7547" w:rsidRDefault="000737EC" w:rsidP="000737EC">
      <w:r w:rsidRPr="00DD7547"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19440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035761CD" w:rsidR="00C114FF" w:rsidRPr="00B41D57" w:rsidRDefault="0019440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643B3707" w:rsidR="00C114FF" w:rsidRPr="00B41D57" w:rsidRDefault="0019440B" w:rsidP="001D4CE4">
      <w:pPr>
        <w:pStyle w:val="Style5"/>
      </w:pPr>
      <w:r w:rsidRPr="00B41D57">
        <w:t>Chraňte před mrazem</w:t>
      </w:r>
      <w:r w:rsidR="0082696E">
        <w:rPr>
          <w:color w:val="008000"/>
        </w:rPr>
        <w:t>.</w:t>
      </w:r>
    </w:p>
    <w:p w14:paraId="64809511" w14:textId="75731B18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3CC369BE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</w:t>
      </w:r>
      <w:r w:rsidR="0082696E">
        <w:t>.</w:t>
      </w:r>
    </w:p>
    <w:p w14:paraId="00BCE37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7BBBA1EE" w:rsidR="00C114FF" w:rsidRPr="00B41D57" w:rsidRDefault="0019440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0737EC">
        <w:t xml:space="preserve"> 10 hodin.</w:t>
      </w:r>
    </w:p>
    <w:p w14:paraId="6BF73524" w14:textId="2FBC71F2" w:rsidR="0043320A" w:rsidRDefault="000737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737EC">
        <w:rPr>
          <w:szCs w:val="22"/>
        </w:rPr>
        <w:lastRenderedPageBreak/>
        <w:t>Nepoužívejte po uplynutí doby použitelnosti uvedené na krabičce a na etiketě.</w:t>
      </w:r>
    </w:p>
    <w:p w14:paraId="19F24F63" w14:textId="1A058619" w:rsidR="00A72A1B" w:rsidRDefault="00A72A1B" w:rsidP="00A72A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72A1B">
        <w:rPr>
          <w:szCs w:val="22"/>
        </w:rPr>
        <w:t>Doba použitelnosti končí posledním dnem v uvedeném měsíci.</w:t>
      </w:r>
    </w:p>
    <w:p w14:paraId="528E37AD" w14:textId="77777777" w:rsidR="000737EC" w:rsidRPr="00B41D57" w:rsidRDefault="000737EC" w:rsidP="00A72A1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B41D57" w:rsidRDefault="0019440B" w:rsidP="00A72A1B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0345CA6A" w:rsidR="00C114FF" w:rsidRPr="00B41D57" w:rsidRDefault="0019440B" w:rsidP="00A72A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0737EC">
        <w:t xml:space="preserve"> </w:t>
      </w:r>
      <w:r w:rsidRPr="00B41D57">
        <w:t>či domovního odpadu.</w:t>
      </w:r>
    </w:p>
    <w:p w14:paraId="6D54AD59" w14:textId="77777777" w:rsidR="00DB468A" w:rsidRPr="00B41D57" w:rsidRDefault="00DB468A" w:rsidP="00A72A1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2C752508" w:rsidR="00DB468A" w:rsidRPr="00B41D57" w:rsidRDefault="0019440B" w:rsidP="00A72A1B">
      <w:pPr>
        <w:ind w:right="-318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D42EE6B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DECBB90" w14:textId="31AF690D" w:rsidR="00A84F24" w:rsidRDefault="00A84F24" w:rsidP="00A84F24">
      <w:pPr>
        <w:tabs>
          <w:tab w:val="clear" w:pos="567"/>
        </w:tabs>
        <w:spacing w:line="240" w:lineRule="auto"/>
      </w:pPr>
      <w:bookmarkStart w:id="1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1"/>
      <w:r w:rsidRPr="00B41D57">
        <w:t>.</w:t>
      </w:r>
    </w:p>
    <w:p w14:paraId="315DF78F" w14:textId="77777777" w:rsidR="00A72A1B" w:rsidRPr="00B41D57" w:rsidRDefault="00A72A1B" w:rsidP="00A84F24">
      <w:pPr>
        <w:tabs>
          <w:tab w:val="clear" w:pos="567"/>
        </w:tabs>
        <w:spacing w:line="240" w:lineRule="auto"/>
        <w:rPr>
          <w:szCs w:val="22"/>
        </w:rPr>
      </w:pPr>
    </w:p>
    <w:p w14:paraId="31B48E2D" w14:textId="77777777" w:rsidR="00DB468A" w:rsidRPr="00B41D57" w:rsidRDefault="0019440B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20BDB35" w14:textId="001D4F83" w:rsidR="00F1497C" w:rsidRPr="00DE08DF" w:rsidRDefault="00F1497C" w:rsidP="00F1497C">
      <w:pPr>
        <w:ind w:right="566"/>
      </w:pPr>
      <w:r>
        <w:t>V</w:t>
      </w:r>
      <w:r w:rsidRPr="00DD7547">
        <w:t>eterinární léčivý přípravek je vydáván pouze na předpis.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9440B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08C728D" w14:textId="77777777" w:rsidR="00A84F24" w:rsidRDefault="00A84F24" w:rsidP="00F1497C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14:paraId="26C3DCF0" w14:textId="1AD7A6E8" w:rsidR="00A84F24" w:rsidRDefault="00A84F24" w:rsidP="00F1497C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</w:rPr>
      </w:pPr>
      <w:r w:rsidRPr="00A84F24">
        <w:rPr>
          <w:rFonts w:ascii="Times New Roman" w:hAnsi="Times New Roman"/>
          <w:sz w:val="22"/>
          <w:szCs w:val="22"/>
        </w:rPr>
        <w:t>97/389/96-C</w:t>
      </w:r>
    </w:p>
    <w:p w14:paraId="5E2AC2AF" w14:textId="77777777" w:rsidR="00A84F24" w:rsidRDefault="00A84F24" w:rsidP="00F1497C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14:paraId="7C7A8426" w14:textId="27133423" w:rsidR="00F1497C" w:rsidRPr="00DD7547" w:rsidRDefault="00F1497C" w:rsidP="00F1497C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</w:rPr>
      </w:pPr>
      <w:r w:rsidRPr="00DD7547">
        <w:rPr>
          <w:rFonts w:ascii="Times New Roman" w:hAnsi="Times New Roman"/>
          <w:sz w:val="22"/>
          <w:szCs w:val="22"/>
        </w:rPr>
        <w:t>Velikosti balení:</w:t>
      </w:r>
    </w:p>
    <w:p w14:paraId="01A8BE29" w14:textId="77777777" w:rsidR="00A72A1B" w:rsidRPr="00DD7547" w:rsidRDefault="00A72A1B" w:rsidP="00A72A1B">
      <w:r w:rsidRPr="00DD7547">
        <w:rPr>
          <w:szCs w:val="22"/>
        </w:rPr>
        <w:t>1</w:t>
      </w:r>
      <w:r>
        <w:rPr>
          <w:szCs w:val="22"/>
        </w:rPr>
        <w:t>×</w:t>
      </w:r>
      <w:r w:rsidRPr="00DD7547">
        <w:rPr>
          <w:szCs w:val="22"/>
        </w:rPr>
        <w:t>10 ml, 5</w:t>
      </w:r>
      <w:r>
        <w:rPr>
          <w:szCs w:val="22"/>
        </w:rPr>
        <w:t>×</w:t>
      </w:r>
      <w:r w:rsidRPr="00DD7547">
        <w:rPr>
          <w:szCs w:val="22"/>
        </w:rPr>
        <w:t>20 ml, 1</w:t>
      </w:r>
      <w:r>
        <w:rPr>
          <w:szCs w:val="22"/>
        </w:rPr>
        <w:t>×</w:t>
      </w:r>
      <w:r w:rsidRPr="00DD7547">
        <w:rPr>
          <w:szCs w:val="22"/>
        </w:rPr>
        <w:t>50 ml, 1</w:t>
      </w:r>
      <w:r>
        <w:rPr>
          <w:szCs w:val="22"/>
        </w:rPr>
        <w:t>×</w:t>
      </w:r>
      <w:r w:rsidRPr="00DD7547">
        <w:rPr>
          <w:szCs w:val="22"/>
        </w:rPr>
        <w:t>100 ml.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3B9C21C7" w:rsidR="00DB468A" w:rsidRPr="00B41D57" w:rsidRDefault="0019440B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</w:t>
      </w:r>
      <w:r w:rsidR="00F1497C">
        <w:t>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9440B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8FB153C" w14:textId="69C0D8F9" w:rsidR="00DB468A" w:rsidRPr="00B41D57" w:rsidRDefault="00A84F2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15C08D53" w14:textId="105AC7C8" w:rsidR="001F1C7E" w:rsidRDefault="0019440B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5AEF843" w14:textId="2476DA17" w:rsidR="00A84F24" w:rsidRDefault="00A84F2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28EA65E8" w14:textId="77777777" w:rsidR="00A84F24" w:rsidRPr="00A84F24" w:rsidRDefault="00A84F24" w:rsidP="00A84F24">
      <w:pPr>
        <w:tabs>
          <w:tab w:val="clear" w:pos="567"/>
        </w:tabs>
        <w:spacing w:line="240" w:lineRule="auto"/>
        <w:rPr>
          <w:szCs w:val="22"/>
        </w:rPr>
      </w:pPr>
      <w:bookmarkStart w:id="2" w:name="_Hlk132285734"/>
      <w:r w:rsidRPr="00A84F24">
        <w:rPr>
          <w:szCs w:val="22"/>
        </w:rPr>
        <w:t>Podrobné informace o tomto veterinárním léčivém přípravku naleznete také v národní databázi (</w:t>
      </w:r>
      <w:hyperlink r:id="rId11" w:history="1">
        <w:r w:rsidRPr="00A84F24">
          <w:rPr>
            <w:rStyle w:val="Hypertextovodkaz"/>
            <w:szCs w:val="22"/>
          </w:rPr>
          <w:t>https://www.uskvbl.cz</w:t>
        </w:r>
      </w:hyperlink>
      <w:r w:rsidRPr="00A84F24">
        <w:rPr>
          <w:szCs w:val="22"/>
        </w:rPr>
        <w:t>)</w:t>
      </w:r>
      <w:bookmarkEnd w:id="2"/>
      <w:r w:rsidRPr="00A84F24">
        <w:rPr>
          <w:szCs w:val="22"/>
        </w:rPr>
        <w:t>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9440B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195AAC8F" w:rsidR="00DB468A" w:rsidRPr="00B41D57" w:rsidRDefault="0019440B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F1497C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3"/>
    <w:p w14:paraId="5CBB2BDE" w14:textId="77777777" w:rsidR="0082696E" w:rsidRDefault="0082696E" w:rsidP="0082696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138EB972" w14:textId="77777777" w:rsidR="0082696E" w:rsidRPr="00F500A2" w:rsidRDefault="0082696E" w:rsidP="0082696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Komenského 212/12 </w:t>
      </w:r>
    </w:p>
    <w:p w14:paraId="656CFD10" w14:textId="77777777" w:rsidR="0082696E" w:rsidRPr="00F500A2" w:rsidRDefault="0082696E" w:rsidP="0082696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68323 Ivanovice na Hané </w:t>
      </w:r>
    </w:p>
    <w:p w14:paraId="213546ED" w14:textId="77777777" w:rsidR="0082696E" w:rsidRPr="00F500A2" w:rsidRDefault="0082696E" w:rsidP="0082696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>Česká republika</w:t>
      </w:r>
    </w:p>
    <w:p w14:paraId="13EEAC18" w14:textId="77777777" w:rsidR="0082696E" w:rsidRPr="00F500A2" w:rsidRDefault="0082696E" w:rsidP="0082696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Tel. (+420) 517 318 911 </w:t>
      </w:r>
    </w:p>
    <w:p w14:paraId="464CDED3" w14:textId="77777777" w:rsidR="0082696E" w:rsidRDefault="0082696E" w:rsidP="0082696E">
      <w:pPr>
        <w:rPr>
          <w:color w:val="0000FF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email: </w:t>
      </w:r>
      <w:hyperlink r:id="rId12" w:history="1">
        <w:r w:rsidRPr="00542C80">
          <w:rPr>
            <w:rStyle w:val="Hypertextovodkaz"/>
            <w:szCs w:val="22"/>
            <w:lang w:eastAsia="en-GB"/>
          </w:rPr>
          <w:t>reklamace@bioveta.cz</w:t>
        </w:r>
      </w:hyperlink>
    </w:p>
    <w:p w14:paraId="0E0D10C8" w14:textId="77777777" w:rsidR="0082696E" w:rsidRPr="009E6B9D" w:rsidRDefault="0082696E" w:rsidP="0082696E">
      <w:pPr>
        <w:tabs>
          <w:tab w:val="clear" w:pos="567"/>
        </w:tabs>
        <w:spacing w:line="240" w:lineRule="auto"/>
        <w:rPr>
          <w:szCs w:val="22"/>
        </w:rPr>
      </w:pPr>
      <w:r w:rsidRPr="00E63BFB">
        <w:rPr>
          <w:szCs w:val="22"/>
          <w:highlight w:val="lightGray"/>
        </w:rPr>
        <w:t>&lt;logo</w:t>
      </w:r>
      <w:r w:rsidRPr="00E63BFB">
        <w:rPr>
          <w:szCs w:val="22"/>
          <w:highlight w:val="lightGray"/>
        </w:rPr>
        <w:sym w:font="Symbol" w:char="F03E"/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B94024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EC48" w14:textId="77777777" w:rsidR="005778E4" w:rsidRDefault="005778E4">
      <w:pPr>
        <w:spacing w:line="240" w:lineRule="auto"/>
      </w:pPr>
      <w:r>
        <w:separator/>
      </w:r>
    </w:p>
  </w:endnote>
  <w:endnote w:type="continuationSeparator" w:id="0">
    <w:p w14:paraId="7A4A239E" w14:textId="77777777" w:rsidR="005778E4" w:rsidRDefault="00577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944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944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C98C" w14:textId="77777777" w:rsidR="005778E4" w:rsidRDefault="005778E4">
      <w:pPr>
        <w:spacing w:line="240" w:lineRule="auto"/>
      </w:pPr>
      <w:r>
        <w:separator/>
      </w:r>
    </w:p>
  </w:footnote>
  <w:footnote w:type="continuationSeparator" w:id="0">
    <w:p w14:paraId="2B3DBBEA" w14:textId="77777777" w:rsidR="005778E4" w:rsidRDefault="00577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37EC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0B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2FFE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D33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541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B7C"/>
    <w:rsid w:val="00453E1D"/>
    <w:rsid w:val="00454589"/>
    <w:rsid w:val="00456ED0"/>
    <w:rsid w:val="00457550"/>
    <w:rsid w:val="00457B74"/>
    <w:rsid w:val="00461B2A"/>
    <w:rsid w:val="004620A4"/>
    <w:rsid w:val="0047339D"/>
    <w:rsid w:val="00474C50"/>
    <w:rsid w:val="004768DB"/>
    <w:rsid w:val="004771F9"/>
    <w:rsid w:val="00483840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1B6B"/>
    <w:rsid w:val="0057436C"/>
    <w:rsid w:val="00575DE3"/>
    <w:rsid w:val="005778E4"/>
    <w:rsid w:val="00580B08"/>
    <w:rsid w:val="00582578"/>
    <w:rsid w:val="0058621D"/>
    <w:rsid w:val="00586904"/>
    <w:rsid w:val="005A2E0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480"/>
    <w:rsid w:val="00602D3B"/>
    <w:rsid w:val="0060326F"/>
    <w:rsid w:val="00606EA1"/>
    <w:rsid w:val="006128F0"/>
    <w:rsid w:val="0061726B"/>
    <w:rsid w:val="00617B81"/>
    <w:rsid w:val="0062387A"/>
    <w:rsid w:val="006325BF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CB0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53A"/>
    <w:rsid w:val="0082153D"/>
    <w:rsid w:val="008255AA"/>
    <w:rsid w:val="0082696E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8B9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23"/>
    <w:rsid w:val="0090598C"/>
    <w:rsid w:val="00905CAB"/>
    <w:rsid w:val="009071BB"/>
    <w:rsid w:val="00913885"/>
    <w:rsid w:val="00915ABF"/>
    <w:rsid w:val="00921CAD"/>
    <w:rsid w:val="0092486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8F9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2A1B"/>
    <w:rsid w:val="00A75E23"/>
    <w:rsid w:val="00A82AA0"/>
    <w:rsid w:val="00A82F8A"/>
    <w:rsid w:val="00A84622"/>
    <w:rsid w:val="00A84BF0"/>
    <w:rsid w:val="00A84F24"/>
    <w:rsid w:val="00A9226B"/>
    <w:rsid w:val="00A9575C"/>
    <w:rsid w:val="00A95B56"/>
    <w:rsid w:val="00A95E81"/>
    <w:rsid w:val="00A969AF"/>
    <w:rsid w:val="00AA3E24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024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E79D4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5C4E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0990"/>
    <w:rsid w:val="00D32624"/>
    <w:rsid w:val="00D3691A"/>
    <w:rsid w:val="00D377E2"/>
    <w:rsid w:val="00D403E9"/>
    <w:rsid w:val="00D42DCB"/>
    <w:rsid w:val="00D45482"/>
    <w:rsid w:val="00D45DC0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F22"/>
    <w:rsid w:val="00D83661"/>
    <w:rsid w:val="00D9216A"/>
    <w:rsid w:val="00D95BBB"/>
    <w:rsid w:val="00D97E7D"/>
    <w:rsid w:val="00DA2A06"/>
    <w:rsid w:val="00DA54ED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93B"/>
    <w:rsid w:val="00DD669D"/>
    <w:rsid w:val="00DE127F"/>
    <w:rsid w:val="00DE424A"/>
    <w:rsid w:val="00DE4419"/>
    <w:rsid w:val="00DE51D5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50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77E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97C"/>
    <w:rsid w:val="00F14ACA"/>
    <w:rsid w:val="00F17A0C"/>
    <w:rsid w:val="00F23927"/>
    <w:rsid w:val="00F26644"/>
    <w:rsid w:val="00F26A05"/>
    <w:rsid w:val="00F307CE"/>
    <w:rsid w:val="00F32344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B09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91E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D177E"/>
    <w:rPr>
      <w:color w:val="605E5C"/>
      <w:shd w:val="clear" w:color="auto" w:fill="E1DFDD"/>
    </w:rPr>
  </w:style>
  <w:style w:type="character" w:customStyle="1" w:styleId="markedcontent">
    <w:name w:val="markedcontent"/>
    <w:rsid w:val="00372D33"/>
  </w:style>
  <w:style w:type="paragraph" w:styleId="Prosttext">
    <w:name w:val="Plain Text"/>
    <w:basedOn w:val="Normln"/>
    <w:link w:val="ProsttextChar"/>
    <w:rsid w:val="00571B6B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71B6B"/>
    <w:rPr>
      <w:rFonts w:ascii="Courier New" w:hAnsi="Courier New" w:cs="Courier New"/>
      <w:lang w:eastAsia="cs-CZ"/>
    </w:rPr>
  </w:style>
  <w:style w:type="paragraph" w:customStyle="1" w:styleId="Styl0">
    <w:name w:val="Styl 0."/>
    <w:basedOn w:val="Normln"/>
    <w:rsid w:val="00F1497C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E498-97E4-46CA-9A13-D07B618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868</Words>
  <Characters>5123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2025-01-13T13:43:00Z</cp:lastPrinted>
  <dcterms:created xsi:type="dcterms:W3CDTF">2024-12-02T11:05:00Z</dcterms:created>
  <dcterms:modified xsi:type="dcterms:W3CDTF">2025-01-24T15:02:00Z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