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57CD9" w14:textId="28222BD5" w:rsidR="00E57ED3" w:rsidRDefault="00E57ED3">
      <w:pPr>
        <w:tabs>
          <w:tab w:val="clear" w:pos="567"/>
        </w:tabs>
        <w:spacing w:line="240" w:lineRule="auto"/>
        <w:rPr>
          <w:szCs w:val="22"/>
          <w:lang w:val="gsw-FR"/>
        </w:rPr>
      </w:pPr>
      <w:bookmarkStart w:id="0" w:name="_Hlk73349055"/>
    </w:p>
    <w:p w14:paraId="25239E99" w14:textId="77777777" w:rsidR="00E57ED3" w:rsidRDefault="00E57ED3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bookmarkEnd w:id="0"/>
    <w:p w14:paraId="62882088" w14:textId="77777777" w:rsidR="00E57ED3" w:rsidRDefault="00E57ED3">
      <w:pPr>
        <w:ind w:right="-318"/>
        <w:rPr>
          <w:szCs w:val="22"/>
        </w:rPr>
      </w:pPr>
    </w:p>
    <w:p w14:paraId="1B54F027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248DCD7B" w14:textId="77777777" w:rsidR="00E57ED3" w:rsidRDefault="00E57ED3">
      <w:pPr>
        <w:rPr>
          <w:szCs w:val="22"/>
        </w:rPr>
      </w:pPr>
    </w:p>
    <w:p w14:paraId="6F109BD5" w14:textId="77777777" w:rsidR="00E57ED3" w:rsidRDefault="00E57ED3">
      <w:pPr>
        <w:rPr>
          <w:szCs w:val="22"/>
        </w:rPr>
      </w:pPr>
    </w:p>
    <w:p w14:paraId="6B372466" w14:textId="77777777" w:rsidR="00E57ED3" w:rsidRDefault="00E57ED3">
      <w:pPr>
        <w:rPr>
          <w:szCs w:val="22"/>
        </w:rPr>
      </w:pPr>
    </w:p>
    <w:p w14:paraId="3D7C5E28" w14:textId="77777777" w:rsidR="00E57ED3" w:rsidRDefault="00E57ED3">
      <w:pPr>
        <w:rPr>
          <w:szCs w:val="22"/>
        </w:rPr>
      </w:pPr>
    </w:p>
    <w:p w14:paraId="6734FD2B" w14:textId="77777777" w:rsidR="00E57ED3" w:rsidRDefault="00E57ED3">
      <w:pPr>
        <w:rPr>
          <w:szCs w:val="22"/>
        </w:rPr>
      </w:pPr>
    </w:p>
    <w:p w14:paraId="76E15640" w14:textId="77777777" w:rsidR="00E57ED3" w:rsidRDefault="00E57ED3">
      <w:pPr>
        <w:rPr>
          <w:szCs w:val="22"/>
        </w:rPr>
      </w:pPr>
    </w:p>
    <w:p w14:paraId="3DB6CA37" w14:textId="77777777" w:rsidR="00E57ED3" w:rsidRDefault="00E57ED3">
      <w:pPr>
        <w:rPr>
          <w:szCs w:val="22"/>
        </w:rPr>
      </w:pPr>
    </w:p>
    <w:p w14:paraId="2878684A" w14:textId="77777777" w:rsidR="00E57ED3" w:rsidRDefault="00E57ED3">
      <w:pPr>
        <w:rPr>
          <w:szCs w:val="22"/>
        </w:rPr>
      </w:pPr>
    </w:p>
    <w:p w14:paraId="2E459D39" w14:textId="77777777" w:rsidR="00E57ED3" w:rsidRDefault="00E57ED3">
      <w:pPr>
        <w:rPr>
          <w:szCs w:val="22"/>
        </w:rPr>
      </w:pPr>
    </w:p>
    <w:p w14:paraId="3FAD7258" w14:textId="77777777" w:rsidR="00E57ED3" w:rsidRDefault="00E57ED3">
      <w:pPr>
        <w:rPr>
          <w:szCs w:val="22"/>
        </w:rPr>
      </w:pPr>
    </w:p>
    <w:p w14:paraId="7C085D40" w14:textId="77777777" w:rsidR="00E57ED3" w:rsidRDefault="00E57ED3">
      <w:pPr>
        <w:rPr>
          <w:szCs w:val="22"/>
        </w:rPr>
      </w:pPr>
    </w:p>
    <w:p w14:paraId="67EE64CC" w14:textId="77777777" w:rsidR="00E57ED3" w:rsidRDefault="00E57ED3">
      <w:pPr>
        <w:rPr>
          <w:szCs w:val="22"/>
        </w:rPr>
      </w:pPr>
    </w:p>
    <w:p w14:paraId="3F9DCC63" w14:textId="77777777" w:rsidR="00E57ED3" w:rsidRDefault="00E57ED3">
      <w:pPr>
        <w:rPr>
          <w:szCs w:val="22"/>
        </w:rPr>
      </w:pPr>
    </w:p>
    <w:p w14:paraId="23B6C97C" w14:textId="77777777" w:rsidR="00E57ED3" w:rsidRDefault="00E57ED3">
      <w:pPr>
        <w:rPr>
          <w:szCs w:val="22"/>
        </w:rPr>
      </w:pPr>
    </w:p>
    <w:p w14:paraId="365C5385" w14:textId="77777777" w:rsidR="00E57ED3" w:rsidRDefault="00E57ED3">
      <w:pPr>
        <w:rPr>
          <w:szCs w:val="22"/>
        </w:rPr>
      </w:pPr>
    </w:p>
    <w:p w14:paraId="0EFCD502" w14:textId="77777777" w:rsidR="00E57ED3" w:rsidRDefault="00E57ED3">
      <w:pPr>
        <w:rPr>
          <w:szCs w:val="22"/>
        </w:rPr>
      </w:pPr>
    </w:p>
    <w:p w14:paraId="14847057" w14:textId="77777777" w:rsidR="00E57ED3" w:rsidRDefault="00E57ED3">
      <w:pPr>
        <w:rPr>
          <w:szCs w:val="22"/>
        </w:rPr>
      </w:pPr>
    </w:p>
    <w:p w14:paraId="37D67F71" w14:textId="77777777" w:rsidR="00E57ED3" w:rsidRDefault="00E57ED3">
      <w:pPr>
        <w:rPr>
          <w:szCs w:val="22"/>
        </w:rPr>
      </w:pPr>
    </w:p>
    <w:p w14:paraId="3AE3D09E" w14:textId="77777777" w:rsidR="00E57ED3" w:rsidRDefault="00E57ED3">
      <w:pPr>
        <w:rPr>
          <w:szCs w:val="22"/>
        </w:rPr>
      </w:pPr>
    </w:p>
    <w:p w14:paraId="50C70A93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7EED86AF" w14:textId="3E20E15E" w:rsidR="00E57ED3" w:rsidRDefault="009E6421">
      <w:pPr>
        <w:tabs>
          <w:tab w:val="clear" w:pos="567"/>
          <w:tab w:val="left" w:pos="4005"/>
        </w:tabs>
        <w:spacing w:line="240" w:lineRule="auto"/>
        <w:jc w:val="center"/>
        <w:rPr>
          <w:szCs w:val="22"/>
        </w:rPr>
      </w:pPr>
      <w:r>
        <w:rPr>
          <w:b/>
          <w:szCs w:val="22"/>
          <w:lang w:bidi="cs-CZ"/>
        </w:rPr>
        <w:t xml:space="preserve">B. </w:t>
      </w:r>
      <w:r w:rsidR="00227172">
        <w:rPr>
          <w:b/>
          <w:szCs w:val="22"/>
          <w:lang w:bidi="cs-CZ"/>
        </w:rPr>
        <w:t>PŘÍBALOVÁ INFORMACE</w:t>
      </w:r>
    </w:p>
    <w:p w14:paraId="7954ED3E" w14:textId="77777777" w:rsidR="00E57ED3" w:rsidRDefault="00227172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szCs w:val="22"/>
          <w:lang w:bidi="cs-CZ"/>
        </w:rPr>
        <w:br w:type="page"/>
      </w:r>
      <w:r>
        <w:rPr>
          <w:b/>
          <w:szCs w:val="22"/>
          <w:lang w:bidi="cs-CZ"/>
        </w:rPr>
        <w:lastRenderedPageBreak/>
        <w:t>PŘÍBALOVÁ INFORMACE:</w:t>
      </w:r>
    </w:p>
    <w:p w14:paraId="4A1E6586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0B29A538" w14:textId="77777777" w:rsidR="00E57ED3" w:rsidRDefault="00E57ED3">
      <w:pPr>
        <w:tabs>
          <w:tab w:val="clear" w:pos="567"/>
        </w:tabs>
        <w:spacing w:line="240" w:lineRule="auto"/>
        <w:ind w:left="567" w:hanging="567"/>
        <w:rPr>
          <w:bCs/>
          <w:szCs w:val="22"/>
        </w:rPr>
      </w:pPr>
    </w:p>
    <w:p w14:paraId="57B3F929" w14:textId="77777777" w:rsidR="00E57ED3" w:rsidRDefault="00227172">
      <w:pPr>
        <w:tabs>
          <w:tab w:val="clear" w:pos="567"/>
        </w:tabs>
        <w:spacing w:line="240" w:lineRule="auto"/>
        <w:ind w:left="567" w:hanging="567"/>
        <w:rPr>
          <w:b/>
          <w:caps/>
          <w:szCs w:val="22"/>
        </w:rPr>
      </w:pPr>
      <w:r>
        <w:rPr>
          <w:b/>
          <w:szCs w:val="22"/>
          <w:highlight w:val="lightGray"/>
          <w:lang w:bidi="cs-CZ"/>
        </w:rPr>
        <w:t>1.</w:t>
      </w:r>
      <w:r>
        <w:rPr>
          <w:b/>
          <w:szCs w:val="22"/>
          <w:lang w:bidi="cs-CZ"/>
        </w:rPr>
        <w:tab/>
      </w:r>
      <w:r>
        <w:rPr>
          <w:b/>
          <w:caps/>
          <w:szCs w:val="22"/>
          <w:lang w:bidi="cs-CZ"/>
        </w:rPr>
        <w:t>Název veterinárního léčivého přípravku</w:t>
      </w:r>
    </w:p>
    <w:p w14:paraId="2E6A6CFE" w14:textId="77777777" w:rsidR="00E57ED3" w:rsidRDefault="00E57ED3">
      <w:pPr>
        <w:spacing w:line="240" w:lineRule="auto"/>
        <w:rPr>
          <w:rFonts w:eastAsia="Cambria"/>
          <w:szCs w:val="22"/>
          <w:lang w:val="gsw-FR" w:eastAsia="ja-JP"/>
        </w:rPr>
      </w:pPr>
    </w:p>
    <w:p w14:paraId="73CC2C05" w14:textId="44DCFA5D" w:rsidR="00E57ED3" w:rsidRDefault="00227172" w:rsidP="001778E0">
      <w:pPr>
        <w:spacing w:after="220" w:line="240" w:lineRule="auto"/>
        <w:contextualSpacing/>
        <w:rPr>
          <w:szCs w:val="22"/>
        </w:rPr>
      </w:pPr>
      <w:bookmarkStart w:id="1" w:name="_Hlk183876339"/>
      <w:proofErr w:type="spellStart"/>
      <w:r>
        <w:rPr>
          <w:szCs w:val="22"/>
        </w:rPr>
        <w:t>Alfadexx</w:t>
      </w:r>
      <w:proofErr w:type="spellEnd"/>
      <w:r>
        <w:rPr>
          <w:szCs w:val="22"/>
        </w:rPr>
        <w:t xml:space="preserve"> 2 mg/ml injekční roztok pro koně, skot, kozy, prasata, psy a kočky </w:t>
      </w:r>
      <w:bookmarkEnd w:id="1"/>
    </w:p>
    <w:p w14:paraId="74BBA48B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5DA467A6" w14:textId="77777777" w:rsidR="00E57ED3" w:rsidRDefault="00227172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  <w:lang w:bidi="cs-CZ"/>
        </w:rPr>
        <w:t>2.</w:t>
      </w:r>
      <w:r>
        <w:rPr>
          <w:b/>
          <w:szCs w:val="22"/>
          <w:lang w:bidi="cs-CZ"/>
        </w:rPr>
        <w:tab/>
      </w:r>
      <w:r>
        <w:rPr>
          <w:b/>
          <w:caps/>
          <w:szCs w:val="22"/>
          <w:lang w:bidi="cs-CZ"/>
        </w:rPr>
        <w:t>složení</w:t>
      </w:r>
      <w:r>
        <w:rPr>
          <w:b/>
          <w:szCs w:val="22"/>
          <w:lang w:bidi="cs-CZ"/>
        </w:rPr>
        <w:t xml:space="preserve"> </w:t>
      </w:r>
    </w:p>
    <w:p w14:paraId="07292E97" w14:textId="77777777" w:rsidR="00E57ED3" w:rsidRDefault="00E57ED3">
      <w:pPr>
        <w:rPr>
          <w:szCs w:val="22"/>
        </w:rPr>
      </w:pPr>
    </w:p>
    <w:p w14:paraId="51ECFDD1" w14:textId="2C407E59" w:rsidR="00E57ED3" w:rsidRDefault="00242983">
      <w:pPr>
        <w:keepNext/>
        <w:spacing w:line="240" w:lineRule="auto"/>
        <w:outlineLvl w:val="3"/>
        <w:rPr>
          <w:szCs w:val="22"/>
        </w:rPr>
      </w:pPr>
      <w:r>
        <w:rPr>
          <w:szCs w:val="22"/>
        </w:rPr>
        <w:t>Každý</w:t>
      </w:r>
      <w:r w:rsidR="00227172">
        <w:rPr>
          <w:szCs w:val="22"/>
        </w:rPr>
        <w:t xml:space="preserve"> ml obsahuje: </w:t>
      </w:r>
    </w:p>
    <w:p w14:paraId="0BD22627" w14:textId="77777777" w:rsidR="00E57ED3" w:rsidRDefault="00E57ED3">
      <w:pPr>
        <w:keepNext/>
        <w:tabs>
          <w:tab w:val="clear" w:pos="567"/>
        </w:tabs>
        <w:spacing w:line="240" w:lineRule="auto"/>
        <w:outlineLvl w:val="4"/>
        <w:rPr>
          <w:b/>
          <w:noProof/>
          <w:szCs w:val="22"/>
        </w:rPr>
      </w:pPr>
    </w:p>
    <w:p w14:paraId="180E56E0" w14:textId="77777777" w:rsidR="00E57ED3" w:rsidRDefault="00227172">
      <w:pPr>
        <w:keepNext/>
        <w:tabs>
          <w:tab w:val="clear" w:pos="567"/>
        </w:tabs>
        <w:spacing w:line="240" w:lineRule="auto"/>
        <w:outlineLvl w:val="4"/>
        <w:rPr>
          <w:b/>
          <w:noProof/>
          <w:szCs w:val="22"/>
        </w:rPr>
      </w:pPr>
      <w:r>
        <w:rPr>
          <w:b/>
          <w:szCs w:val="22"/>
        </w:rPr>
        <w:t>Léčivá látka:</w:t>
      </w:r>
    </w:p>
    <w:p w14:paraId="79278565" w14:textId="77777777" w:rsidR="00E57ED3" w:rsidRDefault="00227172">
      <w:pPr>
        <w:spacing w:after="220" w:line="240" w:lineRule="auto"/>
        <w:contextualSpacing/>
        <w:rPr>
          <w:szCs w:val="22"/>
        </w:rPr>
      </w:pPr>
      <w:proofErr w:type="spellStart"/>
      <w:r>
        <w:rPr>
          <w:szCs w:val="22"/>
        </w:rPr>
        <w:t>Dexamethasonum</w:t>
      </w:r>
      <w:proofErr w:type="spellEnd"/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 mg</w:t>
      </w:r>
    </w:p>
    <w:p w14:paraId="7C357277" w14:textId="77777777" w:rsidR="00E57ED3" w:rsidRDefault="00227172">
      <w:pPr>
        <w:spacing w:after="220" w:line="240" w:lineRule="auto"/>
        <w:contextualSpacing/>
        <w:rPr>
          <w:szCs w:val="22"/>
        </w:rPr>
      </w:pPr>
      <w:r>
        <w:rPr>
          <w:szCs w:val="22"/>
        </w:rPr>
        <w:t xml:space="preserve">(jako </w:t>
      </w:r>
      <w:proofErr w:type="spellStart"/>
      <w:r>
        <w:rPr>
          <w:szCs w:val="22"/>
        </w:rPr>
        <w:t>dexamethasoni</w:t>
      </w:r>
      <w:proofErr w:type="spellEnd"/>
      <w:r>
        <w:rPr>
          <w:szCs w:val="22"/>
        </w:rPr>
        <w:t xml:space="preserve"> natrii </w:t>
      </w:r>
      <w:proofErr w:type="spellStart"/>
      <w:r>
        <w:rPr>
          <w:szCs w:val="22"/>
        </w:rPr>
        <w:t>phosphas</w:t>
      </w:r>
      <w:proofErr w:type="spellEnd"/>
      <w:r>
        <w:rPr>
          <w:szCs w:val="22"/>
        </w:rPr>
        <w:t>)</w:t>
      </w:r>
      <w:r>
        <w:rPr>
          <w:szCs w:val="22"/>
        </w:rPr>
        <w:tab/>
      </w:r>
      <w:r>
        <w:rPr>
          <w:szCs w:val="22"/>
        </w:rPr>
        <w:tab/>
        <w:t>2,63 mg</w:t>
      </w:r>
    </w:p>
    <w:p w14:paraId="29754C52" w14:textId="77777777" w:rsidR="00E57ED3" w:rsidRDefault="00E57ED3">
      <w:pPr>
        <w:keepNext/>
        <w:tabs>
          <w:tab w:val="clear" w:pos="567"/>
        </w:tabs>
        <w:spacing w:line="240" w:lineRule="auto"/>
        <w:outlineLvl w:val="4"/>
        <w:rPr>
          <w:b/>
          <w:noProof/>
          <w:szCs w:val="22"/>
        </w:rPr>
      </w:pPr>
    </w:p>
    <w:p w14:paraId="13FDC0D4" w14:textId="77777777" w:rsidR="00E57ED3" w:rsidRDefault="00227172">
      <w:pPr>
        <w:keepNext/>
        <w:tabs>
          <w:tab w:val="clear" w:pos="567"/>
        </w:tabs>
        <w:spacing w:line="240" w:lineRule="auto"/>
        <w:outlineLvl w:val="4"/>
        <w:rPr>
          <w:b/>
          <w:noProof/>
          <w:szCs w:val="22"/>
        </w:rPr>
      </w:pPr>
      <w:r>
        <w:rPr>
          <w:b/>
          <w:szCs w:val="22"/>
        </w:rPr>
        <w:t xml:space="preserve">Pomocné látky: </w:t>
      </w:r>
    </w:p>
    <w:p w14:paraId="08DB5318" w14:textId="77777777" w:rsidR="00E57ED3" w:rsidRDefault="00227172">
      <w:pPr>
        <w:spacing w:after="220" w:line="240" w:lineRule="auto"/>
        <w:contextualSpacing/>
        <w:rPr>
          <w:szCs w:val="22"/>
        </w:rPr>
      </w:pPr>
      <w:proofErr w:type="spellStart"/>
      <w:r>
        <w:rPr>
          <w:szCs w:val="22"/>
        </w:rPr>
        <w:t>Benzylalkohol</w:t>
      </w:r>
      <w:proofErr w:type="spellEnd"/>
      <w:r>
        <w:rPr>
          <w:szCs w:val="22"/>
        </w:rPr>
        <w:t xml:space="preserve"> (E 1519)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15,6 mg</w:t>
      </w:r>
    </w:p>
    <w:p w14:paraId="610F7D88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5144FE0B" w14:textId="77777777" w:rsidR="00E57ED3" w:rsidRDefault="0022717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Čirý bezbarvý až mírně nahnědlý vodný roztok.</w:t>
      </w:r>
    </w:p>
    <w:p w14:paraId="5ED2C78F" w14:textId="77777777" w:rsidR="00E57ED3" w:rsidRDefault="00E57ED3">
      <w:pPr>
        <w:rPr>
          <w:szCs w:val="22"/>
          <w:lang w:bidi="cs-CZ"/>
        </w:rPr>
      </w:pPr>
    </w:p>
    <w:p w14:paraId="573E9170" w14:textId="77777777" w:rsidR="00E57ED3" w:rsidRDefault="00227172">
      <w:pPr>
        <w:rPr>
          <w:b/>
          <w:caps/>
          <w:szCs w:val="22"/>
        </w:rPr>
      </w:pPr>
      <w:r w:rsidRPr="001778E0">
        <w:rPr>
          <w:b/>
          <w:caps/>
          <w:szCs w:val="22"/>
          <w:highlight w:val="lightGray"/>
        </w:rPr>
        <w:t>3.</w:t>
      </w:r>
      <w:r>
        <w:rPr>
          <w:b/>
          <w:caps/>
          <w:szCs w:val="22"/>
        </w:rPr>
        <w:t xml:space="preserve"> </w:t>
      </w:r>
      <w:r>
        <w:rPr>
          <w:b/>
          <w:caps/>
          <w:szCs w:val="22"/>
        </w:rPr>
        <w:tab/>
        <w:t>cílové druhy zvířat</w:t>
      </w:r>
    </w:p>
    <w:p w14:paraId="165E6363" w14:textId="77777777" w:rsidR="00E57ED3" w:rsidRDefault="00E57ED3">
      <w:pPr>
        <w:pStyle w:val="Geenafstand1"/>
        <w:rPr>
          <w:rFonts w:ascii="Times New Roman" w:eastAsia="Times New Roman" w:hAnsi="Times New Roman"/>
          <w:sz w:val="22"/>
          <w:szCs w:val="22"/>
          <w:lang w:val="cs-CZ" w:bidi="cs-CZ"/>
        </w:rPr>
      </w:pPr>
    </w:p>
    <w:p w14:paraId="3E177D72" w14:textId="77777777" w:rsidR="00E57ED3" w:rsidRDefault="00227172">
      <w:pPr>
        <w:tabs>
          <w:tab w:val="clear" w:pos="567"/>
        </w:tabs>
        <w:spacing w:line="240" w:lineRule="auto"/>
        <w:rPr>
          <w:rFonts w:eastAsia="Cambria"/>
          <w:szCs w:val="22"/>
        </w:rPr>
      </w:pPr>
      <w:r>
        <w:rPr>
          <w:rFonts w:eastAsia="Cambria"/>
          <w:szCs w:val="22"/>
        </w:rPr>
        <w:t>Koně, skot, kozy, prasata, psi a kočky.</w:t>
      </w:r>
    </w:p>
    <w:p w14:paraId="263445E6" w14:textId="77777777" w:rsidR="00E57ED3" w:rsidRDefault="00227172">
      <w:pPr>
        <w:tabs>
          <w:tab w:val="clear" w:pos="567"/>
        </w:tabs>
        <w:spacing w:line="240" w:lineRule="auto"/>
        <w:rPr>
          <w:szCs w:val="22"/>
        </w:rPr>
      </w:pPr>
      <w:r>
        <w:rPr>
          <w:noProof/>
          <w:lang w:eastAsia="cs-CZ"/>
        </w:rPr>
        <w:drawing>
          <wp:inline distT="0" distB="0" distL="0" distR="0" wp14:anchorId="2754D672" wp14:editId="7CB39952">
            <wp:extent cx="923290" cy="724535"/>
            <wp:effectExtent l="0" t="0" r="0" b="0"/>
            <wp:docPr id="18" name="Obrázek 18" descr="Afbeelding met paard, schets, silhouet,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2" descr="Afbeelding met paard, schets, silhouet, teken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10DCAB0" wp14:editId="59258AFE">
            <wp:extent cx="724535" cy="483235"/>
            <wp:effectExtent l="0" t="0" r="0" b="0"/>
            <wp:docPr id="17" name="Obrázek 17" descr="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" descr="Co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0520FF0" wp14:editId="373A1F9D">
            <wp:extent cx="577850" cy="483235"/>
            <wp:effectExtent l="0" t="0" r="0" b="0"/>
            <wp:docPr id="16" name="Obrázek 16" descr="G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 descr="Goa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BDB9111" wp14:editId="41591A82">
            <wp:extent cx="733425" cy="379730"/>
            <wp:effectExtent l="0" t="0" r="9525" b="1270"/>
            <wp:docPr id="15" name="Obrázek 15" descr="http://www.ema.europa.eu/ema/images/pictograms/pig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 descr="http://www.ema.europa.eu/ema/images/pictograms/pig_th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25AC532" wp14:editId="3F4BCC15">
            <wp:extent cx="594995" cy="431165"/>
            <wp:effectExtent l="0" t="0" r="0" b="6985"/>
            <wp:docPr id="14" name="Obrázek 14" descr="Afbeelding met hond, silhouet, zoogd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 descr="Afbeelding met hond, silhouet, zoogdi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9E10EF4" wp14:editId="2A0791DD">
            <wp:extent cx="301625" cy="379730"/>
            <wp:effectExtent l="0" t="0" r="3175" b="1270"/>
            <wp:docPr id="13" name="Obrázek 13" descr="Afbeelding met silhouet, clipart, zoogdier, creativite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 descr="Afbeelding met silhouet, clipart, zoogdier, creativitei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A46F8" w14:textId="77777777" w:rsidR="00E57ED3" w:rsidRDefault="00E57ED3">
      <w:pPr>
        <w:rPr>
          <w:szCs w:val="22"/>
          <w:lang w:eastAsia="ja-JP"/>
        </w:rPr>
      </w:pPr>
    </w:p>
    <w:p w14:paraId="0E317DB3" w14:textId="77777777" w:rsidR="00E57ED3" w:rsidRDefault="00E57ED3">
      <w:pPr>
        <w:rPr>
          <w:szCs w:val="22"/>
          <w:lang w:eastAsia="ja-JP"/>
        </w:rPr>
      </w:pPr>
    </w:p>
    <w:p w14:paraId="1BAFFB32" w14:textId="77777777" w:rsidR="00E57ED3" w:rsidRDefault="00227172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  <w:lang w:bidi="cs-CZ"/>
        </w:rPr>
        <w:t>4.</w:t>
      </w:r>
      <w:r>
        <w:rPr>
          <w:b/>
          <w:szCs w:val="22"/>
          <w:lang w:bidi="cs-CZ"/>
        </w:rPr>
        <w:tab/>
        <w:t xml:space="preserve">INDIKACE </w:t>
      </w:r>
      <w:r>
        <w:rPr>
          <w:b/>
          <w:caps/>
          <w:szCs w:val="22"/>
          <w:lang w:bidi="cs-CZ"/>
        </w:rPr>
        <w:t>pro použití</w:t>
      </w:r>
    </w:p>
    <w:p w14:paraId="4944655C" w14:textId="77777777" w:rsidR="00E57ED3" w:rsidRDefault="00E57ED3">
      <w:pPr>
        <w:rPr>
          <w:szCs w:val="22"/>
        </w:rPr>
      </w:pPr>
    </w:p>
    <w:p w14:paraId="5FF15D1A" w14:textId="77777777" w:rsidR="00E57ED3" w:rsidRDefault="00227172">
      <w:pPr>
        <w:spacing w:after="220" w:line="240" w:lineRule="auto"/>
        <w:contextualSpacing/>
        <w:rPr>
          <w:szCs w:val="22"/>
          <w:u w:val="single"/>
        </w:rPr>
      </w:pPr>
      <w:r>
        <w:rPr>
          <w:szCs w:val="22"/>
          <w:u w:val="single"/>
        </w:rPr>
        <w:t xml:space="preserve">Koně, skot, kozy, prasata, psi a kočky: </w:t>
      </w:r>
    </w:p>
    <w:p w14:paraId="498D90C0" w14:textId="77777777" w:rsidR="00E57ED3" w:rsidRDefault="00227172">
      <w:pPr>
        <w:spacing w:after="220" w:line="240" w:lineRule="auto"/>
        <w:contextualSpacing/>
        <w:rPr>
          <w:szCs w:val="22"/>
        </w:rPr>
      </w:pPr>
      <w:r>
        <w:rPr>
          <w:szCs w:val="22"/>
        </w:rPr>
        <w:t xml:space="preserve">Léčba zánětů a alergických stavů. </w:t>
      </w:r>
    </w:p>
    <w:p w14:paraId="56F6FB94" w14:textId="77777777" w:rsidR="00E57ED3" w:rsidRDefault="00E57ED3">
      <w:pPr>
        <w:spacing w:after="220" w:line="240" w:lineRule="auto"/>
        <w:contextualSpacing/>
        <w:rPr>
          <w:szCs w:val="22"/>
          <w:u w:val="single"/>
        </w:rPr>
      </w:pPr>
    </w:p>
    <w:p w14:paraId="5C1E30D5" w14:textId="77777777" w:rsidR="00E57ED3" w:rsidRDefault="00227172">
      <w:pPr>
        <w:keepNext/>
        <w:spacing w:after="220" w:line="240" w:lineRule="auto"/>
        <w:contextualSpacing/>
        <w:rPr>
          <w:szCs w:val="22"/>
          <w:u w:val="single"/>
        </w:rPr>
      </w:pPr>
      <w:r>
        <w:rPr>
          <w:szCs w:val="22"/>
          <w:u w:val="single"/>
        </w:rPr>
        <w:t>Koně:</w:t>
      </w:r>
    </w:p>
    <w:p w14:paraId="0D4453F1" w14:textId="77777777" w:rsidR="00E57ED3" w:rsidRDefault="00227172">
      <w:pPr>
        <w:spacing w:after="220" w:line="240" w:lineRule="auto"/>
        <w:contextualSpacing/>
        <w:rPr>
          <w:szCs w:val="22"/>
        </w:rPr>
      </w:pPr>
      <w:r>
        <w:rPr>
          <w:szCs w:val="22"/>
        </w:rPr>
        <w:t xml:space="preserve">Léčba artritidy, bursitidy nebo </w:t>
      </w:r>
      <w:proofErr w:type="spellStart"/>
      <w:r>
        <w:rPr>
          <w:szCs w:val="22"/>
        </w:rPr>
        <w:t>tenosynovitidy</w:t>
      </w:r>
      <w:proofErr w:type="spellEnd"/>
      <w:r>
        <w:rPr>
          <w:szCs w:val="22"/>
        </w:rPr>
        <w:t xml:space="preserve">. </w:t>
      </w:r>
    </w:p>
    <w:p w14:paraId="115501FF" w14:textId="77777777" w:rsidR="00E57ED3" w:rsidRDefault="00E57ED3">
      <w:pPr>
        <w:spacing w:after="220" w:line="240" w:lineRule="auto"/>
        <w:contextualSpacing/>
        <w:rPr>
          <w:szCs w:val="22"/>
          <w:u w:val="single"/>
        </w:rPr>
      </w:pPr>
    </w:p>
    <w:p w14:paraId="053A4505" w14:textId="77777777" w:rsidR="00E57ED3" w:rsidRDefault="00227172">
      <w:pPr>
        <w:spacing w:after="220" w:line="240" w:lineRule="auto"/>
        <w:contextualSpacing/>
        <w:rPr>
          <w:szCs w:val="22"/>
          <w:u w:val="single"/>
        </w:rPr>
      </w:pPr>
      <w:r>
        <w:rPr>
          <w:szCs w:val="22"/>
          <w:u w:val="single"/>
        </w:rPr>
        <w:t>Skot:</w:t>
      </w:r>
    </w:p>
    <w:p w14:paraId="277678D4" w14:textId="77777777" w:rsidR="00E57ED3" w:rsidRDefault="00227172">
      <w:pPr>
        <w:spacing w:after="220" w:line="240" w:lineRule="auto"/>
        <w:contextualSpacing/>
        <w:rPr>
          <w:szCs w:val="22"/>
        </w:rPr>
      </w:pPr>
      <w:r>
        <w:rPr>
          <w:szCs w:val="22"/>
        </w:rPr>
        <w:t xml:space="preserve">Léčba primární ketózy (acetonemie). </w:t>
      </w:r>
    </w:p>
    <w:p w14:paraId="070636B5" w14:textId="77777777" w:rsidR="00E57ED3" w:rsidRDefault="00227172">
      <w:pPr>
        <w:spacing w:after="220" w:line="240" w:lineRule="auto"/>
        <w:contextualSpacing/>
        <w:rPr>
          <w:szCs w:val="22"/>
        </w:rPr>
      </w:pPr>
      <w:r>
        <w:rPr>
          <w:szCs w:val="22"/>
        </w:rPr>
        <w:t xml:space="preserve">Indukce porodu. </w:t>
      </w:r>
    </w:p>
    <w:p w14:paraId="146D817E" w14:textId="77777777" w:rsidR="00E57ED3" w:rsidRDefault="00E57ED3">
      <w:pPr>
        <w:spacing w:after="220" w:line="240" w:lineRule="auto"/>
        <w:contextualSpacing/>
        <w:rPr>
          <w:szCs w:val="22"/>
          <w:u w:val="single"/>
        </w:rPr>
      </w:pPr>
    </w:p>
    <w:p w14:paraId="480D7A0B" w14:textId="77777777" w:rsidR="00E57ED3" w:rsidRDefault="00227172">
      <w:pPr>
        <w:spacing w:after="220" w:line="240" w:lineRule="auto"/>
        <w:contextualSpacing/>
        <w:rPr>
          <w:szCs w:val="22"/>
          <w:u w:val="single"/>
        </w:rPr>
      </w:pPr>
      <w:r>
        <w:rPr>
          <w:szCs w:val="22"/>
          <w:u w:val="single"/>
        </w:rPr>
        <w:t xml:space="preserve">Kozy: </w:t>
      </w:r>
    </w:p>
    <w:p w14:paraId="480FC579" w14:textId="77777777" w:rsidR="00E57ED3" w:rsidRDefault="00227172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Léčba primární ketózy (acetonemie).</w:t>
      </w:r>
    </w:p>
    <w:p w14:paraId="201785C1" w14:textId="77777777" w:rsidR="00E57ED3" w:rsidRDefault="00E57ED3">
      <w:pPr>
        <w:rPr>
          <w:szCs w:val="22"/>
          <w:u w:val="single"/>
        </w:rPr>
      </w:pPr>
    </w:p>
    <w:p w14:paraId="41730BF0" w14:textId="77777777" w:rsidR="00E57ED3" w:rsidRDefault="00227172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  <w:lang w:bidi="cs-CZ"/>
        </w:rPr>
        <w:t>5.</w:t>
      </w:r>
      <w:r>
        <w:rPr>
          <w:b/>
          <w:szCs w:val="22"/>
          <w:lang w:bidi="cs-CZ"/>
        </w:rPr>
        <w:tab/>
        <w:t>KONTRAINDIKACE</w:t>
      </w:r>
    </w:p>
    <w:p w14:paraId="759DD352" w14:textId="77777777" w:rsidR="00E57ED3" w:rsidRDefault="00E57ED3">
      <w:pPr>
        <w:rPr>
          <w:szCs w:val="22"/>
        </w:rPr>
      </w:pPr>
    </w:p>
    <w:p w14:paraId="42C0E886" w14:textId="77777777" w:rsidR="00E57ED3" w:rsidRDefault="00227172">
      <w:pPr>
        <w:spacing w:after="220" w:line="240" w:lineRule="auto"/>
        <w:ind w:right="-1"/>
        <w:contextualSpacing/>
        <w:jc w:val="both"/>
        <w:rPr>
          <w:szCs w:val="22"/>
        </w:rPr>
      </w:pPr>
      <w:r>
        <w:rPr>
          <w:szCs w:val="22"/>
        </w:rPr>
        <w:t xml:space="preserve">S výjimkou naléhavých situací nepoužívat u zvířat, která mají diabetes </w:t>
      </w:r>
      <w:proofErr w:type="spellStart"/>
      <w:r>
        <w:rPr>
          <w:szCs w:val="22"/>
        </w:rPr>
        <w:t>mellitus</w:t>
      </w:r>
      <w:proofErr w:type="spellEnd"/>
      <w:r>
        <w:rPr>
          <w:szCs w:val="22"/>
        </w:rPr>
        <w:t xml:space="preserve">, renální insuficienci, srdeční insuficienci, </w:t>
      </w:r>
      <w:proofErr w:type="spellStart"/>
      <w:r>
        <w:rPr>
          <w:szCs w:val="22"/>
        </w:rPr>
        <w:t>hyperadrenokorticismus</w:t>
      </w:r>
      <w:proofErr w:type="spellEnd"/>
      <w:r>
        <w:rPr>
          <w:szCs w:val="22"/>
        </w:rPr>
        <w:t xml:space="preserve"> nebo osteoporózu.</w:t>
      </w:r>
    </w:p>
    <w:p w14:paraId="7DA540B5" w14:textId="77777777" w:rsidR="00E57ED3" w:rsidRDefault="00227172">
      <w:pPr>
        <w:spacing w:after="220" w:line="240" w:lineRule="auto"/>
        <w:ind w:right="-1"/>
        <w:contextualSpacing/>
        <w:jc w:val="both"/>
        <w:rPr>
          <w:szCs w:val="22"/>
        </w:rPr>
      </w:pPr>
      <w:r>
        <w:rPr>
          <w:szCs w:val="22"/>
        </w:rPr>
        <w:t>Nepoužívat u virových infekcí během viremického stádia ani u systémových mykotických infekcí.</w:t>
      </w:r>
    </w:p>
    <w:p w14:paraId="47B04C66" w14:textId="77777777" w:rsidR="00E57ED3" w:rsidRDefault="00227172">
      <w:pPr>
        <w:spacing w:after="220" w:line="240" w:lineRule="auto"/>
        <w:ind w:right="-1"/>
        <w:contextualSpacing/>
        <w:jc w:val="both"/>
        <w:rPr>
          <w:szCs w:val="22"/>
        </w:rPr>
      </w:pPr>
      <w:r>
        <w:rPr>
          <w:szCs w:val="22"/>
        </w:rPr>
        <w:t xml:space="preserve">Nepoužívat u zvířat, která mají gastrointestinální nebo korneální vředy či </w:t>
      </w:r>
      <w:proofErr w:type="spellStart"/>
      <w:r>
        <w:rPr>
          <w:szCs w:val="22"/>
        </w:rPr>
        <w:t>demodikózu</w:t>
      </w:r>
      <w:proofErr w:type="spellEnd"/>
      <w:r>
        <w:rPr>
          <w:szCs w:val="22"/>
        </w:rPr>
        <w:t xml:space="preserve">. </w:t>
      </w:r>
    </w:p>
    <w:p w14:paraId="516FCD94" w14:textId="77777777" w:rsidR="00E57ED3" w:rsidRDefault="00227172">
      <w:pPr>
        <w:spacing w:after="220" w:line="240" w:lineRule="auto"/>
        <w:ind w:right="-1"/>
        <w:contextualSpacing/>
        <w:jc w:val="both"/>
        <w:rPr>
          <w:szCs w:val="22"/>
        </w:rPr>
      </w:pPr>
      <w:r>
        <w:rPr>
          <w:szCs w:val="22"/>
        </w:rPr>
        <w:t xml:space="preserve">Nepodávat </w:t>
      </w:r>
      <w:proofErr w:type="spellStart"/>
      <w:r>
        <w:rPr>
          <w:szCs w:val="22"/>
        </w:rPr>
        <w:t>intraartikulárně</w:t>
      </w:r>
      <w:proofErr w:type="spellEnd"/>
      <w:r>
        <w:rPr>
          <w:szCs w:val="22"/>
        </w:rPr>
        <w:t xml:space="preserve">, jestliže jsou prokázány fraktury, bakteriální infekce kloubů a aseptické nekrózy kosti. </w:t>
      </w:r>
    </w:p>
    <w:p w14:paraId="492E8F84" w14:textId="77777777" w:rsidR="00E57ED3" w:rsidRDefault="00227172">
      <w:pPr>
        <w:spacing w:after="220" w:line="240" w:lineRule="auto"/>
        <w:ind w:right="-1"/>
        <w:contextualSpacing/>
        <w:jc w:val="both"/>
        <w:rPr>
          <w:szCs w:val="22"/>
        </w:rPr>
      </w:pPr>
      <w:r>
        <w:rPr>
          <w:szCs w:val="22"/>
        </w:rPr>
        <w:t>Nepoužívat v případech známé přecitlivělosti na léčivou látku, na kortikosteroidy a na některou z pomocných látek.</w:t>
      </w:r>
    </w:p>
    <w:p w14:paraId="1A44923F" w14:textId="7CC7E50E" w:rsidR="00E57ED3" w:rsidRDefault="00227172">
      <w:pPr>
        <w:spacing w:after="220" w:line="240" w:lineRule="auto"/>
        <w:ind w:right="-1"/>
        <w:contextualSpacing/>
        <w:jc w:val="both"/>
        <w:rPr>
          <w:szCs w:val="22"/>
        </w:rPr>
      </w:pPr>
      <w:r>
        <w:rPr>
          <w:szCs w:val="22"/>
        </w:rPr>
        <w:t xml:space="preserve">Viz také </w:t>
      </w:r>
      <w:r w:rsidR="00645FD6">
        <w:rPr>
          <w:szCs w:val="22"/>
        </w:rPr>
        <w:t xml:space="preserve">bod </w:t>
      </w:r>
      <w:r>
        <w:rPr>
          <w:szCs w:val="22"/>
        </w:rPr>
        <w:t>o použití během březosti a laktace.</w:t>
      </w:r>
    </w:p>
    <w:p w14:paraId="53AB45D0" w14:textId="77777777" w:rsidR="00E57ED3" w:rsidRDefault="00E57ED3">
      <w:pPr>
        <w:rPr>
          <w:szCs w:val="22"/>
        </w:rPr>
      </w:pPr>
    </w:p>
    <w:p w14:paraId="6CA22EFA" w14:textId="77777777" w:rsidR="00E57ED3" w:rsidRDefault="00227172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  <w:lang w:bidi="cs-CZ"/>
        </w:rPr>
        <w:lastRenderedPageBreak/>
        <w:t>6.</w:t>
      </w:r>
      <w:r>
        <w:rPr>
          <w:b/>
          <w:szCs w:val="22"/>
          <w:lang w:bidi="cs-CZ"/>
        </w:rPr>
        <w:tab/>
        <w:t>ZVLÁŠTNÍ UPOZORNĚNÍ</w:t>
      </w:r>
    </w:p>
    <w:p w14:paraId="4FB2DB08" w14:textId="77777777" w:rsidR="00E57ED3" w:rsidRDefault="00227172">
      <w:pPr>
        <w:keepNext/>
        <w:keepLines/>
        <w:spacing w:before="120" w:after="80"/>
        <w:jc w:val="both"/>
        <w:outlineLvl w:val="2"/>
        <w:rPr>
          <w:bCs/>
          <w:kern w:val="28"/>
          <w:szCs w:val="22"/>
          <w:u w:val="single"/>
        </w:rPr>
      </w:pPr>
      <w:bookmarkStart w:id="2" w:name="_Hlk75157127"/>
      <w:r>
        <w:rPr>
          <w:kern w:val="28"/>
          <w:szCs w:val="22"/>
          <w:u w:val="single"/>
        </w:rPr>
        <w:t xml:space="preserve">Zvláštní upozornění: </w:t>
      </w:r>
    </w:p>
    <w:p w14:paraId="1B89A5DD" w14:textId="77777777" w:rsidR="00E57ED3" w:rsidRDefault="00227172">
      <w:pPr>
        <w:spacing w:after="220" w:line="240" w:lineRule="auto"/>
        <w:contextualSpacing/>
        <w:jc w:val="both"/>
        <w:rPr>
          <w:szCs w:val="22"/>
        </w:rPr>
      </w:pPr>
      <w:r>
        <w:rPr>
          <w:szCs w:val="22"/>
        </w:rPr>
        <w:t xml:space="preserve">Nejsou. </w:t>
      </w:r>
    </w:p>
    <w:p w14:paraId="0AACCE9A" w14:textId="77777777" w:rsidR="00E57ED3" w:rsidRDefault="00E57ED3">
      <w:pPr>
        <w:spacing w:after="220" w:line="240" w:lineRule="auto"/>
        <w:contextualSpacing/>
        <w:jc w:val="both"/>
        <w:rPr>
          <w:szCs w:val="22"/>
        </w:rPr>
      </w:pPr>
    </w:p>
    <w:bookmarkEnd w:id="2"/>
    <w:p w14:paraId="227EB015" w14:textId="16037722" w:rsidR="00E57ED3" w:rsidRDefault="0022717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u w:val="single"/>
        </w:rPr>
        <w:t>Zvláštní opatření pro použití u cílových druhů</w:t>
      </w:r>
      <w:r>
        <w:rPr>
          <w:szCs w:val="22"/>
        </w:rPr>
        <w:t>:</w:t>
      </w:r>
    </w:p>
    <w:p w14:paraId="6A826141" w14:textId="77777777" w:rsidR="00645FD6" w:rsidRDefault="00645FD6" w:rsidP="00645FD6">
      <w:pPr>
        <w:tabs>
          <w:tab w:val="clear" w:pos="567"/>
        </w:tabs>
        <w:spacing w:line="240" w:lineRule="auto"/>
        <w:rPr>
          <w:szCs w:val="22"/>
        </w:rPr>
      </w:pPr>
      <w:r w:rsidRPr="00FA70C2">
        <w:rPr>
          <w:szCs w:val="22"/>
        </w:rPr>
        <w:t xml:space="preserve">Je známo, že protizánětlivé kortikosteroidy jako </w:t>
      </w:r>
      <w:proofErr w:type="spellStart"/>
      <w:r w:rsidRPr="00FA70C2">
        <w:rPr>
          <w:szCs w:val="22"/>
        </w:rPr>
        <w:t>dexamethason</w:t>
      </w:r>
      <w:proofErr w:type="spellEnd"/>
      <w:r w:rsidRPr="00FA70C2">
        <w:rPr>
          <w:szCs w:val="22"/>
        </w:rPr>
        <w:t xml:space="preserve"> mají širokou škálu </w:t>
      </w:r>
      <w:r>
        <w:rPr>
          <w:szCs w:val="22"/>
        </w:rPr>
        <w:t>nežádouc</w:t>
      </w:r>
      <w:r w:rsidRPr="00FA70C2">
        <w:rPr>
          <w:szCs w:val="22"/>
        </w:rPr>
        <w:t xml:space="preserve">ích účinků. </w:t>
      </w:r>
      <w:r>
        <w:rPr>
          <w:szCs w:val="22"/>
        </w:rPr>
        <w:t>Zatímco j</w:t>
      </w:r>
      <w:r w:rsidRPr="00FA70C2">
        <w:rPr>
          <w:szCs w:val="22"/>
        </w:rPr>
        <w:t>ednotlivé vysoké dávky jsou snášeny obecně dobře, dlouhodobé užívání a či podávání esterů s</w:t>
      </w:r>
      <w:r>
        <w:rPr>
          <w:szCs w:val="22"/>
        </w:rPr>
        <w:t> </w:t>
      </w:r>
      <w:r w:rsidRPr="00FA70C2">
        <w:rPr>
          <w:szCs w:val="22"/>
        </w:rPr>
        <w:t>d</w:t>
      </w:r>
      <w:r>
        <w:rPr>
          <w:szCs w:val="22"/>
        </w:rPr>
        <w:t>louhou dobou</w:t>
      </w:r>
      <w:r w:rsidRPr="00FA70C2">
        <w:rPr>
          <w:szCs w:val="22"/>
        </w:rPr>
        <w:t xml:space="preserve"> účink</w:t>
      </w:r>
      <w:r>
        <w:rPr>
          <w:szCs w:val="22"/>
        </w:rPr>
        <w:t>u</w:t>
      </w:r>
      <w:r w:rsidRPr="00FA70C2">
        <w:rPr>
          <w:szCs w:val="22"/>
        </w:rPr>
        <w:t xml:space="preserve"> </w:t>
      </w:r>
      <w:r>
        <w:rPr>
          <w:szCs w:val="22"/>
        </w:rPr>
        <w:t>může vyvolat</w:t>
      </w:r>
      <w:r w:rsidRPr="00FA70C2">
        <w:rPr>
          <w:szCs w:val="22"/>
        </w:rPr>
        <w:t xml:space="preserve"> </w:t>
      </w:r>
      <w:r>
        <w:rPr>
          <w:szCs w:val="22"/>
        </w:rPr>
        <w:t>závažné nežádoucí</w:t>
      </w:r>
      <w:r w:rsidRPr="00FA70C2">
        <w:rPr>
          <w:szCs w:val="22"/>
        </w:rPr>
        <w:t xml:space="preserve"> účinky. Při </w:t>
      </w:r>
      <w:proofErr w:type="gramStart"/>
      <w:r w:rsidRPr="00FA70C2">
        <w:rPr>
          <w:szCs w:val="22"/>
        </w:rPr>
        <w:t>středně- až</w:t>
      </w:r>
      <w:proofErr w:type="gramEnd"/>
      <w:r w:rsidRPr="00FA70C2">
        <w:rPr>
          <w:szCs w:val="22"/>
        </w:rPr>
        <w:t xml:space="preserve"> dlouhodobém užívání je proto vhodné podávat minimální dávky nezbytné ke kompenzaci potíží.</w:t>
      </w:r>
    </w:p>
    <w:p w14:paraId="3787E172" w14:textId="77777777" w:rsidR="00E57ED3" w:rsidRDefault="0022717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Odpověď na dlouhodobou terapii musí v pravidelných intervalech sledovat veterinární lékař. </w:t>
      </w:r>
    </w:p>
    <w:p w14:paraId="72E0B158" w14:textId="77777777" w:rsidR="00E57ED3" w:rsidRDefault="0022717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Při použití kortikosteroidů u koní byly hlášeny případy </w:t>
      </w:r>
      <w:proofErr w:type="spellStart"/>
      <w:r>
        <w:rPr>
          <w:szCs w:val="22"/>
        </w:rPr>
        <w:t>laminitidy</w:t>
      </w:r>
      <w:proofErr w:type="spellEnd"/>
      <w:r>
        <w:rPr>
          <w:szCs w:val="22"/>
        </w:rPr>
        <w:t>. Proto by koně léčení těmito přípravky měli být během léčby často sledováni.</w:t>
      </w:r>
    </w:p>
    <w:p w14:paraId="01016E67" w14:textId="1D8A0FA0" w:rsidR="00E57ED3" w:rsidRDefault="00227172">
      <w:pPr>
        <w:pStyle w:val="BODY"/>
        <w:jc w:val="both"/>
        <w:rPr>
          <w:szCs w:val="22"/>
        </w:rPr>
      </w:pPr>
      <w:r>
        <w:rPr>
          <w:szCs w:val="22"/>
        </w:rPr>
        <w:t xml:space="preserve">Vzhledem k farmakologickým vlastnostem léčivé látky je při použití veterinárního léčivého přípravku u zvířat s oslabeným imunitním systémem nutno postupovat opatrně.  S výjimkou případů ketózy </w:t>
      </w:r>
      <w:r w:rsidR="00645FD6">
        <w:rPr>
          <w:szCs w:val="22"/>
        </w:rPr>
        <w:t xml:space="preserve">a indukce porodu </w:t>
      </w:r>
      <w:r>
        <w:rPr>
          <w:szCs w:val="22"/>
        </w:rPr>
        <w:t xml:space="preserve">má podávání kortikosteroidů spíše navodit zlepšení klinických příznaků než vyléčení. Mělo by být také vyšetřeno výchozí onemocnění. </w:t>
      </w:r>
    </w:p>
    <w:p w14:paraId="2EF51FCA" w14:textId="77777777" w:rsidR="00E57ED3" w:rsidRDefault="00227172">
      <w:pPr>
        <w:pStyle w:val="BODY"/>
        <w:jc w:val="both"/>
        <w:rPr>
          <w:szCs w:val="22"/>
        </w:rPr>
      </w:pPr>
      <w:r>
        <w:rPr>
          <w:szCs w:val="22"/>
        </w:rPr>
        <w:t xml:space="preserve">Po </w:t>
      </w:r>
      <w:proofErr w:type="spellStart"/>
      <w:r>
        <w:rPr>
          <w:szCs w:val="22"/>
        </w:rPr>
        <w:t>intraartikulárním</w:t>
      </w:r>
      <w:proofErr w:type="spellEnd"/>
      <w:r>
        <w:rPr>
          <w:szCs w:val="22"/>
        </w:rPr>
        <w:t xml:space="preserve"> podání je nutné po dobu jednoho měsíce minimalizovat používání kloubu a po dobu osmi týdnů od použití této cesty podání není vhodné provádět chirurgické zákroky na daném kloubu.</w:t>
      </w:r>
    </w:p>
    <w:p w14:paraId="0CD14EF8" w14:textId="77777777" w:rsidR="00E57ED3" w:rsidRDefault="00227172">
      <w:pPr>
        <w:pStyle w:val="BODY"/>
        <w:jc w:val="both"/>
        <w:rPr>
          <w:szCs w:val="22"/>
        </w:rPr>
      </w:pPr>
      <w:r>
        <w:rPr>
          <w:szCs w:val="22"/>
        </w:rPr>
        <w:t xml:space="preserve">Je třeba dbát na to, aby nedošlo k předávkování u plemen skotu Normanských ostrovů. </w:t>
      </w:r>
    </w:p>
    <w:p w14:paraId="2E4EAEE1" w14:textId="32F253E2" w:rsidR="00E57ED3" w:rsidRDefault="00227172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u w:val="single"/>
        </w:rPr>
        <w:t xml:space="preserve">Zvláštní opatření </w:t>
      </w:r>
      <w:r w:rsidR="004F2A18">
        <w:rPr>
          <w:szCs w:val="22"/>
          <w:u w:val="single"/>
        </w:rPr>
        <w:t xml:space="preserve">pro </w:t>
      </w:r>
      <w:r>
        <w:rPr>
          <w:szCs w:val="22"/>
          <w:u w:val="single"/>
        </w:rPr>
        <w:t>osob</w:t>
      </w:r>
      <w:r w:rsidR="004F2A18">
        <w:rPr>
          <w:szCs w:val="22"/>
          <w:u w:val="single"/>
        </w:rPr>
        <w:t>u</w:t>
      </w:r>
      <w:r>
        <w:rPr>
          <w:szCs w:val="22"/>
          <w:u w:val="single"/>
        </w:rPr>
        <w:t>, kter</w:t>
      </w:r>
      <w:r w:rsidR="004F2A18">
        <w:rPr>
          <w:szCs w:val="22"/>
          <w:u w:val="single"/>
        </w:rPr>
        <w:t>á</w:t>
      </w:r>
      <w:r>
        <w:rPr>
          <w:szCs w:val="22"/>
          <w:u w:val="single"/>
        </w:rPr>
        <w:t xml:space="preserve"> podáv</w:t>
      </w:r>
      <w:r w:rsidR="004F2A18">
        <w:rPr>
          <w:szCs w:val="22"/>
          <w:u w:val="single"/>
        </w:rPr>
        <w:t>á</w:t>
      </w:r>
      <w:r>
        <w:rPr>
          <w:szCs w:val="22"/>
          <w:u w:val="single"/>
        </w:rPr>
        <w:t xml:space="preserve"> veterinární léčivý přípravek zvířatům</w:t>
      </w:r>
      <w:r>
        <w:rPr>
          <w:szCs w:val="22"/>
        </w:rPr>
        <w:t>:</w:t>
      </w:r>
    </w:p>
    <w:p w14:paraId="1B97A8C9" w14:textId="3A880725" w:rsidR="00E57ED3" w:rsidRDefault="00227172">
      <w:pPr>
        <w:spacing w:after="220" w:line="240" w:lineRule="auto"/>
        <w:contextualSpacing/>
        <w:jc w:val="both"/>
        <w:rPr>
          <w:szCs w:val="22"/>
        </w:rPr>
      </w:pPr>
      <w:r>
        <w:rPr>
          <w:szCs w:val="22"/>
        </w:rPr>
        <w:t xml:space="preserve">Tento veterinární léčivý přípravek obsahuje </w:t>
      </w:r>
      <w:proofErr w:type="spellStart"/>
      <w:r>
        <w:rPr>
          <w:szCs w:val="22"/>
        </w:rPr>
        <w:t>dexamethason</w:t>
      </w:r>
      <w:proofErr w:type="spellEnd"/>
      <w:r>
        <w:rPr>
          <w:szCs w:val="22"/>
        </w:rPr>
        <w:t xml:space="preserve">, který může u některých lidí vyvolat alergické reakce. Zabraňte náhodnému </w:t>
      </w:r>
      <w:proofErr w:type="spellStart"/>
      <w:r>
        <w:rPr>
          <w:szCs w:val="22"/>
        </w:rPr>
        <w:t>samopodání</w:t>
      </w:r>
      <w:proofErr w:type="spellEnd"/>
      <w:r>
        <w:rPr>
          <w:szCs w:val="22"/>
        </w:rPr>
        <w:t xml:space="preserve"> injekce. V případě náhodného sebepoškození injekčně </w:t>
      </w:r>
      <w:r w:rsidR="004F2A18">
        <w:rPr>
          <w:szCs w:val="22"/>
        </w:rPr>
        <w:t>podaným</w:t>
      </w:r>
      <w:r>
        <w:rPr>
          <w:szCs w:val="22"/>
        </w:rPr>
        <w:t xml:space="preserve"> přípravkem vyhledejte ihned lékařskou pomoc a ukažte příbalovou informaci nebo etiketu praktickému lékaři.</w:t>
      </w:r>
    </w:p>
    <w:p w14:paraId="2432DF98" w14:textId="77777777" w:rsidR="00E57ED3" w:rsidRDefault="00227172">
      <w:pPr>
        <w:spacing w:after="220" w:line="240" w:lineRule="auto"/>
        <w:contextualSpacing/>
        <w:jc w:val="both"/>
        <w:rPr>
          <w:szCs w:val="22"/>
        </w:rPr>
      </w:pPr>
      <w:r>
        <w:rPr>
          <w:szCs w:val="22"/>
        </w:rPr>
        <w:t xml:space="preserve">Lidé se známou přecitlivělostí na </w:t>
      </w:r>
      <w:proofErr w:type="spellStart"/>
      <w:r>
        <w:rPr>
          <w:szCs w:val="22"/>
        </w:rPr>
        <w:t>dexamethason</w:t>
      </w:r>
      <w:proofErr w:type="spellEnd"/>
      <w:r>
        <w:rPr>
          <w:szCs w:val="22"/>
        </w:rPr>
        <w:t xml:space="preserve"> by se měli vyhnout kontaktu s veterinárním léčivým přípravkem.</w:t>
      </w:r>
    </w:p>
    <w:p w14:paraId="1786FE28" w14:textId="3ED419DC" w:rsidR="00E57ED3" w:rsidRDefault="00227172">
      <w:pPr>
        <w:spacing w:after="220" w:line="240" w:lineRule="auto"/>
        <w:contextualSpacing/>
        <w:jc w:val="both"/>
        <w:rPr>
          <w:szCs w:val="22"/>
        </w:rPr>
      </w:pPr>
      <w:r>
        <w:rPr>
          <w:szCs w:val="22"/>
        </w:rPr>
        <w:t xml:space="preserve">Aby se předešlo riziku náhodného </w:t>
      </w:r>
      <w:proofErr w:type="spellStart"/>
      <w:r>
        <w:rPr>
          <w:szCs w:val="22"/>
        </w:rPr>
        <w:t>s</w:t>
      </w:r>
      <w:r w:rsidR="009D0F57">
        <w:rPr>
          <w:szCs w:val="22"/>
        </w:rPr>
        <w:t>amopodání</w:t>
      </w:r>
      <w:proofErr w:type="spellEnd"/>
      <w:r>
        <w:rPr>
          <w:szCs w:val="22"/>
        </w:rPr>
        <w:t xml:space="preserve">, neměly by s tímto přípravkem manipulovat těhotné ženy. </w:t>
      </w:r>
      <w:proofErr w:type="spellStart"/>
      <w:r>
        <w:rPr>
          <w:szCs w:val="22"/>
        </w:rPr>
        <w:t>Dexamethason</w:t>
      </w:r>
      <w:proofErr w:type="spellEnd"/>
      <w:r>
        <w:rPr>
          <w:szCs w:val="22"/>
        </w:rPr>
        <w:t xml:space="preserve"> může ovlivnit plodnost nebo lidský plod. </w:t>
      </w:r>
    </w:p>
    <w:p w14:paraId="30D105DF" w14:textId="13A6D6A7" w:rsidR="00E57ED3" w:rsidRDefault="00227172">
      <w:pPr>
        <w:spacing w:after="220" w:line="240" w:lineRule="auto"/>
        <w:contextualSpacing/>
        <w:jc w:val="both"/>
        <w:rPr>
          <w:szCs w:val="22"/>
        </w:rPr>
      </w:pPr>
      <w:r>
        <w:rPr>
          <w:szCs w:val="22"/>
        </w:rPr>
        <w:t xml:space="preserve">Veterinární léčivý přípravek dráždí kůži a oči. Zabraňte kontaktu s kůží a očima. </w:t>
      </w:r>
      <w:r w:rsidRPr="001778E0">
        <w:rPr>
          <w:szCs w:val="22"/>
        </w:rPr>
        <w:t>V případě náhodného kontaktu veterinárního léčivého přípravku s kůží nebo očima vypláchněte velkým množstvím č</w:t>
      </w:r>
      <w:r w:rsidR="009D0F57">
        <w:rPr>
          <w:szCs w:val="22"/>
        </w:rPr>
        <w:t>isté</w:t>
      </w:r>
      <w:r w:rsidRPr="001778E0">
        <w:rPr>
          <w:szCs w:val="22"/>
        </w:rPr>
        <w:t xml:space="preserve"> vody. Pokud objeví potíže, vyhledejte lékařskou pomoc.</w:t>
      </w:r>
    </w:p>
    <w:p w14:paraId="5DDAFE79" w14:textId="77777777" w:rsidR="00E57ED3" w:rsidRDefault="00E57ED3">
      <w:pPr>
        <w:spacing w:after="220" w:line="240" w:lineRule="auto"/>
        <w:contextualSpacing/>
        <w:jc w:val="both"/>
        <w:rPr>
          <w:szCs w:val="22"/>
        </w:rPr>
      </w:pPr>
    </w:p>
    <w:p w14:paraId="35614638" w14:textId="77777777" w:rsidR="00E57ED3" w:rsidRDefault="0022717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u w:val="single"/>
        </w:rPr>
        <w:t>Březost a laktace</w:t>
      </w:r>
      <w:r>
        <w:rPr>
          <w:szCs w:val="22"/>
        </w:rPr>
        <w:t>:</w:t>
      </w:r>
    </w:p>
    <w:p w14:paraId="6FCF9926" w14:textId="311A69A1" w:rsidR="00E57ED3" w:rsidRDefault="00227172">
      <w:pPr>
        <w:spacing w:line="240" w:lineRule="auto"/>
        <w:jc w:val="both"/>
        <w:rPr>
          <w:szCs w:val="22"/>
        </w:rPr>
      </w:pPr>
      <w:r>
        <w:rPr>
          <w:szCs w:val="22"/>
        </w:rPr>
        <w:t xml:space="preserve">Kromě použití veterinárního léčivého přípravku k indukci porodu u skotu se kortikosteroidy během březosti nedoporučují. Je známo, že podávání v rané fázi březosti způsobilo u laboratorních zvířat abnormality plodu. Podávání v pozdní březosti může způsobit předčasný porod nebo potrat. </w:t>
      </w:r>
    </w:p>
    <w:p w14:paraId="0A333999" w14:textId="77777777" w:rsidR="00E57ED3" w:rsidRDefault="00227172">
      <w:pPr>
        <w:spacing w:line="240" w:lineRule="auto"/>
        <w:jc w:val="both"/>
        <w:rPr>
          <w:szCs w:val="22"/>
        </w:rPr>
      </w:pPr>
      <w:r>
        <w:rPr>
          <w:szCs w:val="22"/>
        </w:rPr>
        <w:t xml:space="preserve">Používání kortikosteroidů u </w:t>
      </w:r>
      <w:proofErr w:type="spellStart"/>
      <w:r>
        <w:rPr>
          <w:szCs w:val="22"/>
        </w:rPr>
        <w:t>laktujících</w:t>
      </w:r>
      <w:proofErr w:type="spellEnd"/>
      <w:r>
        <w:rPr>
          <w:szCs w:val="22"/>
        </w:rPr>
        <w:t xml:space="preserve"> krav a koz může způsobit dočasné snížení dojivosti.</w:t>
      </w:r>
    </w:p>
    <w:p w14:paraId="6A35608C" w14:textId="58309355" w:rsidR="00E57ED3" w:rsidRDefault="00227172">
      <w:pPr>
        <w:spacing w:line="240" w:lineRule="auto"/>
        <w:jc w:val="both"/>
        <w:rPr>
          <w:szCs w:val="22"/>
        </w:rPr>
      </w:pPr>
      <w:r>
        <w:rPr>
          <w:szCs w:val="22"/>
        </w:rPr>
        <w:t>U mláďat sajících od matky používejte pouze po zvážení terapeutického prospěchu a rizika příslušným veterinárním lékařem.</w:t>
      </w:r>
    </w:p>
    <w:p w14:paraId="1CC5BD05" w14:textId="5A911AB7" w:rsidR="00E57ED3" w:rsidRDefault="00227172">
      <w:pPr>
        <w:spacing w:after="220" w:line="240" w:lineRule="auto"/>
        <w:contextualSpacing/>
        <w:jc w:val="both"/>
        <w:rPr>
          <w:szCs w:val="22"/>
        </w:rPr>
      </w:pPr>
      <w:r>
        <w:rPr>
          <w:szCs w:val="22"/>
        </w:rPr>
        <w:t xml:space="preserve">Viz také </w:t>
      </w:r>
      <w:r w:rsidR="00645FD6">
        <w:rPr>
          <w:szCs w:val="22"/>
        </w:rPr>
        <w:t xml:space="preserve">bod </w:t>
      </w:r>
      <w:r>
        <w:rPr>
          <w:szCs w:val="22"/>
        </w:rPr>
        <w:t xml:space="preserve">Nežádoucí účinky. </w:t>
      </w:r>
    </w:p>
    <w:p w14:paraId="68F11A58" w14:textId="77777777" w:rsidR="00E57ED3" w:rsidRDefault="00E57ED3">
      <w:pPr>
        <w:spacing w:after="220" w:line="240" w:lineRule="auto"/>
        <w:contextualSpacing/>
        <w:jc w:val="both"/>
        <w:rPr>
          <w:szCs w:val="22"/>
        </w:rPr>
      </w:pPr>
    </w:p>
    <w:p w14:paraId="048C7E49" w14:textId="77777777" w:rsidR="00E57ED3" w:rsidRDefault="0022717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u w:val="single"/>
        </w:rPr>
        <w:t>Interakce s dalšími léčivými přípravky a další formy interakce:</w:t>
      </w:r>
    </w:p>
    <w:p w14:paraId="1CD5619B" w14:textId="77777777" w:rsidR="00E57ED3" w:rsidRDefault="00227172">
      <w:pPr>
        <w:spacing w:after="220" w:line="240" w:lineRule="auto"/>
        <w:contextualSpacing/>
        <w:jc w:val="both"/>
        <w:rPr>
          <w:szCs w:val="22"/>
        </w:rPr>
      </w:pPr>
      <w:r>
        <w:rPr>
          <w:szCs w:val="22"/>
        </w:rPr>
        <w:t>Současné užívání s nesteroidními protizánětlivými látkami (NSAID) může zhoršit ulcerace gastrointestinálního traktu.</w:t>
      </w:r>
    </w:p>
    <w:p w14:paraId="410E3BCB" w14:textId="77777777" w:rsidR="00E57ED3" w:rsidRDefault="00227172">
      <w:pPr>
        <w:spacing w:after="220" w:line="240" w:lineRule="auto"/>
        <w:contextualSpacing/>
        <w:jc w:val="both"/>
        <w:rPr>
          <w:szCs w:val="22"/>
        </w:rPr>
      </w:pPr>
      <w:r>
        <w:rPr>
          <w:szCs w:val="22"/>
        </w:rPr>
        <w:t xml:space="preserve">Jelikož kortikosteroidy mohou vést ke snížení imunitní odpovědi na vakcinaci, nepoužívejte </w:t>
      </w:r>
      <w:proofErr w:type="spellStart"/>
      <w:r>
        <w:rPr>
          <w:szCs w:val="22"/>
        </w:rPr>
        <w:t>dexamethason</w:t>
      </w:r>
      <w:proofErr w:type="spellEnd"/>
      <w:r>
        <w:rPr>
          <w:szCs w:val="22"/>
        </w:rPr>
        <w:t xml:space="preserve"> v kombinaci s vakcínami ani po dobu dvou týdnů od vakcinace. Podávání </w:t>
      </w:r>
      <w:proofErr w:type="spellStart"/>
      <w:r>
        <w:rPr>
          <w:szCs w:val="22"/>
        </w:rPr>
        <w:t>dexamethasonu</w:t>
      </w:r>
      <w:proofErr w:type="spellEnd"/>
      <w:r>
        <w:rPr>
          <w:szCs w:val="22"/>
        </w:rPr>
        <w:t xml:space="preserve"> může navodit </w:t>
      </w:r>
      <w:proofErr w:type="spellStart"/>
      <w:r>
        <w:rPr>
          <w:szCs w:val="22"/>
        </w:rPr>
        <w:t>hypokalémii</w:t>
      </w:r>
      <w:proofErr w:type="spellEnd"/>
      <w:r>
        <w:rPr>
          <w:szCs w:val="22"/>
        </w:rPr>
        <w:t xml:space="preserve"> a tím zvýšit riziko toxicity srdečních glykosidů. Riziko </w:t>
      </w:r>
      <w:proofErr w:type="spellStart"/>
      <w:r>
        <w:rPr>
          <w:szCs w:val="22"/>
        </w:rPr>
        <w:t>hypokalémie</w:t>
      </w:r>
      <w:proofErr w:type="spellEnd"/>
      <w:r>
        <w:rPr>
          <w:szCs w:val="22"/>
        </w:rPr>
        <w:t xml:space="preserve"> se může zvýšit při podání </w:t>
      </w:r>
      <w:proofErr w:type="spellStart"/>
      <w:r>
        <w:rPr>
          <w:szCs w:val="22"/>
        </w:rPr>
        <w:t>dexamethasonu</w:t>
      </w:r>
      <w:proofErr w:type="spellEnd"/>
      <w:r>
        <w:rPr>
          <w:szCs w:val="22"/>
        </w:rPr>
        <w:t xml:space="preserve"> v kombinaci s diuretiky vedoucími k depleci draslíku. </w:t>
      </w:r>
    </w:p>
    <w:p w14:paraId="5A18B555" w14:textId="77777777" w:rsidR="00E57ED3" w:rsidRDefault="00227172">
      <w:pPr>
        <w:spacing w:after="220" w:line="240" w:lineRule="auto"/>
        <w:contextualSpacing/>
        <w:jc w:val="both"/>
        <w:rPr>
          <w:szCs w:val="22"/>
        </w:rPr>
      </w:pPr>
      <w:r>
        <w:rPr>
          <w:szCs w:val="22"/>
        </w:rPr>
        <w:t xml:space="preserve">Souběžné použití s </w:t>
      </w:r>
      <w:proofErr w:type="spellStart"/>
      <w:r>
        <w:rPr>
          <w:szCs w:val="22"/>
        </w:rPr>
        <w:t>anticholinesterázou</w:t>
      </w:r>
      <w:proofErr w:type="spellEnd"/>
      <w:r>
        <w:rPr>
          <w:szCs w:val="22"/>
        </w:rPr>
        <w:t xml:space="preserve"> může zhoršit svalovou slabost u pacientů s </w:t>
      </w:r>
      <w:proofErr w:type="spellStart"/>
      <w:r>
        <w:rPr>
          <w:szCs w:val="22"/>
        </w:rPr>
        <w:t>myasthenia</w:t>
      </w:r>
      <w:proofErr w:type="spellEnd"/>
      <w:r>
        <w:rPr>
          <w:szCs w:val="22"/>
        </w:rPr>
        <w:t xml:space="preserve"> gravis.  </w:t>
      </w:r>
    </w:p>
    <w:p w14:paraId="00F16EE0" w14:textId="77777777" w:rsidR="00E57ED3" w:rsidRDefault="00227172">
      <w:pPr>
        <w:spacing w:after="220" w:line="240" w:lineRule="auto"/>
        <w:contextualSpacing/>
        <w:jc w:val="both"/>
        <w:rPr>
          <w:szCs w:val="22"/>
        </w:rPr>
      </w:pPr>
      <w:r>
        <w:rPr>
          <w:szCs w:val="22"/>
        </w:rPr>
        <w:t xml:space="preserve">Glukokortikoidy působí jako antagonisté insulinu. </w:t>
      </w:r>
    </w:p>
    <w:p w14:paraId="4937378E" w14:textId="77777777" w:rsidR="00E57ED3" w:rsidRDefault="00227172">
      <w:pPr>
        <w:spacing w:after="220" w:line="240" w:lineRule="auto"/>
        <w:contextualSpacing/>
        <w:jc w:val="both"/>
        <w:rPr>
          <w:szCs w:val="22"/>
        </w:rPr>
      </w:pPr>
      <w:r>
        <w:rPr>
          <w:szCs w:val="22"/>
        </w:rPr>
        <w:t xml:space="preserve">Souběžné použití s fenobarbitalem, </w:t>
      </w:r>
      <w:proofErr w:type="spellStart"/>
      <w:r>
        <w:rPr>
          <w:szCs w:val="22"/>
        </w:rPr>
        <w:t>fenytoinem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rifampicinem</w:t>
      </w:r>
      <w:proofErr w:type="spellEnd"/>
      <w:r>
        <w:rPr>
          <w:szCs w:val="22"/>
        </w:rPr>
        <w:t xml:space="preserve"> může snížit účinky </w:t>
      </w:r>
      <w:proofErr w:type="spellStart"/>
      <w:r>
        <w:rPr>
          <w:szCs w:val="22"/>
        </w:rPr>
        <w:t>dexamethasonu</w:t>
      </w:r>
      <w:proofErr w:type="spellEnd"/>
      <w:r>
        <w:rPr>
          <w:szCs w:val="22"/>
        </w:rPr>
        <w:t>.</w:t>
      </w:r>
    </w:p>
    <w:p w14:paraId="665B148F" w14:textId="77777777" w:rsidR="00E57ED3" w:rsidRDefault="00E57ED3">
      <w:pPr>
        <w:spacing w:after="220" w:line="240" w:lineRule="auto"/>
        <w:contextualSpacing/>
        <w:jc w:val="both"/>
        <w:rPr>
          <w:szCs w:val="22"/>
        </w:rPr>
      </w:pPr>
    </w:p>
    <w:p w14:paraId="4F308C50" w14:textId="77777777" w:rsidR="00E57ED3" w:rsidRDefault="0022717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u w:val="single"/>
        </w:rPr>
        <w:t xml:space="preserve">Předávkování (symptomy, první pomoc, </w:t>
      </w:r>
      <w:proofErr w:type="spellStart"/>
      <w:r>
        <w:rPr>
          <w:szCs w:val="22"/>
          <w:u w:val="single"/>
        </w:rPr>
        <w:t>antidota</w:t>
      </w:r>
      <w:proofErr w:type="spellEnd"/>
      <w:r>
        <w:rPr>
          <w:szCs w:val="22"/>
          <w:u w:val="single"/>
        </w:rPr>
        <w:t>)</w:t>
      </w:r>
      <w:r>
        <w:rPr>
          <w:szCs w:val="22"/>
        </w:rPr>
        <w:t>:</w:t>
      </w:r>
    </w:p>
    <w:p w14:paraId="1483B527" w14:textId="77777777" w:rsidR="00E57ED3" w:rsidRDefault="00227172">
      <w:pPr>
        <w:autoSpaceDE w:val="0"/>
        <w:autoSpaceDN w:val="0"/>
        <w:adjustRightInd w:val="0"/>
        <w:jc w:val="both"/>
        <w:rPr>
          <w:b/>
          <w:szCs w:val="22"/>
        </w:rPr>
      </w:pPr>
      <w:r>
        <w:rPr>
          <w:szCs w:val="22"/>
        </w:rPr>
        <w:t>Vysoké dávky mohou u koní způsobit apatii a netečnost.</w:t>
      </w:r>
      <w:r>
        <w:rPr>
          <w:b/>
          <w:szCs w:val="22"/>
        </w:rPr>
        <w:t xml:space="preserve"> </w:t>
      </w:r>
    </w:p>
    <w:p w14:paraId="1BC955B6" w14:textId="77777777" w:rsidR="00E57ED3" w:rsidRDefault="00227172">
      <w:pPr>
        <w:autoSpaceDE w:val="0"/>
        <w:autoSpaceDN w:val="0"/>
        <w:adjustRightInd w:val="0"/>
        <w:jc w:val="both"/>
        <w:rPr>
          <w:b/>
          <w:szCs w:val="22"/>
        </w:rPr>
      </w:pPr>
      <w:r>
        <w:rPr>
          <w:szCs w:val="22"/>
        </w:rPr>
        <w:t>Viz část Nežádoucí účinky.</w:t>
      </w:r>
      <w:r>
        <w:rPr>
          <w:b/>
          <w:szCs w:val="22"/>
        </w:rPr>
        <w:t xml:space="preserve"> </w:t>
      </w:r>
    </w:p>
    <w:p w14:paraId="15E9F7F8" w14:textId="77777777" w:rsidR="00E57ED3" w:rsidRDefault="00E57ED3">
      <w:pPr>
        <w:jc w:val="both"/>
        <w:rPr>
          <w:szCs w:val="22"/>
        </w:rPr>
      </w:pPr>
    </w:p>
    <w:p w14:paraId="4BDA9832" w14:textId="0BBABB78" w:rsidR="00E57ED3" w:rsidRDefault="00227172" w:rsidP="001778E0">
      <w:pPr>
        <w:tabs>
          <w:tab w:val="clear" w:pos="567"/>
        </w:tabs>
        <w:spacing w:line="240" w:lineRule="auto"/>
        <w:rPr>
          <w:szCs w:val="22"/>
        </w:rPr>
      </w:pPr>
      <w:r w:rsidRPr="001778E0">
        <w:rPr>
          <w:szCs w:val="22"/>
          <w:u w:val="single"/>
        </w:rPr>
        <w:t>Hlavní inkompatibility</w:t>
      </w:r>
      <w:r>
        <w:rPr>
          <w:vanish/>
          <w:szCs w:val="22"/>
        </w:rPr>
        <w:t>:</w:t>
      </w:r>
      <w:r>
        <w:rPr>
          <w:szCs w:val="22"/>
        </w:rPr>
        <w:t>:</w:t>
      </w:r>
    </w:p>
    <w:p w14:paraId="1C0D8B5C" w14:textId="77777777" w:rsidR="00E57ED3" w:rsidRDefault="0022717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Studie kompatibility nejsou k dispozici, a proto tento veterinární léčivý přípravek nesmí být mísen s žádnými dalšími veterinárními léčivými přípravky.</w:t>
      </w:r>
    </w:p>
    <w:p w14:paraId="207CB571" w14:textId="77777777" w:rsidR="00E57ED3" w:rsidRDefault="00E57ED3">
      <w:pPr>
        <w:keepNext/>
        <w:tabs>
          <w:tab w:val="clear" w:pos="567"/>
        </w:tabs>
        <w:spacing w:line="240" w:lineRule="auto"/>
        <w:rPr>
          <w:b/>
          <w:szCs w:val="22"/>
          <w:lang w:bidi="cs-CZ"/>
        </w:rPr>
      </w:pPr>
    </w:p>
    <w:p w14:paraId="6B49670C" w14:textId="77777777" w:rsidR="00E57ED3" w:rsidRDefault="00227172">
      <w:pPr>
        <w:keepNext/>
        <w:tabs>
          <w:tab w:val="clear" w:pos="567"/>
        </w:tabs>
        <w:spacing w:line="240" w:lineRule="auto"/>
        <w:rPr>
          <w:szCs w:val="22"/>
        </w:rPr>
      </w:pPr>
      <w:r w:rsidRPr="001778E0">
        <w:rPr>
          <w:b/>
          <w:szCs w:val="22"/>
          <w:highlight w:val="lightGray"/>
          <w:lang w:bidi="cs-CZ"/>
        </w:rPr>
        <w:t>7.</w:t>
      </w:r>
      <w:r>
        <w:rPr>
          <w:b/>
          <w:szCs w:val="22"/>
          <w:lang w:bidi="cs-CZ"/>
        </w:rPr>
        <w:tab/>
        <w:t>NEŽÁDOUCÍ ÚČINKY</w:t>
      </w:r>
    </w:p>
    <w:p w14:paraId="7A031DA2" w14:textId="77777777" w:rsidR="00E57ED3" w:rsidRDefault="00E57ED3">
      <w:pPr>
        <w:rPr>
          <w:szCs w:val="22"/>
        </w:rPr>
      </w:pPr>
    </w:p>
    <w:p w14:paraId="6494CDCE" w14:textId="77777777" w:rsidR="00E57ED3" w:rsidRPr="001778E0" w:rsidRDefault="00227172">
      <w:pPr>
        <w:rPr>
          <w:szCs w:val="22"/>
        </w:rPr>
      </w:pPr>
      <w:r w:rsidRPr="001778E0">
        <w:rPr>
          <w:szCs w:val="22"/>
        </w:rPr>
        <w:t>Koně, skot, kozy, prasata, psi a kočky: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E57ED3" w14:paraId="32BADF43" w14:textId="77777777">
        <w:tc>
          <w:tcPr>
            <w:tcW w:w="1957" w:type="pct"/>
          </w:tcPr>
          <w:p w14:paraId="3BA83EB7" w14:textId="77777777" w:rsidR="00E57ED3" w:rsidRPr="001778E0" w:rsidRDefault="00227172">
            <w:pPr>
              <w:spacing w:before="60" w:after="60"/>
              <w:rPr>
                <w:szCs w:val="22"/>
              </w:rPr>
            </w:pPr>
            <w:r w:rsidRPr="001778E0">
              <w:rPr>
                <w:szCs w:val="22"/>
              </w:rPr>
              <w:t>Velmi vzácné</w:t>
            </w:r>
          </w:p>
          <w:p w14:paraId="407AB504" w14:textId="15B6AE08" w:rsidR="00E57ED3" w:rsidRPr="001778E0" w:rsidRDefault="00227172">
            <w:pPr>
              <w:spacing w:before="60" w:after="60"/>
              <w:rPr>
                <w:szCs w:val="22"/>
              </w:rPr>
            </w:pPr>
            <w:r w:rsidRPr="001778E0">
              <w:rPr>
                <w:szCs w:val="22"/>
              </w:rPr>
              <w:t>(&lt;1 zvíře / 10 000 ošetřených zvířat, včetně ojedinělých hlášení):</w:t>
            </w:r>
          </w:p>
        </w:tc>
        <w:tc>
          <w:tcPr>
            <w:tcW w:w="3043" w:type="pct"/>
            <w:hideMark/>
          </w:tcPr>
          <w:p w14:paraId="3E7F3FAF" w14:textId="77777777" w:rsidR="00E57ED3" w:rsidRPr="001778E0" w:rsidRDefault="00227172">
            <w:pPr>
              <w:spacing w:after="60"/>
              <w:rPr>
                <w:iCs/>
                <w:szCs w:val="22"/>
              </w:rPr>
            </w:pPr>
            <w:r w:rsidRPr="001778E0">
              <w:rPr>
                <w:iCs/>
                <w:szCs w:val="22"/>
              </w:rPr>
              <w:t>Reakce z přecitlivělosti.</w:t>
            </w:r>
          </w:p>
        </w:tc>
      </w:tr>
      <w:tr w:rsidR="00E57ED3" w14:paraId="0440BCF9" w14:textId="77777777">
        <w:tc>
          <w:tcPr>
            <w:tcW w:w="1957" w:type="pct"/>
          </w:tcPr>
          <w:p w14:paraId="4613DA24" w14:textId="77777777" w:rsidR="00E57ED3" w:rsidRPr="001778E0" w:rsidRDefault="00227172">
            <w:pPr>
              <w:spacing w:before="60" w:after="60"/>
              <w:rPr>
                <w:szCs w:val="22"/>
              </w:rPr>
            </w:pPr>
            <w:r w:rsidRPr="001778E0">
              <w:rPr>
                <w:szCs w:val="22"/>
              </w:rPr>
              <w:t>S neznámou četností (z dostupných údajů nelze určit)</w:t>
            </w:r>
          </w:p>
        </w:tc>
        <w:tc>
          <w:tcPr>
            <w:tcW w:w="3043" w:type="pct"/>
          </w:tcPr>
          <w:p w14:paraId="70594889" w14:textId="77777777" w:rsidR="00645FD6" w:rsidRPr="00FA70C2" w:rsidRDefault="00645FD6" w:rsidP="00645FD6">
            <w:pPr>
              <w:spacing w:after="60"/>
              <w:rPr>
                <w:rFonts w:cs="Arial"/>
                <w:iCs/>
                <w:lang w:val="en-US"/>
              </w:rPr>
            </w:pPr>
            <w:proofErr w:type="spellStart"/>
            <w:r w:rsidRPr="00FA70C2">
              <w:rPr>
                <w:rFonts w:cs="Arial"/>
                <w:iCs/>
              </w:rPr>
              <w:t>Hyperadrenokorticismus</w:t>
            </w:r>
            <w:proofErr w:type="spellEnd"/>
            <w:r w:rsidRPr="00FA70C2">
              <w:rPr>
                <w:rFonts w:cs="Arial"/>
                <w:iCs/>
              </w:rPr>
              <w:t xml:space="preserve"> (</w:t>
            </w:r>
            <w:proofErr w:type="spellStart"/>
            <w:r w:rsidRPr="00FA70C2">
              <w:rPr>
                <w:rFonts w:cs="Arial"/>
                <w:iCs/>
              </w:rPr>
              <w:t>iatrogenní</w:t>
            </w:r>
            <w:proofErr w:type="spellEnd"/>
            <w:r w:rsidRPr="00FA70C2">
              <w:rPr>
                <w:rFonts w:cs="Arial"/>
                <w:iCs/>
              </w:rPr>
              <w:t xml:space="preserve"> </w:t>
            </w:r>
            <w:proofErr w:type="spellStart"/>
            <w:r w:rsidRPr="00FA70C2">
              <w:rPr>
                <w:rFonts w:cs="Arial"/>
                <w:iCs/>
              </w:rPr>
              <w:t>Cushingova</w:t>
            </w:r>
            <w:proofErr w:type="spellEnd"/>
            <w:r w:rsidRPr="00FA70C2">
              <w:rPr>
                <w:rFonts w:cs="Arial"/>
                <w:iCs/>
              </w:rPr>
              <w:t xml:space="preserve"> choroba</w:t>
            </w:r>
            <w:r w:rsidRPr="001778E0">
              <w:rPr>
                <w:rFonts w:cs="Arial"/>
                <w:iCs/>
              </w:rPr>
              <w:t>)</w:t>
            </w:r>
            <w:r>
              <w:rPr>
                <w:rFonts w:cs="Arial"/>
                <w:iCs/>
                <w:vertAlign w:val="superscript"/>
              </w:rPr>
              <w:t>1</w:t>
            </w:r>
            <w:r w:rsidRPr="00FA70C2">
              <w:rPr>
                <w:iCs/>
                <w:vanish/>
                <w:szCs w:val="22"/>
                <w:vertAlign w:val="superscript"/>
              </w:rPr>
              <w:t>1</w:t>
            </w:r>
            <w:r w:rsidRPr="00FA70C2">
              <w:rPr>
                <w:rFonts w:cs="Arial"/>
                <w:iCs/>
                <w:vertAlign w:val="superscript"/>
              </w:rPr>
              <w:t>;</w:t>
            </w:r>
            <w:r w:rsidRPr="00FA70C2">
              <w:rPr>
                <w:rFonts w:cs="Arial"/>
                <w:iCs/>
              </w:rPr>
              <w:t xml:space="preserve"> porucha nadledvin (atrofie</w:t>
            </w:r>
            <w:r w:rsidRPr="001778E0">
              <w:rPr>
                <w:rFonts w:cs="Arial"/>
                <w:iCs/>
              </w:rPr>
              <w:t>)</w:t>
            </w:r>
            <w:r>
              <w:rPr>
                <w:rFonts w:cs="Arial"/>
                <w:iCs/>
                <w:vertAlign w:val="superscript"/>
              </w:rPr>
              <w:t>2</w:t>
            </w:r>
            <w:r w:rsidRPr="00FA70C2">
              <w:rPr>
                <w:rFonts w:cs="Arial"/>
                <w:iCs/>
                <w:vanish/>
                <w:vertAlign w:val="superscript"/>
              </w:rPr>
              <w:t>2</w:t>
            </w:r>
            <w:r w:rsidRPr="00FA70C2">
              <w:rPr>
                <w:rFonts w:cs="Arial"/>
                <w:iCs/>
                <w:vertAlign w:val="superscript"/>
              </w:rPr>
              <w:t>;</w:t>
            </w:r>
          </w:p>
          <w:p w14:paraId="2C40B5D1" w14:textId="77777777" w:rsidR="00645FD6" w:rsidRPr="00FA70C2" w:rsidRDefault="00645FD6" w:rsidP="00645FD6">
            <w:pPr>
              <w:spacing w:after="60"/>
              <w:rPr>
                <w:iCs/>
                <w:szCs w:val="22"/>
              </w:rPr>
            </w:pPr>
            <w:r w:rsidRPr="00FA70C2">
              <w:rPr>
                <w:iCs/>
                <w:szCs w:val="22"/>
              </w:rPr>
              <w:t>Polyurie</w:t>
            </w:r>
            <w:r w:rsidRPr="00FA70C2">
              <w:rPr>
                <w:iCs/>
                <w:vanish/>
                <w:szCs w:val="22"/>
                <w:vertAlign w:val="superscript"/>
              </w:rPr>
              <w:t>3</w:t>
            </w:r>
            <w:r w:rsidRPr="00FA70C2">
              <w:rPr>
                <w:iCs/>
                <w:szCs w:val="22"/>
              </w:rPr>
              <w:t>;</w:t>
            </w:r>
          </w:p>
          <w:p w14:paraId="498BEB1E" w14:textId="77777777" w:rsidR="00645FD6" w:rsidRPr="00FA70C2" w:rsidRDefault="00645FD6" w:rsidP="00645FD6">
            <w:pPr>
              <w:spacing w:after="60"/>
              <w:rPr>
                <w:iCs/>
                <w:szCs w:val="22"/>
              </w:rPr>
            </w:pPr>
            <w:r w:rsidRPr="00FA70C2">
              <w:rPr>
                <w:iCs/>
                <w:szCs w:val="22"/>
              </w:rPr>
              <w:t>Polydipsie</w:t>
            </w:r>
            <w:r>
              <w:rPr>
                <w:iCs/>
                <w:szCs w:val="22"/>
                <w:vertAlign w:val="superscript"/>
              </w:rPr>
              <w:t>3</w:t>
            </w:r>
            <w:r w:rsidRPr="00FA70C2">
              <w:rPr>
                <w:iCs/>
                <w:vanish/>
                <w:szCs w:val="22"/>
                <w:vertAlign w:val="superscript"/>
              </w:rPr>
              <w:t>3</w:t>
            </w:r>
            <w:r w:rsidRPr="00FA70C2">
              <w:rPr>
                <w:iCs/>
                <w:szCs w:val="22"/>
              </w:rPr>
              <w:t>, polyfagie</w:t>
            </w:r>
            <w:r>
              <w:rPr>
                <w:iCs/>
                <w:szCs w:val="22"/>
                <w:vertAlign w:val="superscript"/>
              </w:rPr>
              <w:t>3</w:t>
            </w:r>
            <w:r w:rsidRPr="00FA70C2">
              <w:rPr>
                <w:iCs/>
                <w:vanish/>
                <w:szCs w:val="22"/>
                <w:vertAlign w:val="superscript"/>
              </w:rPr>
              <w:t>3</w:t>
            </w:r>
            <w:r w:rsidRPr="00FA70C2">
              <w:rPr>
                <w:iCs/>
                <w:szCs w:val="22"/>
              </w:rPr>
              <w:t>, opožděné hojení ran;</w:t>
            </w:r>
          </w:p>
          <w:p w14:paraId="17C7AFB9" w14:textId="77777777" w:rsidR="00645FD6" w:rsidRPr="00FA70C2" w:rsidRDefault="00645FD6" w:rsidP="00645FD6">
            <w:pPr>
              <w:spacing w:after="60"/>
              <w:rPr>
                <w:iCs/>
                <w:szCs w:val="22"/>
              </w:rPr>
            </w:pPr>
            <w:r w:rsidRPr="00FA70C2">
              <w:rPr>
                <w:iCs/>
                <w:szCs w:val="22"/>
              </w:rPr>
              <w:t xml:space="preserve">Porucha elektrolytové rovnováhy (zadržování sodíku a vody, </w:t>
            </w:r>
            <w:proofErr w:type="spellStart"/>
            <w:r w:rsidRPr="00FA70C2">
              <w:rPr>
                <w:iCs/>
                <w:szCs w:val="22"/>
              </w:rPr>
              <w:t>hypokalémie</w:t>
            </w:r>
            <w:proofErr w:type="spellEnd"/>
            <w:r w:rsidRPr="00FA70C2">
              <w:rPr>
                <w:iCs/>
                <w:szCs w:val="22"/>
              </w:rPr>
              <w:t>)</w:t>
            </w:r>
            <w:r>
              <w:rPr>
                <w:iCs/>
                <w:szCs w:val="22"/>
                <w:vertAlign w:val="superscript"/>
              </w:rPr>
              <w:t>4</w:t>
            </w:r>
            <w:r w:rsidRPr="00FA70C2">
              <w:rPr>
                <w:iCs/>
                <w:vanish/>
                <w:szCs w:val="22"/>
                <w:vertAlign w:val="superscript"/>
              </w:rPr>
              <w:t>4</w:t>
            </w:r>
            <w:r w:rsidRPr="00FA70C2">
              <w:rPr>
                <w:iCs/>
                <w:szCs w:val="22"/>
                <w:vertAlign w:val="superscript"/>
              </w:rPr>
              <w:t>,</w:t>
            </w:r>
            <w:r w:rsidRPr="00FA70C2">
              <w:rPr>
                <w:iCs/>
                <w:szCs w:val="22"/>
              </w:rPr>
              <w:t xml:space="preserve"> změny biochemických a hematologických parametrů krve, hyperglykémie</w:t>
            </w:r>
            <w:r w:rsidRPr="00FA70C2">
              <w:rPr>
                <w:iCs/>
                <w:szCs w:val="22"/>
                <w:vertAlign w:val="superscript"/>
              </w:rPr>
              <w:t>5</w:t>
            </w:r>
            <w:r w:rsidRPr="00FA70C2">
              <w:rPr>
                <w:iCs/>
                <w:vanish/>
                <w:szCs w:val="22"/>
                <w:vertAlign w:val="superscript"/>
              </w:rPr>
              <w:t>5</w:t>
            </w:r>
            <w:r w:rsidRPr="00FA70C2">
              <w:rPr>
                <w:iCs/>
                <w:szCs w:val="22"/>
              </w:rPr>
              <w:t>;</w:t>
            </w:r>
          </w:p>
          <w:p w14:paraId="62AD0D2B" w14:textId="77777777" w:rsidR="00645FD6" w:rsidRPr="00FA70C2" w:rsidRDefault="00645FD6" w:rsidP="00645FD6">
            <w:pPr>
              <w:spacing w:after="60"/>
              <w:rPr>
                <w:iCs/>
                <w:szCs w:val="22"/>
              </w:rPr>
            </w:pPr>
            <w:r w:rsidRPr="00FA70C2">
              <w:rPr>
                <w:iCs/>
                <w:szCs w:val="22"/>
              </w:rPr>
              <w:t>Kožní kalcinóza, ztenčení kůže;</w:t>
            </w:r>
          </w:p>
          <w:p w14:paraId="23DF16F8" w14:textId="77777777" w:rsidR="00645FD6" w:rsidRPr="00FA70C2" w:rsidRDefault="00645FD6" w:rsidP="00645FD6">
            <w:pPr>
              <w:spacing w:after="60"/>
              <w:rPr>
                <w:iCs/>
                <w:szCs w:val="22"/>
              </w:rPr>
            </w:pPr>
            <w:r w:rsidRPr="00FA70C2">
              <w:rPr>
                <w:iCs/>
                <w:szCs w:val="22"/>
              </w:rPr>
              <w:t>Porucha imunitního systému (snížená odolnost vůči infekci, exacerbace stávajících infekcí)</w:t>
            </w:r>
            <w:r>
              <w:rPr>
                <w:iCs/>
                <w:szCs w:val="22"/>
                <w:vertAlign w:val="superscript"/>
              </w:rPr>
              <w:t>6</w:t>
            </w:r>
            <w:r w:rsidRPr="00FA70C2">
              <w:rPr>
                <w:iCs/>
                <w:vanish/>
                <w:szCs w:val="22"/>
                <w:vertAlign w:val="superscript"/>
              </w:rPr>
              <w:t>6</w:t>
            </w:r>
            <w:r w:rsidRPr="00FA70C2">
              <w:rPr>
                <w:iCs/>
                <w:szCs w:val="22"/>
                <w:vertAlign w:val="superscript"/>
              </w:rPr>
              <w:t>;</w:t>
            </w:r>
          </w:p>
          <w:p w14:paraId="4080F499" w14:textId="77777777" w:rsidR="00645FD6" w:rsidRPr="00FA70C2" w:rsidRDefault="00645FD6" w:rsidP="00645FD6">
            <w:pPr>
              <w:spacing w:after="60"/>
              <w:rPr>
                <w:iCs/>
                <w:szCs w:val="22"/>
              </w:rPr>
            </w:pPr>
            <w:r w:rsidRPr="00FA70C2">
              <w:rPr>
                <w:iCs/>
                <w:szCs w:val="22"/>
              </w:rPr>
              <w:t>Gastrointestinální ulcerace</w:t>
            </w:r>
            <w:r>
              <w:rPr>
                <w:iCs/>
                <w:szCs w:val="22"/>
                <w:vertAlign w:val="superscript"/>
              </w:rPr>
              <w:t>7</w:t>
            </w:r>
            <w:r w:rsidRPr="00FA70C2">
              <w:rPr>
                <w:iCs/>
                <w:vanish/>
                <w:szCs w:val="22"/>
                <w:vertAlign w:val="superscript"/>
              </w:rPr>
              <w:t>7</w:t>
            </w:r>
            <w:r w:rsidRPr="00FA70C2">
              <w:rPr>
                <w:iCs/>
                <w:szCs w:val="22"/>
              </w:rPr>
              <w:t>, akutní pankreatitida</w:t>
            </w:r>
            <w:r>
              <w:rPr>
                <w:iCs/>
                <w:szCs w:val="22"/>
                <w:vertAlign w:val="superscript"/>
              </w:rPr>
              <w:t>8</w:t>
            </w:r>
            <w:r w:rsidRPr="00FA70C2">
              <w:rPr>
                <w:iCs/>
                <w:vanish/>
                <w:szCs w:val="22"/>
                <w:vertAlign w:val="superscript"/>
              </w:rPr>
              <w:t>8</w:t>
            </w:r>
            <w:r w:rsidRPr="00FA70C2">
              <w:rPr>
                <w:iCs/>
                <w:szCs w:val="22"/>
              </w:rPr>
              <w:t>;</w:t>
            </w:r>
          </w:p>
          <w:p w14:paraId="2E345684" w14:textId="77777777" w:rsidR="00645FD6" w:rsidRPr="00FA70C2" w:rsidRDefault="00645FD6" w:rsidP="00645FD6">
            <w:pPr>
              <w:spacing w:after="60"/>
              <w:rPr>
                <w:iCs/>
                <w:szCs w:val="22"/>
              </w:rPr>
            </w:pPr>
            <w:r w:rsidRPr="00FA70C2">
              <w:rPr>
                <w:iCs/>
                <w:szCs w:val="22"/>
              </w:rPr>
              <w:t>Hepatomegalie</w:t>
            </w:r>
            <w:r>
              <w:rPr>
                <w:iCs/>
                <w:szCs w:val="22"/>
                <w:vertAlign w:val="superscript"/>
              </w:rPr>
              <w:t>9</w:t>
            </w:r>
            <w:r w:rsidRPr="00FA70C2">
              <w:rPr>
                <w:iCs/>
                <w:vanish/>
                <w:szCs w:val="22"/>
                <w:vertAlign w:val="superscript"/>
              </w:rPr>
              <w:t>9</w:t>
            </w:r>
            <w:r w:rsidRPr="00FA70C2">
              <w:rPr>
                <w:iCs/>
                <w:szCs w:val="22"/>
              </w:rPr>
              <w:t>;</w:t>
            </w:r>
          </w:p>
          <w:p w14:paraId="28E7E3FD" w14:textId="77777777" w:rsidR="00645FD6" w:rsidRPr="00FA70C2" w:rsidRDefault="00645FD6" w:rsidP="00645FD6">
            <w:pPr>
              <w:spacing w:after="60"/>
              <w:rPr>
                <w:iCs/>
                <w:szCs w:val="22"/>
              </w:rPr>
            </w:pPr>
            <w:r w:rsidRPr="00FA70C2">
              <w:rPr>
                <w:iCs/>
                <w:szCs w:val="22"/>
              </w:rPr>
              <w:t>Agrese</w:t>
            </w:r>
            <w:r>
              <w:rPr>
                <w:iCs/>
                <w:szCs w:val="22"/>
                <w:vertAlign w:val="superscript"/>
              </w:rPr>
              <w:t>10</w:t>
            </w:r>
            <w:r w:rsidRPr="00FA70C2">
              <w:rPr>
                <w:iCs/>
                <w:vanish/>
                <w:szCs w:val="22"/>
                <w:vertAlign w:val="superscript"/>
              </w:rPr>
              <w:t>10</w:t>
            </w:r>
            <w:r w:rsidRPr="00FA70C2">
              <w:rPr>
                <w:iCs/>
                <w:szCs w:val="22"/>
              </w:rPr>
              <w:t>, deprese</w:t>
            </w:r>
            <w:r>
              <w:rPr>
                <w:iCs/>
                <w:szCs w:val="22"/>
                <w:vertAlign w:val="superscript"/>
              </w:rPr>
              <w:t>11</w:t>
            </w:r>
            <w:r w:rsidRPr="00FA70C2">
              <w:rPr>
                <w:iCs/>
                <w:vanish/>
                <w:szCs w:val="22"/>
                <w:vertAlign w:val="superscript"/>
              </w:rPr>
              <w:t>11</w:t>
            </w:r>
            <w:r w:rsidRPr="00FA70C2">
              <w:rPr>
                <w:iCs/>
                <w:szCs w:val="22"/>
              </w:rPr>
              <w:t>;</w:t>
            </w:r>
          </w:p>
          <w:p w14:paraId="6322392D" w14:textId="77777777" w:rsidR="00645FD6" w:rsidRPr="00FA70C2" w:rsidRDefault="00645FD6" w:rsidP="00645FD6">
            <w:pPr>
              <w:spacing w:after="60"/>
              <w:rPr>
                <w:iCs/>
                <w:szCs w:val="22"/>
              </w:rPr>
            </w:pPr>
            <w:r w:rsidRPr="00FA70C2">
              <w:rPr>
                <w:iCs/>
                <w:szCs w:val="22"/>
              </w:rPr>
              <w:t>Snížená životaschopnost telete</w:t>
            </w:r>
            <w:r>
              <w:rPr>
                <w:iCs/>
                <w:szCs w:val="22"/>
                <w:vertAlign w:val="superscript"/>
              </w:rPr>
              <w:t>12</w:t>
            </w:r>
            <w:r w:rsidRPr="00FA70C2">
              <w:rPr>
                <w:iCs/>
                <w:vanish/>
                <w:szCs w:val="22"/>
                <w:vertAlign w:val="superscript"/>
              </w:rPr>
              <w:t>12</w:t>
            </w:r>
            <w:r w:rsidRPr="00FA70C2">
              <w:rPr>
                <w:iCs/>
                <w:szCs w:val="22"/>
              </w:rPr>
              <w:t>, zadržená placenta</w:t>
            </w:r>
            <w:r>
              <w:rPr>
                <w:iCs/>
                <w:szCs w:val="22"/>
                <w:vertAlign w:val="superscript"/>
              </w:rPr>
              <w:t>12,13</w:t>
            </w:r>
            <w:r w:rsidRPr="00FA70C2">
              <w:rPr>
                <w:iCs/>
                <w:vanish/>
                <w:szCs w:val="22"/>
                <w:vertAlign w:val="superscript"/>
              </w:rPr>
              <w:t>12,13</w:t>
            </w:r>
            <w:r w:rsidRPr="00FA70C2">
              <w:rPr>
                <w:iCs/>
                <w:szCs w:val="22"/>
              </w:rPr>
              <w:t>;</w:t>
            </w:r>
          </w:p>
          <w:p w14:paraId="4F4424B3" w14:textId="49530FF2" w:rsidR="00E57ED3" w:rsidRPr="001778E0" w:rsidRDefault="00E57ED3">
            <w:pPr>
              <w:spacing w:after="30"/>
              <w:rPr>
                <w:iCs/>
                <w:szCs w:val="22"/>
              </w:rPr>
            </w:pPr>
          </w:p>
        </w:tc>
      </w:tr>
    </w:tbl>
    <w:p w14:paraId="63C2B0CD" w14:textId="77777777" w:rsidR="00645FD6" w:rsidRPr="00FA70C2" w:rsidRDefault="00227172" w:rsidP="00645FD6">
      <w:pPr>
        <w:ind w:left="142" w:hanging="142"/>
        <w:rPr>
          <w:vertAlign w:val="superscript"/>
        </w:rPr>
      </w:pPr>
      <w:r w:rsidRPr="001778E0">
        <w:rPr>
          <w:vanish/>
          <w:vertAlign w:val="superscript"/>
        </w:rPr>
        <w:t>1</w:t>
      </w:r>
      <w:r w:rsidRPr="001778E0">
        <w:t xml:space="preserve"> </w:t>
      </w:r>
    </w:p>
    <w:p w14:paraId="740AF793" w14:textId="77777777" w:rsidR="00645FD6" w:rsidRPr="00FA70C2" w:rsidRDefault="00645FD6" w:rsidP="00645FD6">
      <w:pPr>
        <w:ind w:left="142" w:hanging="142"/>
      </w:pPr>
      <w:r w:rsidRPr="00FA70C2">
        <w:rPr>
          <w:vertAlign w:val="superscript"/>
        </w:rPr>
        <w:t>1</w:t>
      </w:r>
      <w:r>
        <w:rPr>
          <w:vanish/>
          <w:vertAlign w:val="superscript"/>
        </w:rPr>
        <w:t>1</w:t>
      </w:r>
      <w:r>
        <w:rPr>
          <w:vanish/>
        </w:rPr>
        <w:t xml:space="preserve"> </w:t>
      </w:r>
      <w:r w:rsidRPr="00FA70C2">
        <w:t>Zahrnuje významnou změnu metabolismu tuků, sacharidů, bílkovin a minerálů, což vede například k redistribuci tělesného tuku, slabosti a úbytku svalů a osteoporóze.</w:t>
      </w:r>
    </w:p>
    <w:p w14:paraId="63C8CB38" w14:textId="77777777" w:rsidR="00645FD6" w:rsidRPr="00FA70C2" w:rsidRDefault="00645FD6" w:rsidP="00645FD6">
      <w:pPr>
        <w:ind w:left="142" w:hanging="142"/>
      </w:pPr>
      <w:r w:rsidRPr="00FA70C2">
        <w:rPr>
          <w:vanish/>
          <w:vertAlign w:val="superscript"/>
        </w:rPr>
        <w:t>2</w:t>
      </w:r>
      <w:r w:rsidRPr="00FA70C2">
        <w:t xml:space="preserve"> </w:t>
      </w:r>
      <w:r>
        <w:rPr>
          <w:vertAlign w:val="superscript"/>
        </w:rPr>
        <w:t>2</w:t>
      </w:r>
      <w:r w:rsidRPr="00FA70C2">
        <w:t xml:space="preserve">Po ukončení léčby se mohou objevit příznaky adrenální insuficience přecházející až do </w:t>
      </w:r>
      <w:proofErr w:type="spellStart"/>
      <w:r w:rsidRPr="00FA70C2">
        <w:t>adrenokortikální</w:t>
      </w:r>
      <w:proofErr w:type="spellEnd"/>
      <w:r w:rsidRPr="00FA70C2">
        <w:t xml:space="preserve"> atrofie, takže zvíře nemusí adekvátně zvládat stresové situace. Je třeba zvážit vhodnou prevenci adrenální insuficience po ukončení léčby, např. lze přípravek podávat v době maximálních hladin endogenního kortizolu (tj. ráno u psů a večer u koček) a dávky snižovat postupně.</w:t>
      </w:r>
    </w:p>
    <w:p w14:paraId="29291742" w14:textId="77777777" w:rsidR="00645FD6" w:rsidRPr="00FA70C2" w:rsidRDefault="00645FD6" w:rsidP="00645FD6">
      <w:pPr>
        <w:ind w:left="142" w:hanging="142"/>
      </w:pPr>
      <w:r>
        <w:rPr>
          <w:vertAlign w:val="superscript"/>
        </w:rPr>
        <w:t>3</w:t>
      </w:r>
      <w:r w:rsidRPr="00FA70C2">
        <w:rPr>
          <w:vanish/>
          <w:vertAlign w:val="superscript"/>
        </w:rPr>
        <w:t>3</w:t>
      </w:r>
      <w:r w:rsidRPr="00FA70C2">
        <w:t xml:space="preserve"> zejména v raných fázích léčby.</w:t>
      </w:r>
    </w:p>
    <w:p w14:paraId="286E18BE" w14:textId="77777777" w:rsidR="00645FD6" w:rsidRPr="00FA70C2" w:rsidRDefault="00645FD6" w:rsidP="00645FD6">
      <w:pPr>
        <w:ind w:left="142" w:hanging="142"/>
      </w:pPr>
      <w:r>
        <w:rPr>
          <w:vertAlign w:val="superscript"/>
        </w:rPr>
        <w:t xml:space="preserve">4 </w:t>
      </w:r>
      <w:r w:rsidRPr="00FA70C2">
        <w:rPr>
          <w:vanish/>
          <w:vertAlign w:val="superscript"/>
        </w:rPr>
        <w:t>4</w:t>
      </w:r>
      <w:r w:rsidRPr="00FA70C2">
        <w:t>při dlouhodobém používání.</w:t>
      </w:r>
    </w:p>
    <w:p w14:paraId="22B7FBBB" w14:textId="77777777" w:rsidR="00645FD6" w:rsidRPr="00FA70C2" w:rsidRDefault="00645FD6" w:rsidP="00645FD6">
      <w:pPr>
        <w:ind w:left="142" w:hanging="142"/>
      </w:pPr>
      <w:r w:rsidRPr="00FA70C2">
        <w:rPr>
          <w:vanish/>
          <w:vertAlign w:val="superscript"/>
        </w:rPr>
        <w:t>5</w:t>
      </w:r>
      <w:r>
        <w:rPr>
          <w:vertAlign w:val="superscript"/>
        </w:rPr>
        <w:t>5</w:t>
      </w:r>
      <w:r w:rsidRPr="00FA70C2">
        <w:t>je přechodného rázu.</w:t>
      </w:r>
    </w:p>
    <w:p w14:paraId="0740EC16" w14:textId="77777777" w:rsidR="00645FD6" w:rsidRPr="00FA70C2" w:rsidRDefault="00645FD6" w:rsidP="00645FD6">
      <w:pPr>
        <w:ind w:left="142" w:hanging="142"/>
      </w:pPr>
      <w:r w:rsidRPr="00FA70C2">
        <w:rPr>
          <w:vanish/>
          <w:vertAlign w:val="superscript"/>
        </w:rPr>
        <w:t>6</w:t>
      </w:r>
      <w:r>
        <w:rPr>
          <w:vertAlign w:val="superscript"/>
        </w:rPr>
        <w:t xml:space="preserve">6 </w:t>
      </w:r>
      <w:r w:rsidRPr="00FA70C2">
        <w:t xml:space="preserve">V případě bakteriální infekce je při užívání kortikoidů obvykle nutné </w:t>
      </w:r>
      <w:r>
        <w:t>antibakteriální krytí</w:t>
      </w:r>
      <w:r w:rsidRPr="00FA70C2">
        <w:t>. V pří</w:t>
      </w:r>
      <w:r>
        <w:t>padě</w:t>
      </w:r>
      <w:r w:rsidRPr="00FA70C2">
        <w:t xml:space="preserve"> virových infekcí mohou </w:t>
      </w:r>
      <w:r>
        <w:t>ster</w:t>
      </w:r>
      <w:r w:rsidRPr="00FA70C2">
        <w:t>oidy rozvoj nemoci zhoršit nebo urychlit.</w:t>
      </w:r>
    </w:p>
    <w:p w14:paraId="60ADAF7A" w14:textId="77777777" w:rsidR="00645FD6" w:rsidRPr="00FA70C2" w:rsidRDefault="00645FD6" w:rsidP="00645FD6">
      <w:pPr>
        <w:ind w:left="142" w:hanging="142"/>
      </w:pPr>
      <w:r>
        <w:rPr>
          <w:vertAlign w:val="superscript"/>
        </w:rPr>
        <w:t>7</w:t>
      </w:r>
      <w:r w:rsidRPr="00FA70C2">
        <w:rPr>
          <w:vanish/>
          <w:vertAlign w:val="superscript"/>
        </w:rPr>
        <w:t>7</w:t>
      </w:r>
      <w:r w:rsidRPr="00FA70C2">
        <w:t xml:space="preserve"> ke zhoršení může dojít u pacientů, kterým jsou podávána nesteroidní </w:t>
      </w:r>
      <w:r>
        <w:t>protizánětlivé látky</w:t>
      </w:r>
      <w:r w:rsidRPr="00FA70C2">
        <w:t xml:space="preserve"> (NSA</w:t>
      </w:r>
      <w:r>
        <w:t>ID</w:t>
      </w:r>
      <w:r w:rsidRPr="00FA70C2">
        <w:t xml:space="preserve">) a </w:t>
      </w:r>
      <w:r>
        <w:t>u zvířat s</w:t>
      </w:r>
      <w:r w:rsidRPr="00FA70C2">
        <w:t xml:space="preserve"> poranění</w:t>
      </w:r>
      <w:r>
        <w:t>m</w:t>
      </w:r>
      <w:r w:rsidRPr="00FA70C2">
        <w:t xml:space="preserve"> míchy.</w:t>
      </w:r>
    </w:p>
    <w:p w14:paraId="0231D0F6" w14:textId="77777777" w:rsidR="00645FD6" w:rsidRPr="00FA70C2" w:rsidRDefault="00645FD6" w:rsidP="00645FD6">
      <w:pPr>
        <w:ind w:left="142" w:hanging="142"/>
      </w:pPr>
      <w:r w:rsidRPr="00FA70C2">
        <w:rPr>
          <w:vanish/>
          <w:vertAlign w:val="superscript"/>
        </w:rPr>
        <w:t>8</w:t>
      </w:r>
      <w:r w:rsidRPr="00FA70C2">
        <w:t xml:space="preserve"> </w:t>
      </w:r>
      <w:r>
        <w:rPr>
          <w:vertAlign w:val="superscript"/>
        </w:rPr>
        <w:t xml:space="preserve">8 </w:t>
      </w:r>
      <w:r w:rsidRPr="00FA70C2">
        <w:t>zvýšené riziko.</w:t>
      </w:r>
    </w:p>
    <w:p w14:paraId="4C2A2796" w14:textId="77777777" w:rsidR="00645FD6" w:rsidRPr="00FA70C2" w:rsidRDefault="00645FD6" w:rsidP="00645FD6">
      <w:pPr>
        <w:ind w:left="142" w:hanging="142"/>
      </w:pPr>
      <w:r w:rsidRPr="00FA70C2">
        <w:rPr>
          <w:vanish/>
          <w:vertAlign w:val="superscript"/>
        </w:rPr>
        <w:t>9</w:t>
      </w:r>
      <w:r w:rsidRPr="00FA70C2">
        <w:t xml:space="preserve"> </w:t>
      </w:r>
      <w:r>
        <w:rPr>
          <w:vertAlign w:val="superscript"/>
        </w:rPr>
        <w:t xml:space="preserve">9 </w:t>
      </w:r>
      <w:r w:rsidRPr="00FA70C2">
        <w:t>spojené se zvýšenými jaterními enzymy v séru.</w:t>
      </w:r>
    </w:p>
    <w:p w14:paraId="083D8482" w14:textId="77777777" w:rsidR="00645FD6" w:rsidRPr="00FA70C2" w:rsidRDefault="00645FD6" w:rsidP="00645FD6">
      <w:pPr>
        <w:ind w:left="142" w:hanging="142"/>
      </w:pPr>
      <w:bookmarkStart w:id="3" w:name="_Hlk175640952"/>
      <w:r w:rsidRPr="00FA70C2">
        <w:rPr>
          <w:vanish/>
          <w:vertAlign w:val="superscript"/>
        </w:rPr>
        <w:t>10</w:t>
      </w:r>
      <w:r w:rsidRPr="00FA70C2">
        <w:t xml:space="preserve"> </w:t>
      </w:r>
      <w:r>
        <w:rPr>
          <w:vertAlign w:val="superscript"/>
        </w:rPr>
        <w:t xml:space="preserve">10 </w:t>
      </w:r>
      <w:r w:rsidRPr="00FA70C2">
        <w:t>u psů.</w:t>
      </w:r>
    </w:p>
    <w:p w14:paraId="3B111FA2" w14:textId="77777777" w:rsidR="00645FD6" w:rsidRPr="00FA70C2" w:rsidRDefault="00645FD6" w:rsidP="00645FD6">
      <w:pPr>
        <w:ind w:left="142" w:hanging="142"/>
      </w:pPr>
      <w:r w:rsidRPr="00FA70C2">
        <w:rPr>
          <w:vanish/>
          <w:vertAlign w:val="superscript"/>
        </w:rPr>
        <w:t>11</w:t>
      </w:r>
      <w:r w:rsidRPr="00FA70C2">
        <w:t xml:space="preserve"> </w:t>
      </w:r>
      <w:r>
        <w:rPr>
          <w:vertAlign w:val="superscript"/>
        </w:rPr>
        <w:t xml:space="preserve">11 </w:t>
      </w:r>
      <w:r w:rsidRPr="00FA70C2">
        <w:t>příležitostně u koček a psů.</w:t>
      </w:r>
    </w:p>
    <w:p w14:paraId="1AF74A5E" w14:textId="77777777" w:rsidR="00645FD6" w:rsidRPr="00FA70C2" w:rsidRDefault="00645FD6" w:rsidP="00645FD6">
      <w:pPr>
        <w:ind w:left="142" w:hanging="142"/>
      </w:pPr>
      <w:r w:rsidRPr="00FA70C2">
        <w:rPr>
          <w:vanish/>
          <w:vertAlign w:val="superscript"/>
        </w:rPr>
        <w:t>12</w:t>
      </w:r>
      <w:r w:rsidRPr="00FA70C2">
        <w:t xml:space="preserve"> </w:t>
      </w:r>
      <w:r>
        <w:rPr>
          <w:vertAlign w:val="superscript"/>
        </w:rPr>
        <w:t xml:space="preserve">12 </w:t>
      </w:r>
      <w:r w:rsidRPr="00FA70C2">
        <w:t>pokud je přípravek používán k indukci porodu u skotu.</w:t>
      </w:r>
    </w:p>
    <w:p w14:paraId="1BECBAB0" w14:textId="77777777" w:rsidR="00645FD6" w:rsidRPr="00FA70C2" w:rsidRDefault="00645FD6" w:rsidP="00645FD6">
      <w:pPr>
        <w:ind w:left="142" w:hanging="142"/>
      </w:pPr>
      <w:r w:rsidRPr="00FA70C2">
        <w:rPr>
          <w:vanish/>
          <w:vertAlign w:val="superscript"/>
        </w:rPr>
        <w:t>13</w:t>
      </w:r>
      <w:r w:rsidRPr="00FA70C2">
        <w:t xml:space="preserve"> </w:t>
      </w:r>
      <w:r>
        <w:rPr>
          <w:vertAlign w:val="superscript"/>
        </w:rPr>
        <w:t xml:space="preserve">13 </w:t>
      </w:r>
      <w:r w:rsidRPr="00FA70C2">
        <w:t>s možným následným vznikem metritidy a/nebo zhoršením fertility.</w:t>
      </w:r>
    </w:p>
    <w:bookmarkEnd w:id="3"/>
    <w:p w14:paraId="316BE0A9" w14:textId="77777777" w:rsidR="00E57ED3" w:rsidRPr="001778E0" w:rsidRDefault="00E57ED3">
      <w:pPr>
        <w:rPr>
          <w:szCs w:val="22"/>
        </w:rPr>
      </w:pPr>
    </w:p>
    <w:p w14:paraId="76C2AB4D" w14:textId="77777777" w:rsidR="00645FD6" w:rsidRPr="00DC591F" w:rsidRDefault="00227172" w:rsidP="00645FD6">
      <w:pPr>
        <w:tabs>
          <w:tab w:val="left" w:pos="-720"/>
        </w:tabs>
        <w:suppressAutoHyphens/>
        <w:spacing w:line="240" w:lineRule="auto"/>
        <w:rPr>
          <w:rFonts w:asciiTheme="minorHAnsi" w:hAnsiTheme="minorHAnsi" w:cstheme="minorHAnsi"/>
        </w:rPr>
      </w:pPr>
      <w:r w:rsidRPr="001778E0">
        <w:rPr>
          <w:szCs w:val="22"/>
        </w:rPr>
        <w:t xml:space="preserve">Hlášení nežádoucích účinků je důležité. Umožňuje nepřetržité sledování bezpečnosti veterinárního léčivého přípravku. Jestliže zaznamenáte jakékoli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</w:t>
      </w:r>
      <w:r w:rsidRPr="001778E0">
        <w:rPr>
          <w:szCs w:val="22"/>
        </w:rPr>
        <w:lastRenderedPageBreak/>
        <w:t xml:space="preserve">místnímu zástupci držitele rozhodnutí o registraci s využitím kontaktních údajů uvedených na konci této příbalové informace nebo prostřednictvím národního systému hlášení nežádoucích účinků: </w:t>
      </w:r>
    </w:p>
    <w:p w14:paraId="360B8D3B" w14:textId="77777777" w:rsidR="00645FD6" w:rsidRPr="001778E0" w:rsidRDefault="00645FD6" w:rsidP="00645FD6">
      <w:pPr>
        <w:tabs>
          <w:tab w:val="left" w:pos="-720"/>
        </w:tabs>
        <w:suppressAutoHyphens/>
        <w:spacing w:line="240" w:lineRule="auto"/>
      </w:pPr>
      <w:r w:rsidRPr="001778E0">
        <w:t xml:space="preserve">Ústav pro státní kontrolu veterinárních biopreparátů a léčiv </w:t>
      </w:r>
    </w:p>
    <w:p w14:paraId="7435DB95" w14:textId="77777777" w:rsidR="00645FD6" w:rsidRPr="001778E0" w:rsidRDefault="00645FD6" w:rsidP="00645FD6">
      <w:pPr>
        <w:tabs>
          <w:tab w:val="left" w:pos="-720"/>
        </w:tabs>
        <w:suppressAutoHyphens/>
        <w:spacing w:line="240" w:lineRule="auto"/>
      </w:pPr>
      <w:r w:rsidRPr="001778E0">
        <w:t>Hudcova 232/</w:t>
      </w:r>
      <w:proofErr w:type="gramStart"/>
      <w:r w:rsidRPr="001778E0">
        <w:t>56a</w:t>
      </w:r>
      <w:proofErr w:type="gramEnd"/>
      <w:r w:rsidRPr="001778E0">
        <w:t xml:space="preserve"> </w:t>
      </w:r>
    </w:p>
    <w:p w14:paraId="5135EA73" w14:textId="77777777" w:rsidR="00645FD6" w:rsidRPr="001778E0" w:rsidRDefault="00645FD6" w:rsidP="00645FD6">
      <w:pPr>
        <w:tabs>
          <w:tab w:val="left" w:pos="-720"/>
        </w:tabs>
        <w:suppressAutoHyphens/>
        <w:spacing w:line="240" w:lineRule="auto"/>
      </w:pPr>
      <w:r w:rsidRPr="001778E0">
        <w:t>621 00 Brno</w:t>
      </w:r>
    </w:p>
    <w:p w14:paraId="1C70196B" w14:textId="77777777" w:rsidR="00645FD6" w:rsidRPr="001778E0" w:rsidRDefault="00645FD6" w:rsidP="00645FD6">
      <w:pPr>
        <w:tabs>
          <w:tab w:val="left" w:pos="-720"/>
        </w:tabs>
        <w:suppressAutoHyphens/>
        <w:spacing w:line="240" w:lineRule="auto"/>
      </w:pPr>
      <w:r w:rsidRPr="001778E0">
        <w:t xml:space="preserve">e-mail: </w:t>
      </w:r>
      <w:hyperlink r:id="rId17" w:history="1">
        <w:r w:rsidRPr="001778E0">
          <w:rPr>
            <w:rStyle w:val="Hypertextovodkaz"/>
          </w:rPr>
          <w:t>adr@uskvbl.cz</w:t>
        </w:r>
      </w:hyperlink>
    </w:p>
    <w:p w14:paraId="138BD6F8" w14:textId="520B4220" w:rsidR="00645FD6" w:rsidRPr="001778E0" w:rsidRDefault="00645FD6" w:rsidP="00645FD6">
      <w:pPr>
        <w:tabs>
          <w:tab w:val="left" w:pos="-720"/>
        </w:tabs>
        <w:suppressAutoHyphens/>
        <w:spacing w:line="240" w:lineRule="auto"/>
      </w:pPr>
      <w:r w:rsidRPr="001778E0">
        <w:t xml:space="preserve">Webové stránky: </w:t>
      </w:r>
      <w:hyperlink r:id="rId18" w:history="1">
        <w:r w:rsidRPr="001778E0">
          <w:rPr>
            <w:rStyle w:val="Hypertextovodkaz"/>
          </w:rPr>
          <w:t>http://www.uskvbl.cz/cs/farmakovigilance</w:t>
        </w:r>
      </w:hyperlink>
    </w:p>
    <w:p w14:paraId="2F001B11" w14:textId="77777777" w:rsidR="009E6421" w:rsidRDefault="009E6421">
      <w:pPr>
        <w:keepNext/>
        <w:tabs>
          <w:tab w:val="clear" w:pos="567"/>
        </w:tabs>
        <w:spacing w:line="240" w:lineRule="auto"/>
        <w:rPr>
          <w:b/>
          <w:szCs w:val="22"/>
          <w:highlight w:val="lightGray"/>
          <w:lang w:bidi="cs-CZ"/>
        </w:rPr>
      </w:pPr>
    </w:p>
    <w:p w14:paraId="4EA7DFF1" w14:textId="48D1ADA9" w:rsidR="00E57ED3" w:rsidRDefault="00227172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  <w:lang w:bidi="cs-CZ"/>
        </w:rPr>
        <w:t>8.</w:t>
      </w:r>
      <w:r>
        <w:rPr>
          <w:b/>
          <w:szCs w:val="22"/>
          <w:lang w:bidi="cs-CZ"/>
        </w:rPr>
        <w:tab/>
        <w:t>DÁVKOVÁNÍ PRO KAŽDÝ DRUH, CESTY A ZPŮSOB PODÁNÍ</w:t>
      </w:r>
    </w:p>
    <w:p w14:paraId="1946F0CD" w14:textId="77777777" w:rsidR="00E57ED3" w:rsidRDefault="00E57ED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190B08E" w14:textId="77777777" w:rsidR="00E57ED3" w:rsidRPr="001778E0" w:rsidRDefault="00227172">
      <w:pPr>
        <w:tabs>
          <w:tab w:val="clear" w:pos="567"/>
        </w:tabs>
        <w:spacing w:line="240" w:lineRule="auto"/>
        <w:ind w:left="2268" w:hanging="2268"/>
        <w:rPr>
          <w:szCs w:val="22"/>
        </w:rPr>
      </w:pPr>
      <w:r w:rsidRPr="001778E0">
        <w:rPr>
          <w:szCs w:val="22"/>
        </w:rPr>
        <w:t xml:space="preserve">Koně: </w:t>
      </w:r>
      <w:r w:rsidRPr="001778E0">
        <w:rPr>
          <w:szCs w:val="22"/>
        </w:rPr>
        <w:tab/>
      </w:r>
      <w:r w:rsidRPr="001778E0">
        <w:rPr>
          <w:szCs w:val="22"/>
        </w:rPr>
        <w:tab/>
        <w:t>intravenózní (i.v.), intramuskulární (i.m.), intraartikulární (i.a.) a periartikulární (p.a.) podání.</w:t>
      </w:r>
    </w:p>
    <w:p w14:paraId="36D20763" w14:textId="77777777" w:rsidR="00E57ED3" w:rsidRPr="001778E0" w:rsidRDefault="00227172">
      <w:pPr>
        <w:tabs>
          <w:tab w:val="clear" w:pos="567"/>
        </w:tabs>
        <w:spacing w:line="240" w:lineRule="auto"/>
        <w:rPr>
          <w:szCs w:val="22"/>
        </w:rPr>
      </w:pPr>
      <w:r w:rsidRPr="001778E0">
        <w:rPr>
          <w:szCs w:val="22"/>
        </w:rPr>
        <w:t>Psi a kočky:</w:t>
      </w:r>
      <w:r w:rsidRPr="001778E0">
        <w:rPr>
          <w:szCs w:val="22"/>
        </w:rPr>
        <w:tab/>
      </w:r>
      <w:r w:rsidRPr="001778E0">
        <w:rPr>
          <w:szCs w:val="22"/>
        </w:rPr>
        <w:tab/>
        <w:t>intravenózní, intramuskulární a subkutánní (s.c.) podání.</w:t>
      </w:r>
    </w:p>
    <w:p w14:paraId="3272259A" w14:textId="77777777" w:rsidR="00E57ED3" w:rsidRPr="001778E0" w:rsidRDefault="00227172">
      <w:pPr>
        <w:tabs>
          <w:tab w:val="clear" w:pos="567"/>
        </w:tabs>
        <w:spacing w:line="240" w:lineRule="auto"/>
        <w:rPr>
          <w:szCs w:val="22"/>
        </w:rPr>
      </w:pPr>
      <w:r w:rsidRPr="001778E0">
        <w:rPr>
          <w:szCs w:val="22"/>
        </w:rPr>
        <w:t xml:space="preserve">Skot, kozy a prasata: </w:t>
      </w:r>
      <w:r w:rsidRPr="001778E0">
        <w:rPr>
          <w:szCs w:val="22"/>
        </w:rPr>
        <w:tab/>
        <w:t>intravenózní a intramuskulární podání.</w:t>
      </w:r>
    </w:p>
    <w:p w14:paraId="465FBCD8" w14:textId="77777777" w:rsidR="00E57ED3" w:rsidRDefault="00E57ED3">
      <w:pPr>
        <w:spacing w:line="240" w:lineRule="auto"/>
        <w:rPr>
          <w:szCs w:val="22"/>
          <w:u w:val="single"/>
        </w:rPr>
      </w:pPr>
    </w:p>
    <w:p w14:paraId="61DC759F" w14:textId="77777777" w:rsidR="00E57ED3" w:rsidRDefault="00227172">
      <w:pPr>
        <w:spacing w:line="240" w:lineRule="auto"/>
        <w:rPr>
          <w:szCs w:val="22"/>
        </w:rPr>
      </w:pPr>
      <w:r>
        <w:rPr>
          <w:szCs w:val="22"/>
          <w:u w:val="single"/>
        </w:rPr>
        <w:t>K léčbě zánětlivých nebo alergických stavů</w:t>
      </w:r>
      <w:r>
        <w:rPr>
          <w:szCs w:val="22"/>
        </w:rPr>
        <w:t xml:space="preserve"> se doporučují následující průměrné dávky. Skutečná použitá dávka by se však měla řídit závažností příznaků a délkou jejich trvání.</w:t>
      </w:r>
    </w:p>
    <w:p w14:paraId="619935B8" w14:textId="77777777" w:rsidR="00E57ED3" w:rsidRDefault="00E57ED3">
      <w:pPr>
        <w:spacing w:line="240" w:lineRule="auto"/>
        <w:rPr>
          <w:noProof/>
          <w:szCs w:val="22"/>
        </w:rPr>
      </w:pPr>
    </w:p>
    <w:p w14:paraId="4DAEAF55" w14:textId="77777777" w:rsidR="00E57ED3" w:rsidRDefault="00227172">
      <w:pPr>
        <w:spacing w:line="240" w:lineRule="auto"/>
        <w:rPr>
          <w:b/>
          <w:noProof/>
          <w:szCs w:val="22"/>
        </w:rPr>
      </w:pPr>
      <w:r>
        <w:rPr>
          <w:b/>
          <w:szCs w:val="22"/>
        </w:rPr>
        <w:t xml:space="preserve">Druh 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Dávkování</w:t>
      </w:r>
    </w:p>
    <w:p w14:paraId="41892167" w14:textId="77777777" w:rsidR="00E57ED3" w:rsidRPr="001778E0" w:rsidRDefault="00227172">
      <w:pPr>
        <w:spacing w:line="240" w:lineRule="auto"/>
        <w:ind w:left="2835" w:hanging="2835"/>
        <w:rPr>
          <w:noProof/>
          <w:szCs w:val="22"/>
        </w:rPr>
      </w:pPr>
      <w:r w:rsidRPr="001778E0">
        <w:rPr>
          <w:noProof/>
          <w:szCs w:val="22"/>
        </w:rPr>
        <w:t xml:space="preserve">Koně, skot, kozy, prasata </w:t>
      </w:r>
      <w:r w:rsidRPr="001778E0">
        <w:rPr>
          <w:noProof/>
          <w:szCs w:val="22"/>
        </w:rPr>
        <w:tab/>
        <w:t>0,06 mg dexamethasonu/kg živé hmotnosti.</w:t>
      </w:r>
    </w:p>
    <w:p w14:paraId="44D337DF" w14:textId="7EB22247" w:rsidR="00E57ED3" w:rsidRPr="001778E0" w:rsidRDefault="00227172">
      <w:pPr>
        <w:spacing w:line="240" w:lineRule="auto"/>
        <w:ind w:left="2835" w:hanging="2835"/>
        <w:rPr>
          <w:noProof/>
          <w:szCs w:val="22"/>
        </w:rPr>
      </w:pPr>
      <w:r w:rsidRPr="001778E0">
        <w:rPr>
          <w:noProof/>
          <w:szCs w:val="22"/>
        </w:rPr>
        <w:tab/>
      </w:r>
      <w:r w:rsidRPr="001778E0">
        <w:rPr>
          <w:noProof/>
          <w:szCs w:val="22"/>
        </w:rPr>
        <w:tab/>
        <w:t>(1,5 ml veterinárního léčivého přípravku /50 kg živé hmotnosti)</w:t>
      </w:r>
    </w:p>
    <w:p w14:paraId="76133C7A" w14:textId="77777777" w:rsidR="00E57ED3" w:rsidRPr="001778E0" w:rsidRDefault="00227172">
      <w:pPr>
        <w:spacing w:line="240" w:lineRule="auto"/>
        <w:rPr>
          <w:noProof/>
          <w:szCs w:val="22"/>
        </w:rPr>
      </w:pPr>
      <w:r w:rsidRPr="001778E0">
        <w:rPr>
          <w:noProof/>
          <w:szCs w:val="22"/>
        </w:rPr>
        <w:t>Psi, kočky</w:t>
      </w:r>
      <w:r w:rsidRPr="001778E0">
        <w:rPr>
          <w:noProof/>
          <w:szCs w:val="22"/>
        </w:rPr>
        <w:tab/>
      </w:r>
      <w:r w:rsidRPr="001778E0">
        <w:rPr>
          <w:noProof/>
          <w:szCs w:val="22"/>
        </w:rPr>
        <w:tab/>
      </w:r>
      <w:r w:rsidRPr="001778E0">
        <w:rPr>
          <w:noProof/>
          <w:szCs w:val="22"/>
        </w:rPr>
        <w:tab/>
      </w:r>
      <w:r w:rsidRPr="001778E0">
        <w:rPr>
          <w:noProof/>
          <w:szCs w:val="22"/>
        </w:rPr>
        <w:tab/>
        <w:t>0,1 mg dexamethasonu/kg živé hmotnosti.</w:t>
      </w:r>
    </w:p>
    <w:p w14:paraId="5B0405AF" w14:textId="12DA01E5" w:rsidR="00E57ED3" w:rsidRDefault="00227172">
      <w:pPr>
        <w:spacing w:line="240" w:lineRule="auto"/>
        <w:rPr>
          <w:noProof/>
          <w:szCs w:val="22"/>
        </w:rPr>
      </w:pPr>
      <w:r w:rsidRPr="001778E0">
        <w:rPr>
          <w:noProof/>
          <w:szCs w:val="22"/>
        </w:rPr>
        <w:tab/>
      </w:r>
      <w:r w:rsidRPr="001778E0">
        <w:rPr>
          <w:noProof/>
          <w:szCs w:val="22"/>
        </w:rPr>
        <w:tab/>
      </w:r>
      <w:r w:rsidRPr="001778E0">
        <w:rPr>
          <w:noProof/>
          <w:szCs w:val="22"/>
        </w:rPr>
        <w:tab/>
      </w:r>
      <w:r w:rsidRPr="001778E0">
        <w:rPr>
          <w:noProof/>
          <w:szCs w:val="22"/>
        </w:rPr>
        <w:tab/>
      </w:r>
      <w:r w:rsidRPr="001778E0">
        <w:rPr>
          <w:noProof/>
          <w:szCs w:val="22"/>
        </w:rPr>
        <w:tab/>
        <w:t>(0,5 ml veterinárního léčivého přípravku /10 kg živé hmotnosti)</w:t>
      </w:r>
    </w:p>
    <w:p w14:paraId="445B0408" w14:textId="77777777" w:rsidR="00E57ED3" w:rsidRDefault="00E57ED3">
      <w:pPr>
        <w:spacing w:after="220" w:line="240" w:lineRule="auto"/>
        <w:contextualSpacing/>
        <w:jc w:val="both"/>
        <w:rPr>
          <w:szCs w:val="22"/>
          <w:u w:val="single"/>
        </w:rPr>
      </w:pPr>
    </w:p>
    <w:p w14:paraId="72B6919A" w14:textId="056EAC75" w:rsidR="00E57ED3" w:rsidRDefault="00227172">
      <w:pPr>
        <w:spacing w:after="220" w:line="240" w:lineRule="auto"/>
        <w:contextualSpacing/>
        <w:jc w:val="both"/>
        <w:rPr>
          <w:szCs w:val="22"/>
        </w:rPr>
      </w:pPr>
      <w:r>
        <w:rPr>
          <w:szCs w:val="22"/>
          <w:u w:val="single"/>
        </w:rPr>
        <w:t xml:space="preserve">Léčba primární ketózy u skotu </w:t>
      </w:r>
      <w:r>
        <w:rPr>
          <w:szCs w:val="22"/>
        </w:rPr>
        <w:t xml:space="preserve">dávka 0,02–0,04 mg </w:t>
      </w:r>
      <w:proofErr w:type="spellStart"/>
      <w:r>
        <w:rPr>
          <w:szCs w:val="22"/>
        </w:rPr>
        <w:t>dexamethasonu</w:t>
      </w:r>
      <w:proofErr w:type="spellEnd"/>
      <w:r>
        <w:rPr>
          <w:szCs w:val="22"/>
        </w:rPr>
        <w:t xml:space="preserve">/kg živé hmotnosti (skot: 5–10 ml veterinárního léčivého přípravku na 500 kg živé hmotnosti; kozy: 0,65–1,3 ml veterinárního léčivého přípravku na 65 kg živé hmotnosti) jednorázové intramuskulární podání v závislosti na velikosti zvířete a délce trvání příznaků. Vyšší dávky (tj. 0,04 mg/kg) jsou třeba u zvířat, u kterých příznaky trvaly delší dobu nebo u kterých došlo k relapsu po léčbě. </w:t>
      </w:r>
    </w:p>
    <w:p w14:paraId="60FCB3F5" w14:textId="77777777" w:rsidR="00E57ED3" w:rsidRDefault="00E57ED3">
      <w:pPr>
        <w:spacing w:after="220" w:line="240" w:lineRule="auto"/>
        <w:contextualSpacing/>
        <w:jc w:val="both"/>
        <w:rPr>
          <w:szCs w:val="22"/>
        </w:rPr>
      </w:pPr>
    </w:p>
    <w:p w14:paraId="5990B750" w14:textId="2AFC8A9E" w:rsidR="00E57ED3" w:rsidRDefault="00227172">
      <w:pPr>
        <w:spacing w:after="220" w:line="240" w:lineRule="auto"/>
        <w:contextualSpacing/>
        <w:jc w:val="both"/>
        <w:rPr>
          <w:szCs w:val="22"/>
        </w:rPr>
      </w:pPr>
      <w:r>
        <w:rPr>
          <w:szCs w:val="22"/>
          <w:u w:val="single"/>
        </w:rPr>
        <w:t>K indukci porodu</w:t>
      </w:r>
      <w:r>
        <w:rPr>
          <w:szCs w:val="22"/>
        </w:rPr>
        <w:t>– k zabránění nadměrné velikosti plodu a otoku mléčné žlázy</w:t>
      </w:r>
      <w:r>
        <w:rPr>
          <w:szCs w:val="22"/>
          <w:u w:val="single"/>
        </w:rPr>
        <w:t xml:space="preserve"> u skotu</w:t>
      </w:r>
      <w:r>
        <w:rPr>
          <w:szCs w:val="22"/>
        </w:rPr>
        <w:t xml:space="preserve">. Jednorázové intramuskulární injekční podání 0,04 mg </w:t>
      </w:r>
      <w:proofErr w:type="spellStart"/>
      <w:r>
        <w:rPr>
          <w:szCs w:val="22"/>
        </w:rPr>
        <w:t>dexamethasonu</w:t>
      </w:r>
      <w:proofErr w:type="spellEnd"/>
      <w:r>
        <w:rPr>
          <w:szCs w:val="22"/>
        </w:rPr>
        <w:t>/kg živé hmotnosti (což odpovídá 10 ml veterinárního léčivého přípravku pro krávu o hmotnosti 500 kg) po 260. dni březosti.</w:t>
      </w:r>
    </w:p>
    <w:p w14:paraId="1FD554D3" w14:textId="77777777" w:rsidR="00E57ED3" w:rsidRDefault="00227172">
      <w:pPr>
        <w:spacing w:after="220" w:line="240" w:lineRule="auto"/>
        <w:contextualSpacing/>
        <w:jc w:val="both"/>
        <w:rPr>
          <w:szCs w:val="22"/>
        </w:rPr>
      </w:pPr>
      <w:r>
        <w:rPr>
          <w:szCs w:val="22"/>
        </w:rPr>
        <w:t xml:space="preserve">Porod se běžně dostaví za 48–72 hodin. </w:t>
      </w:r>
    </w:p>
    <w:p w14:paraId="5623F78C" w14:textId="77777777" w:rsidR="00E57ED3" w:rsidRDefault="00E57ED3">
      <w:pPr>
        <w:spacing w:after="220" w:line="240" w:lineRule="auto"/>
        <w:contextualSpacing/>
        <w:jc w:val="both"/>
        <w:rPr>
          <w:szCs w:val="22"/>
        </w:rPr>
      </w:pPr>
    </w:p>
    <w:p w14:paraId="3CDC87FB" w14:textId="77777777" w:rsidR="00E57ED3" w:rsidRDefault="00227172">
      <w:pPr>
        <w:spacing w:line="240" w:lineRule="auto"/>
        <w:jc w:val="both"/>
        <w:rPr>
          <w:noProof/>
          <w:szCs w:val="22"/>
        </w:rPr>
      </w:pPr>
      <w:r>
        <w:rPr>
          <w:szCs w:val="22"/>
          <w:u w:val="single"/>
        </w:rPr>
        <w:t xml:space="preserve">K léčbě artritidy, burzitidy nebo tenosynovitidy </w:t>
      </w:r>
      <w:bookmarkStart w:id="4" w:name="_Hlk58318579"/>
      <w:r>
        <w:rPr>
          <w:szCs w:val="22"/>
        </w:rPr>
        <w:t xml:space="preserve">intraartikulárním nebo periartikulárním </w:t>
      </w:r>
      <w:bookmarkEnd w:id="4"/>
      <w:r>
        <w:rPr>
          <w:szCs w:val="22"/>
        </w:rPr>
        <w:t>injekčním podáním u koní.</w:t>
      </w:r>
    </w:p>
    <w:p w14:paraId="73598504" w14:textId="09FA0D12" w:rsidR="00E57ED3" w:rsidRDefault="00227172">
      <w:pPr>
        <w:spacing w:line="240" w:lineRule="auto"/>
        <w:jc w:val="both"/>
        <w:rPr>
          <w:i/>
          <w:noProof/>
          <w:szCs w:val="22"/>
        </w:rPr>
      </w:pPr>
      <w:r>
        <w:rPr>
          <w:szCs w:val="22"/>
        </w:rPr>
        <w:t xml:space="preserve">Dávka 1–5 ml veterinárního léčivého přípravku na </w:t>
      </w:r>
      <w:r w:rsidR="00645FD6">
        <w:rPr>
          <w:szCs w:val="22"/>
        </w:rPr>
        <w:t>ošetření</w:t>
      </w:r>
    </w:p>
    <w:p w14:paraId="4C50ECAE" w14:textId="77777777" w:rsidR="00E57ED3" w:rsidRDefault="00E57ED3">
      <w:pPr>
        <w:spacing w:line="240" w:lineRule="auto"/>
        <w:jc w:val="both"/>
        <w:rPr>
          <w:noProof/>
          <w:szCs w:val="22"/>
        </w:rPr>
      </w:pPr>
    </w:p>
    <w:p w14:paraId="57949D5C" w14:textId="58D4242F" w:rsidR="00E57ED3" w:rsidRDefault="00227172">
      <w:pPr>
        <w:spacing w:line="240" w:lineRule="auto"/>
        <w:jc w:val="both"/>
        <w:rPr>
          <w:noProof/>
          <w:szCs w:val="22"/>
        </w:rPr>
      </w:pPr>
      <w:r>
        <w:rPr>
          <w:szCs w:val="22"/>
        </w:rPr>
        <w:t xml:space="preserve">Výše uvedená množství nejsou jednoznačně stanovena a jsou uvedena výhradně za účelem orientace. Injekčnímu podání do kloubního prostoru nebo bursy musí předcházet natažení stejného množství synoviální tekutiny. U koní určených k lidské spotřebě by neměla být překročena celková dávka 0,06 mg </w:t>
      </w:r>
      <w:proofErr w:type="spellStart"/>
      <w:r>
        <w:rPr>
          <w:szCs w:val="22"/>
        </w:rPr>
        <w:t>dexamethasonu</w:t>
      </w:r>
      <w:proofErr w:type="spellEnd"/>
      <w:r>
        <w:rPr>
          <w:szCs w:val="22"/>
        </w:rPr>
        <w:t>/kg živé hmotnosti Je nutné přísné dodržení aseptických podmínek.</w:t>
      </w:r>
    </w:p>
    <w:p w14:paraId="7B65BD91" w14:textId="77777777" w:rsidR="00E57ED3" w:rsidRDefault="00E57ED3">
      <w:pPr>
        <w:rPr>
          <w:rFonts w:eastAsia="Cambria"/>
          <w:szCs w:val="22"/>
        </w:rPr>
      </w:pPr>
    </w:p>
    <w:p w14:paraId="09265A24" w14:textId="77777777" w:rsidR="00E57ED3" w:rsidRDefault="00227172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  <w:lang w:bidi="cs-CZ"/>
        </w:rPr>
        <w:t>9.</w:t>
      </w:r>
      <w:r>
        <w:rPr>
          <w:b/>
          <w:szCs w:val="22"/>
          <w:lang w:bidi="cs-CZ"/>
        </w:rPr>
        <w:tab/>
      </w:r>
      <w:r>
        <w:rPr>
          <w:b/>
          <w:caps/>
          <w:szCs w:val="22"/>
        </w:rPr>
        <w:t>Informace o správném podávání</w:t>
      </w:r>
      <w:r>
        <w:rPr>
          <w:b/>
          <w:caps/>
          <w:szCs w:val="22"/>
          <w:lang w:bidi="cs-CZ"/>
        </w:rPr>
        <w:t xml:space="preserve"> </w:t>
      </w:r>
    </w:p>
    <w:p w14:paraId="1F5CD14D" w14:textId="77777777" w:rsidR="00E57ED3" w:rsidRDefault="00E57ED3">
      <w:pPr>
        <w:spacing w:line="240" w:lineRule="auto"/>
        <w:jc w:val="both"/>
        <w:rPr>
          <w:rFonts w:eastAsia="Cambria"/>
          <w:szCs w:val="22"/>
          <w:lang w:val="gsw-FR" w:eastAsia="ja-JP"/>
        </w:rPr>
      </w:pPr>
    </w:p>
    <w:p w14:paraId="46D62F9E" w14:textId="77777777" w:rsidR="00E57ED3" w:rsidRDefault="00227172">
      <w:pPr>
        <w:tabs>
          <w:tab w:val="clear" w:pos="567"/>
        </w:tabs>
        <w:spacing w:line="240" w:lineRule="auto"/>
        <w:rPr>
          <w:szCs w:val="22"/>
        </w:rPr>
      </w:pPr>
      <w:r w:rsidRPr="001778E0">
        <w:rPr>
          <w:szCs w:val="22"/>
        </w:rPr>
        <w:t>Neuplatňuje se.</w:t>
      </w:r>
    </w:p>
    <w:p w14:paraId="21EDA687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351A52A0" w14:textId="77777777" w:rsidR="00E57ED3" w:rsidRDefault="00227172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  <w:highlight w:val="lightGray"/>
          <w:lang w:bidi="cs-CZ"/>
        </w:rPr>
        <w:t>10.</w:t>
      </w:r>
      <w:r>
        <w:rPr>
          <w:b/>
          <w:szCs w:val="22"/>
          <w:lang w:bidi="cs-CZ"/>
        </w:rPr>
        <w:tab/>
        <w:t>OCHRANNÉ LHŮTY</w:t>
      </w:r>
    </w:p>
    <w:p w14:paraId="4DE085D6" w14:textId="77777777" w:rsidR="00E57ED3" w:rsidRDefault="00E57ED3">
      <w:pPr>
        <w:spacing w:line="260" w:lineRule="atLeast"/>
        <w:rPr>
          <w:rFonts w:ascii="Calibri" w:eastAsia="Calibri" w:hAnsi="Calibri" w:cs="Calibri"/>
          <w:color w:val="000000" w:themeColor="text1"/>
          <w:szCs w:val="22"/>
        </w:rPr>
      </w:pPr>
    </w:p>
    <w:p w14:paraId="397B480C" w14:textId="77777777" w:rsidR="00E57ED3" w:rsidRDefault="0022717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Skot a kozy: </w:t>
      </w:r>
    </w:p>
    <w:p w14:paraId="4987BE03" w14:textId="77777777" w:rsidR="00E57ED3" w:rsidRDefault="0022717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Maso: 8 dnů </w:t>
      </w:r>
    </w:p>
    <w:p w14:paraId="77916821" w14:textId="77777777" w:rsidR="00E57ED3" w:rsidRDefault="0022717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Mléko: 72 hodin </w:t>
      </w:r>
    </w:p>
    <w:p w14:paraId="2054C189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6E916EDF" w14:textId="77777777" w:rsidR="00E57ED3" w:rsidRDefault="0022717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Prasata: </w:t>
      </w:r>
    </w:p>
    <w:p w14:paraId="5C575380" w14:textId="77777777" w:rsidR="00E57ED3" w:rsidRDefault="0022717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Maso: 2 dny po intramuskulárním podání</w:t>
      </w:r>
    </w:p>
    <w:p w14:paraId="1D2B4452" w14:textId="77777777" w:rsidR="00E57ED3" w:rsidRDefault="0022717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Maso: 6 dnů po intravenózním podání</w:t>
      </w:r>
    </w:p>
    <w:p w14:paraId="1FE8CA11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409CC492" w14:textId="77777777" w:rsidR="00E57ED3" w:rsidRDefault="00227172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Koně: </w:t>
      </w:r>
    </w:p>
    <w:p w14:paraId="592DD913" w14:textId="77777777" w:rsidR="00E57ED3" w:rsidRDefault="0022717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Maso: 8 dnů </w:t>
      </w:r>
    </w:p>
    <w:p w14:paraId="4EED850B" w14:textId="77777777" w:rsidR="00E57ED3" w:rsidRDefault="0022717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 u koní, jejichž mléko je určeno pro lidskou spotřebu.</w:t>
      </w:r>
    </w:p>
    <w:p w14:paraId="0915DA5B" w14:textId="77777777" w:rsidR="00E57ED3" w:rsidRDefault="00E57ED3">
      <w:pPr>
        <w:rPr>
          <w:iCs/>
          <w:szCs w:val="22"/>
        </w:rPr>
      </w:pPr>
    </w:p>
    <w:p w14:paraId="266682FE" w14:textId="77777777" w:rsidR="00E57ED3" w:rsidRDefault="00227172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  <w:highlight w:val="lightGray"/>
          <w:lang w:bidi="cs-CZ"/>
        </w:rPr>
        <w:t>11.</w:t>
      </w:r>
      <w:r>
        <w:rPr>
          <w:b/>
          <w:szCs w:val="22"/>
          <w:lang w:bidi="cs-CZ"/>
        </w:rPr>
        <w:tab/>
        <w:t>ZVLÁŠTNÍ OPATŘENÍ PRO UCHOVÁVÁNÍ</w:t>
      </w:r>
    </w:p>
    <w:p w14:paraId="45BC0B03" w14:textId="77777777" w:rsidR="00E57ED3" w:rsidRDefault="00E57ED3">
      <w:pPr>
        <w:rPr>
          <w:szCs w:val="22"/>
        </w:rPr>
      </w:pPr>
    </w:p>
    <w:p w14:paraId="59FF4988" w14:textId="5D7D0533" w:rsidR="00E57ED3" w:rsidRDefault="00227172">
      <w:pPr>
        <w:autoSpaceDE w:val="0"/>
        <w:autoSpaceDN w:val="0"/>
        <w:adjustRightInd w:val="0"/>
        <w:spacing w:line="240" w:lineRule="auto"/>
        <w:ind w:left="3686" w:hanging="3686"/>
        <w:jc w:val="both"/>
        <w:rPr>
          <w:color w:val="000000"/>
          <w:szCs w:val="22"/>
        </w:rPr>
      </w:pPr>
      <w:r>
        <w:rPr>
          <w:szCs w:val="22"/>
          <w:lang w:bidi="cs-CZ"/>
        </w:rPr>
        <w:t>Uchovávejte mimo dohled a dosah dětí.</w:t>
      </w:r>
    </w:p>
    <w:p w14:paraId="5120BDB3" w14:textId="77777777" w:rsidR="00242983" w:rsidRDefault="00242983">
      <w:pPr>
        <w:autoSpaceDE w:val="0"/>
        <w:autoSpaceDN w:val="0"/>
        <w:adjustRightInd w:val="0"/>
        <w:spacing w:line="240" w:lineRule="auto"/>
        <w:ind w:left="3686" w:hanging="3686"/>
        <w:jc w:val="both"/>
        <w:rPr>
          <w:color w:val="000000"/>
          <w:szCs w:val="22"/>
        </w:rPr>
      </w:pPr>
    </w:p>
    <w:p w14:paraId="31B4BF46" w14:textId="77777777" w:rsidR="00E57ED3" w:rsidRDefault="00227172">
      <w:pPr>
        <w:autoSpaceDE w:val="0"/>
        <w:autoSpaceDN w:val="0"/>
        <w:adjustRightInd w:val="0"/>
        <w:spacing w:line="240" w:lineRule="auto"/>
        <w:ind w:left="3686" w:hanging="3686"/>
        <w:jc w:val="both"/>
        <w:rPr>
          <w:color w:val="000000"/>
          <w:szCs w:val="22"/>
        </w:rPr>
      </w:pPr>
      <w:r>
        <w:rPr>
          <w:color w:val="000000"/>
          <w:szCs w:val="22"/>
        </w:rPr>
        <w:t>Uchovávejte injekční lahvičku v krabičce, aby byla chráněna před světlem.</w:t>
      </w:r>
    </w:p>
    <w:p w14:paraId="7E1AA43D" w14:textId="77777777" w:rsidR="00E57ED3" w:rsidRDefault="00227172">
      <w:pPr>
        <w:rPr>
          <w:szCs w:val="22"/>
        </w:rPr>
      </w:pPr>
      <w:r>
        <w:rPr>
          <w:szCs w:val="22"/>
          <w:lang w:bidi="cs-CZ"/>
        </w:rPr>
        <w:t>Doba použitelnosti po prvním otevření vnitřního obalu: 28 dní.</w:t>
      </w:r>
    </w:p>
    <w:p w14:paraId="5F1BA0C2" w14:textId="77777777" w:rsidR="00E57ED3" w:rsidRDefault="00227172">
      <w:pPr>
        <w:rPr>
          <w:szCs w:val="22"/>
        </w:rPr>
      </w:pPr>
      <w:r>
        <w:rPr>
          <w:szCs w:val="22"/>
          <w:lang w:bidi="cs-CZ"/>
        </w:rPr>
        <w:t>Nepoužívejte tento veterinární léčivý přípravek po uplynutí doby použitelnosti uvedené na etiketě po Exp. Doba použitelnosti končí posledním dnem v uvedeném měsíci.</w:t>
      </w:r>
    </w:p>
    <w:p w14:paraId="1B80CD8C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375A3C64" w14:textId="77777777" w:rsidR="00E57ED3" w:rsidRDefault="00227172" w:rsidP="009E6421">
      <w:pPr>
        <w:keepNext/>
        <w:tabs>
          <w:tab w:val="clear" w:pos="567"/>
        </w:tabs>
        <w:spacing w:line="240" w:lineRule="auto"/>
        <w:ind w:left="567" w:hanging="567"/>
        <w:jc w:val="both"/>
        <w:rPr>
          <w:b/>
          <w:szCs w:val="22"/>
        </w:rPr>
      </w:pPr>
      <w:r>
        <w:rPr>
          <w:b/>
          <w:szCs w:val="22"/>
          <w:highlight w:val="lightGray"/>
          <w:lang w:bidi="cs-CZ"/>
        </w:rPr>
        <w:t>12.</w:t>
      </w:r>
      <w:r>
        <w:rPr>
          <w:b/>
          <w:szCs w:val="22"/>
          <w:lang w:bidi="cs-CZ"/>
        </w:rPr>
        <w:tab/>
        <w:t xml:space="preserve">ZVLÁŠTNÍ OPATŘENÍ PRO </w:t>
      </w:r>
      <w:r>
        <w:rPr>
          <w:b/>
          <w:caps/>
          <w:szCs w:val="22"/>
          <w:lang w:bidi="cs-CZ"/>
        </w:rPr>
        <w:t>likvidaci</w:t>
      </w:r>
    </w:p>
    <w:p w14:paraId="1BCB9B93" w14:textId="77777777" w:rsidR="00E57ED3" w:rsidRDefault="00E57ED3" w:rsidP="009E642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D1C28AC" w14:textId="77777777" w:rsidR="00E57ED3" w:rsidRDefault="00227172" w:rsidP="009E6421">
      <w:pPr>
        <w:tabs>
          <w:tab w:val="clear" w:pos="567"/>
        </w:tabs>
        <w:spacing w:line="240" w:lineRule="auto"/>
        <w:jc w:val="both"/>
        <w:rPr>
          <w:szCs w:val="22"/>
          <w:lang w:bidi="cs-CZ"/>
        </w:rPr>
      </w:pPr>
      <w:r>
        <w:rPr>
          <w:szCs w:val="22"/>
          <w:lang w:bidi="cs-CZ"/>
        </w:rPr>
        <w:t xml:space="preserve">Léčivé přípravky se nesmí likvidovat prostřednictvím odpadní vody či domovního odpadu. </w:t>
      </w:r>
    </w:p>
    <w:p w14:paraId="6C513941" w14:textId="09D6496E" w:rsidR="00E57ED3" w:rsidRDefault="00227172" w:rsidP="009E6421">
      <w:pPr>
        <w:tabs>
          <w:tab w:val="clear" w:pos="567"/>
        </w:tabs>
        <w:spacing w:line="240" w:lineRule="auto"/>
        <w:jc w:val="both"/>
        <w:rPr>
          <w:szCs w:val="22"/>
          <w:lang w:val="gsw-FR"/>
        </w:rPr>
      </w:pPr>
      <w:r>
        <w:rPr>
          <w:szCs w:val="22"/>
          <w:lang w:val="gsw-FR"/>
        </w:rPr>
        <w:t xml:space="preserve">Všechen nepoužitý veterinární léčivý přípravek nebo odpad, který pochází z tohoto přípravku, likvidujte odevzdáním v souladu s místními požadavky a platnými národními systémy sběru. </w:t>
      </w:r>
      <w:r>
        <w:rPr>
          <w:szCs w:val="22"/>
          <w:lang w:bidi="cs-CZ"/>
        </w:rPr>
        <w:t>Tato opatření napomáhají chránit životní prostředí.</w:t>
      </w:r>
      <w:r>
        <w:rPr>
          <w:szCs w:val="22"/>
          <w:lang w:val="gsw-FR"/>
        </w:rPr>
        <w:t xml:space="preserve"> </w:t>
      </w:r>
    </w:p>
    <w:p w14:paraId="5B6BD847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7D4091F2" w14:textId="77777777" w:rsidR="00E57ED3" w:rsidRDefault="00227172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gsw-FR"/>
        </w:rPr>
      </w:pPr>
      <w:r w:rsidRPr="001778E0">
        <w:rPr>
          <w:b/>
          <w:szCs w:val="22"/>
          <w:highlight w:val="lightGray"/>
          <w:lang w:val="gsw-FR"/>
        </w:rPr>
        <w:t>13.</w:t>
      </w:r>
      <w:r>
        <w:rPr>
          <w:b/>
          <w:szCs w:val="22"/>
          <w:lang w:val="gsw-FR"/>
        </w:rPr>
        <w:tab/>
      </w:r>
      <w:r>
        <w:rPr>
          <w:b/>
          <w:caps/>
          <w:szCs w:val="22"/>
          <w:lang w:val="gsw-FR"/>
        </w:rPr>
        <w:t>Klasifikace veterinárních léčivých přípravků</w:t>
      </w:r>
    </w:p>
    <w:p w14:paraId="312BEE92" w14:textId="77777777" w:rsidR="00E57ED3" w:rsidRDefault="00E57ED3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3862D304" w14:textId="77777777" w:rsidR="00E57ED3" w:rsidRDefault="00227172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lang w:val="gsw-FR"/>
        </w:rPr>
        <w:t>Veterinární léčivý přípravek je vydáván pouze na předpis.</w:t>
      </w:r>
    </w:p>
    <w:p w14:paraId="4246242F" w14:textId="77777777" w:rsidR="00E57ED3" w:rsidRDefault="00E57ED3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118C2A55" w14:textId="77777777" w:rsidR="00E57ED3" w:rsidRDefault="00227172">
      <w:pPr>
        <w:keepNext/>
        <w:tabs>
          <w:tab w:val="clear" w:pos="567"/>
        </w:tabs>
        <w:spacing w:line="240" w:lineRule="auto"/>
        <w:rPr>
          <w:caps/>
          <w:szCs w:val="22"/>
        </w:rPr>
      </w:pPr>
      <w:r>
        <w:rPr>
          <w:b/>
          <w:szCs w:val="22"/>
          <w:highlight w:val="lightGray"/>
          <w:lang w:bidi="cs-CZ"/>
        </w:rPr>
        <w:t>14.</w:t>
      </w:r>
      <w:r>
        <w:rPr>
          <w:b/>
          <w:szCs w:val="22"/>
          <w:lang w:bidi="cs-CZ"/>
        </w:rPr>
        <w:tab/>
      </w:r>
      <w:r>
        <w:rPr>
          <w:szCs w:val="22"/>
        </w:rPr>
        <w:t xml:space="preserve"> </w:t>
      </w:r>
      <w:r>
        <w:rPr>
          <w:b/>
          <w:caps/>
          <w:szCs w:val="22"/>
          <w:lang w:bidi="cs-CZ"/>
        </w:rPr>
        <w:t>Registrační čísla a velikosti balení</w:t>
      </w:r>
    </w:p>
    <w:p w14:paraId="4940B1D4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2E0F6BAF" w14:textId="1052DCCD" w:rsidR="001778E0" w:rsidRDefault="001778E0">
      <w:pPr>
        <w:tabs>
          <w:tab w:val="clear" w:pos="567"/>
        </w:tabs>
        <w:spacing w:line="240" w:lineRule="auto"/>
        <w:rPr>
          <w:szCs w:val="22"/>
        </w:rPr>
      </w:pPr>
      <w:r w:rsidRPr="001778E0">
        <w:rPr>
          <w:szCs w:val="22"/>
        </w:rPr>
        <w:t>96/043/</w:t>
      </w:r>
      <w:proofErr w:type="gramStart"/>
      <w:r w:rsidRPr="001778E0">
        <w:rPr>
          <w:szCs w:val="22"/>
        </w:rPr>
        <w:t>21-C</w:t>
      </w:r>
      <w:proofErr w:type="gramEnd"/>
    </w:p>
    <w:p w14:paraId="26969A0B" w14:textId="77777777" w:rsidR="001778E0" w:rsidRDefault="001778E0">
      <w:pPr>
        <w:tabs>
          <w:tab w:val="clear" w:pos="567"/>
        </w:tabs>
        <w:spacing w:line="240" w:lineRule="auto"/>
        <w:rPr>
          <w:szCs w:val="22"/>
        </w:rPr>
      </w:pPr>
    </w:p>
    <w:p w14:paraId="51F2FFA3" w14:textId="20A2F4D0" w:rsidR="00E57ED3" w:rsidRPr="001778E0" w:rsidRDefault="00227172">
      <w:pPr>
        <w:tabs>
          <w:tab w:val="clear" w:pos="567"/>
        </w:tabs>
        <w:spacing w:line="240" w:lineRule="auto"/>
        <w:rPr>
          <w:szCs w:val="22"/>
        </w:rPr>
      </w:pPr>
      <w:r w:rsidRPr="001778E0">
        <w:rPr>
          <w:szCs w:val="22"/>
        </w:rPr>
        <w:t xml:space="preserve">50ml a 100ml čiré skleněné injekční lahvičky typu I uzavřené potahovanou zátkou z brombutylové pryže a hliníkovou pertlí v lepenkové krabičce. </w:t>
      </w:r>
    </w:p>
    <w:p w14:paraId="7245E016" w14:textId="77777777" w:rsidR="00E57ED3" w:rsidRPr="001778E0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7DB29DF4" w14:textId="77777777" w:rsidR="00E57ED3" w:rsidRPr="001778E0" w:rsidRDefault="0022717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778E0">
        <w:rPr>
          <w:szCs w:val="22"/>
        </w:rPr>
        <w:t>Velikosti balení:</w:t>
      </w:r>
    </w:p>
    <w:p w14:paraId="4862A47C" w14:textId="77777777" w:rsidR="00E57ED3" w:rsidRPr="001778E0" w:rsidRDefault="0022717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778E0">
        <w:rPr>
          <w:szCs w:val="22"/>
        </w:rPr>
        <w:t>Lepenková krabička s 1 injekční lahvičkou o obsahu 50 ml</w:t>
      </w:r>
    </w:p>
    <w:p w14:paraId="0B4CF2DB" w14:textId="77777777" w:rsidR="00E57ED3" w:rsidRDefault="0022717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778E0">
        <w:rPr>
          <w:szCs w:val="22"/>
        </w:rPr>
        <w:t>Lepenková krabička s 1 injekční lahvičkou o obsahu 100 ml</w:t>
      </w:r>
    </w:p>
    <w:p w14:paraId="220D6BD1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61C8F635" w14:textId="77777777" w:rsidR="00E57ED3" w:rsidRDefault="0022717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>Na trhu nemusí být všechny velikosti balení.</w:t>
      </w:r>
    </w:p>
    <w:p w14:paraId="3394C15A" w14:textId="77777777" w:rsidR="00CB66EB" w:rsidRDefault="00CB66EB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highlight w:val="lightGray"/>
          <w:lang w:val="gsw-FR"/>
        </w:rPr>
      </w:pPr>
    </w:p>
    <w:p w14:paraId="35D6D303" w14:textId="037ED3EC" w:rsidR="00E57ED3" w:rsidRDefault="00227172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gsw-FR"/>
        </w:rPr>
      </w:pPr>
      <w:r w:rsidRPr="001778E0">
        <w:rPr>
          <w:b/>
          <w:szCs w:val="22"/>
          <w:highlight w:val="lightGray"/>
          <w:lang w:val="gsw-FR"/>
        </w:rPr>
        <w:t>15.</w:t>
      </w:r>
      <w:r>
        <w:rPr>
          <w:b/>
          <w:szCs w:val="22"/>
          <w:lang w:val="gsw-FR"/>
        </w:rPr>
        <w:tab/>
      </w:r>
      <w:r>
        <w:rPr>
          <w:b/>
          <w:szCs w:val="22"/>
          <w:lang w:bidi="cs-CZ"/>
        </w:rPr>
        <w:t>DATUM POSLEDNÍ REVIZE PŘÍBALOVÉ INFORMACE</w:t>
      </w:r>
      <w:r>
        <w:rPr>
          <w:b/>
          <w:szCs w:val="22"/>
          <w:lang w:val="gsw-FR"/>
        </w:rPr>
        <w:t xml:space="preserve"> </w:t>
      </w:r>
    </w:p>
    <w:p w14:paraId="0D69F3EF" w14:textId="77777777" w:rsidR="00E57ED3" w:rsidRDefault="00E57ED3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34BFC322" w14:textId="53F87935" w:rsidR="00E57ED3" w:rsidRDefault="00645FD6">
      <w:pPr>
        <w:rPr>
          <w:szCs w:val="22"/>
          <w:lang w:val="gsw-FR"/>
        </w:rPr>
      </w:pPr>
      <w:r>
        <w:rPr>
          <w:szCs w:val="22"/>
          <w:lang w:val="gsw-FR"/>
        </w:rPr>
        <w:t>0</w:t>
      </w:r>
      <w:r w:rsidR="001778E0">
        <w:rPr>
          <w:szCs w:val="22"/>
          <w:lang w:val="gsw-FR"/>
        </w:rPr>
        <w:t>3</w:t>
      </w:r>
      <w:r>
        <w:rPr>
          <w:szCs w:val="22"/>
          <w:lang w:val="gsw-FR"/>
        </w:rPr>
        <w:t>/2025</w:t>
      </w:r>
    </w:p>
    <w:p w14:paraId="3BADC8BE" w14:textId="77777777" w:rsidR="00E57ED3" w:rsidRDefault="00E57ED3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14FAEF40" w14:textId="2BF385C6" w:rsidR="00E57ED3" w:rsidRDefault="00227172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lang w:val="gsw-FR"/>
        </w:rPr>
        <w:t>Podrobné informace o tomto veterinárním léčivém přípravku jsou k dispozici v </w:t>
      </w:r>
      <w:r>
        <w:rPr>
          <w:rStyle w:val="Hypertextovodkaz"/>
          <w:szCs w:val="22"/>
          <w:lang w:val="gsw-FR"/>
        </w:rPr>
        <w:t>databázi veterinárních léčivých přípravků Unie</w:t>
      </w:r>
      <w:r>
        <w:rPr>
          <w:szCs w:val="22"/>
          <w:lang w:val="gsw-FR"/>
        </w:rPr>
        <w:t xml:space="preserve"> (</w:t>
      </w:r>
      <w:hyperlink r:id="rId19" w:history="1">
        <w:r>
          <w:rPr>
            <w:rStyle w:val="Hypertextovodkaz"/>
            <w:szCs w:val="22"/>
            <w:lang w:val="gsw-FR"/>
          </w:rPr>
          <w:t>https://medicines.health.europa.eu/veterinary</w:t>
        </w:r>
      </w:hyperlink>
      <w:r>
        <w:rPr>
          <w:szCs w:val="22"/>
          <w:lang w:val="gsw-FR"/>
        </w:rPr>
        <w:t>).</w:t>
      </w:r>
    </w:p>
    <w:p w14:paraId="385FBA12" w14:textId="4B7226C5" w:rsidR="00645FD6" w:rsidRDefault="00645FD6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4C6BEDB2" w14:textId="0DD153F2" w:rsidR="00FE6548" w:rsidRDefault="00645FD6">
      <w:pPr>
        <w:spacing w:line="240" w:lineRule="auto"/>
        <w:jc w:val="both"/>
        <w:rPr>
          <w:szCs w:val="22"/>
          <w:lang w:val="gsw-FR"/>
        </w:rPr>
      </w:pPr>
      <w:bookmarkStart w:id="5" w:name="_Hlk148432335"/>
      <w:r w:rsidRPr="00FA70C2">
        <w:t>Podrobné informace o tomto veterinárním léčivém přípravku naleznete také v národní databázi (</w:t>
      </w:r>
      <w:hyperlink r:id="rId20" w:history="1">
        <w:r w:rsidRPr="00FA70C2">
          <w:rPr>
            <w:rStyle w:val="Hypertextovodkaz"/>
          </w:rPr>
          <w:t>https://www.uskvbl.cz</w:t>
        </w:r>
      </w:hyperlink>
      <w:r w:rsidRPr="00FA70C2">
        <w:t>).</w:t>
      </w:r>
      <w:bookmarkEnd w:id="5"/>
    </w:p>
    <w:p w14:paraId="51599057" w14:textId="77777777" w:rsidR="00E57ED3" w:rsidRDefault="00E57ED3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74033AA2" w14:textId="77777777" w:rsidR="00E57ED3" w:rsidRDefault="00227172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gsw-FR"/>
        </w:rPr>
      </w:pPr>
      <w:r w:rsidRPr="001778E0">
        <w:rPr>
          <w:b/>
          <w:szCs w:val="22"/>
          <w:highlight w:val="lightGray"/>
          <w:lang w:val="gsw-FR"/>
        </w:rPr>
        <w:t>16.</w:t>
      </w:r>
      <w:r>
        <w:rPr>
          <w:b/>
          <w:szCs w:val="22"/>
          <w:lang w:val="gsw-FR"/>
        </w:rPr>
        <w:tab/>
      </w:r>
      <w:r>
        <w:rPr>
          <w:b/>
          <w:caps/>
          <w:szCs w:val="22"/>
          <w:lang w:val="gsw-FR"/>
        </w:rPr>
        <w:t>Kontaktní údaje</w:t>
      </w:r>
    </w:p>
    <w:p w14:paraId="3AED61AC" w14:textId="77777777" w:rsidR="00E57ED3" w:rsidRDefault="00E57ED3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3FC8D109" w14:textId="2596409B" w:rsidR="00E57ED3" w:rsidRDefault="00227172">
      <w:pPr>
        <w:rPr>
          <w:iCs/>
          <w:szCs w:val="22"/>
          <w:lang w:val="gsw-FR"/>
        </w:rPr>
      </w:pPr>
      <w:bookmarkStart w:id="6" w:name="_Hlk73552578"/>
      <w:r>
        <w:rPr>
          <w:iCs/>
          <w:szCs w:val="22"/>
          <w:u w:val="single"/>
          <w:lang w:val="gsw-FR"/>
        </w:rPr>
        <w:t>Držitel rozhodnutí o registraci a výrobce odpovědný za uvolnění šarže</w:t>
      </w:r>
      <w:bookmarkStart w:id="7" w:name="_GoBack"/>
      <w:bookmarkEnd w:id="7"/>
      <w:r>
        <w:rPr>
          <w:iCs/>
          <w:szCs w:val="22"/>
          <w:lang w:val="gsw-FR"/>
        </w:rPr>
        <w:t>:</w:t>
      </w:r>
    </w:p>
    <w:bookmarkEnd w:id="6"/>
    <w:p w14:paraId="16082009" w14:textId="77777777" w:rsidR="00E57ED3" w:rsidRDefault="00227172">
      <w:pPr>
        <w:tabs>
          <w:tab w:val="clear" w:pos="567"/>
        </w:tabs>
        <w:spacing w:line="240" w:lineRule="auto"/>
        <w:rPr>
          <w:bCs/>
          <w:szCs w:val="22"/>
          <w:lang w:val="gsw-FR"/>
        </w:rPr>
      </w:pPr>
      <w:r>
        <w:rPr>
          <w:bCs/>
          <w:szCs w:val="22"/>
          <w:lang w:val="gsw-FR"/>
        </w:rPr>
        <w:t xml:space="preserve">Alfasan Nederland B.V. </w:t>
      </w:r>
    </w:p>
    <w:p w14:paraId="50C1C3F9" w14:textId="77777777" w:rsidR="00E57ED3" w:rsidRDefault="00227172">
      <w:pPr>
        <w:tabs>
          <w:tab w:val="clear" w:pos="567"/>
        </w:tabs>
        <w:spacing w:line="240" w:lineRule="auto"/>
        <w:rPr>
          <w:bCs/>
          <w:szCs w:val="22"/>
          <w:lang w:val="gsw-FR"/>
        </w:rPr>
      </w:pPr>
      <w:r>
        <w:rPr>
          <w:bCs/>
          <w:szCs w:val="22"/>
          <w:lang w:val="gsw-FR"/>
        </w:rPr>
        <w:t>Kuipersweg 9</w:t>
      </w:r>
    </w:p>
    <w:p w14:paraId="348804F8" w14:textId="77777777" w:rsidR="00E57ED3" w:rsidRDefault="00227172">
      <w:pPr>
        <w:tabs>
          <w:tab w:val="clear" w:pos="567"/>
        </w:tabs>
        <w:spacing w:line="240" w:lineRule="auto"/>
        <w:rPr>
          <w:bCs/>
          <w:szCs w:val="22"/>
          <w:lang w:val="gsw-FR"/>
        </w:rPr>
      </w:pPr>
      <w:r>
        <w:rPr>
          <w:bCs/>
          <w:szCs w:val="22"/>
          <w:lang w:val="gsw-FR"/>
        </w:rPr>
        <w:t>3449 JA Woerden</w:t>
      </w:r>
    </w:p>
    <w:p w14:paraId="61336BF1" w14:textId="77777777" w:rsidR="00E57ED3" w:rsidRDefault="00227172">
      <w:pPr>
        <w:tabs>
          <w:tab w:val="clear" w:pos="567"/>
        </w:tabs>
        <w:spacing w:line="240" w:lineRule="auto"/>
        <w:rPr>
          <w:bCs/>
          <w:szCs w:val="22"/>
          <w:lang w:val="gsw-FR"/>
        </w:rPr>
      </w:pPr>
      <w:r>
        <w:rPr>
          <w:bCs/>
          <w:szCs w:val="22"/>
          <w:lang w:val="gsw-FR"/>
        </w:rPr>
        <w:t xml:space="preserve">Nizozemsko </w:t>
      </w:r>
    </w:p>
    <w:p w14:paraId="0CC0F231" w14:textId="77777777" w:rsidR="00E57ED3" w:rsidRDefault="00227172">
      <w:pPr>
        <w:tabs>
          <w:tab w:val="clear" w:pos="567"/>
        </w:tabs>
        <w:spacing w:line="240" w:lineRule="auto"/>
        <w:rPr>
          <w:szCs w:val="22"/>
          <w:lang w:val="nl-NL"/>
        </w:rPr>
      </w:pPr>
      <w:bookmarkStart w:id="8" w:name="_Hlk112667445"/>
      <w:r>
        <w:rPr>
          <w:szCs w:val="22"/>
          <w:highlight w:val="lightGray"/>
          <w:lang w:val="nl-NL"/>
        </w:rPr>
        <w:t xml:space="preserve">Tel: +31(0)348 </w:t>
      </w:r>
      <w:bookmarkEnd w:id="8"/>
      <w:r>
        <w:rPr>
          <w:highlight w:val="lightGray"/>
          <w:lang w:val="nl-NL"/>
        </w:rPr>
        <w:t>416945</w:t>
      </w:r>
    </w:p>
    <w:p w14:paraId="6117FC05" w14:textId="77777777" w:rsidR="00E57ED3" w:rsidRDefault="00E57ED3">
      <w:pPr>
        <w:tabs>
          <w:tab w:val="clear" w:pos="567"/>
        </w:tabs>
        <w:spacing w:line="240" w:lineRule="auto"/>
        <w:rPr>
          <w:bCs/>
          <w:szCs w:val="22"/>
          <w:lang w:val="gsw-FR"/>
        </w:rPr>
      </w:pPr>
    </w:p>
    <w:p w14:paraId="702C2AD3" w14:textId="77777777" w:rsidR="00E57ED3" w:rsidRDefault="00227172">
      <w:pPr>
        <w:tabs>
          <w:tab w:val="clear" w:pos="567"/>
        </w:tabs>
        <w:spacing w:line="240" w:lineRule="auto"/>
        <w:rPr>
          <w:bCs/>
          <w:szCs w:val="22"/>
        </w:rPr>
      </w:pPr>
      <w:r>
        <w:rPr>
          <w:szCs w:val="22"/>
          <w:u w:val="single"/>
        </w:rPr>
        <w:lastRenderedPageBreak/>
        <w:t>Výrobce odpovědný za uvolnění šarže</w:t>
      </w:r>
      <w:r>
        <w:rPr>
          <w:szCs w:val="22"/>
        </w:rPr>
        <w:t>:</w:t>
      </w:r>
    </w:p>
    <w:p w14:paraId="6973C6C7" w14:textId="77777777" w:rsidR="00E57ED3" w:rsidRDefault="00227172">
      <w:pPr>
        <w:tabs>
          <w:tab w:val="clear" w:pos="567"/>
        </w:tabs>
        <w:spacing w:line="240" w:lineRule="auto"/>
        <w:rPr>
          <w:bCs/>
          <w:szCs w:val="22"/>
        </w:rPr>
      </w:pPr>
      <w:r>
        <w:rPr>
          <w:szCs w:val="22"/>
        </w:rPr>
        <w:t>Produlab Pharma B.V.</w:t>
      </w:r>
    </w:p>
    <w:p w14:paraId="199DB050" w14:textId="77777777" w:rsidR="00E57ED3" w:rsidRDefault="00227172">
      <w:pPr>
        <w:tabs>
          <w:tab w:val="clear" w:pos="567"/>
        </w:tabs>
        <w:spacing w:line="240" w:lineRule="auto"/>
        <w:rPr>
          <w:bCs/>
          <w:szCs w:val="22"/>
        </w:rPr>
      </w:pPr>
      <w:r>
        <w:rPr>
          <w:szCs w:val="22"/>
        </w:rPr>
        <w:t>Forellenweg 16</w:t>
      </w:r>
    </w:p>
    <w:p w14:paraId="5181B5BE" w14:textId="77777777" w:rsidR="00E57ED3" w:rsidRDefault="00227172">
      <w:pPr>
        <w:tabs>
          <w:tab w:val="clear" w:pos="567"/>
        </w:tabs>
        <w:spacing w:line="240" w:lineRule="auto"/>
        <w:rPr>
          <w:bCs/>
          <w:szCs w:val="22"/>
        </w:rPr>
      </w:pPr>
      <w:r>
        <w:rPr>
          <w:szCs w:val="22"/>
        </w:rPr>
        <w:t>4941 SJ Raamsdonksveer</w:t>
      </w:r>
    </w:p>
    <w:p w14:paraId="78261B34" w14:textId="77777777" w:rsidR="00E57ED3" w:rsidRDefault="00227172">
      <w:pPr>
        <w:tabs>
          <w:tab w:val="clear" w:pos="567"/>
        </w:tabs>
        <w:spacing w:line="240" w:lineRule="auto"/>
        <w:rPr>
          <w:bCs/>
          <w:szCs w:val="22"/>
        </w:rPr>
      </w:pPr>
      <w:r>
        <w:rPr>
          <w:szCs w:val="22"/>
        </w:rPr>
        <w:t>Nizozemsko</w:t>
      </w:r>
    </w:p>
    <w:p w14:paraId="68EE8A48" w14:textId="77777777" w:rsidR="00E57ED3" w:rsidRDefault="00E57ED3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223BD7AE" w14:textId="77777777" w:rsidR="00E57ED3" w:rsidRDefault="00227172">
      <w:pPr>
        <w:tabs>
          <w:tab w:val="clear" w:pos="567"/>
        </w:tabs>
        <w:spacing w:line="240" w:lineRule="auto"/>
        <w:jc w:val="both"/>
        <w:rPr>
          <w:bCs/>
          <w:szCs w:val="22"/>
          <w:lang w:val="gsw-FR"/>
        </w:rPr>
      </w:pPr>
      <w:r>
        <w:rPr>
          <w:bCs/>
          <w:szCs w:val="22"/>
          <w:u w:val="single"/>
          <w:lang w:val="gsw-FR"/>
        </w:rPr>
        <w:t>Místní zástupci a kontaktní údaje pro hlášení podezření na nežádoucí účinky:</w:t>
      </w:r>
    </w:p>
    <w:p w14:paraId="6CCDFAC9" w14:textId="77777777" w:rsidR="00E57ED3" w:rsidRPr="001778E0" w:rsidRDefault="00227172">
      <w:pPr>
        <w:pStyle w:val="BODY"/>
        <w:rPr>
          <w:szCs w:val="22"/>
        </w:rPr>
      </w:pPr>
      <w:r w:rsidRPr="001778E0">
        <w:rPr>
          <w:szCs w:val="22"/>
        </w:rPr>
        <w:t>SEVARON s.r.o.</w:t>
      </w:r>
    </w:p>
    <w:p w14:paraId="351AE349" w14:textId="77777777" w:rsidR="00E57ED3" w:rsidRPr="001778E0" w:rsidRDefault="00227172">
      <w:pPr>
        <w:pStyle w:val="BODY"/>
        <w:rPr>
          <w:szCs w:val="22"/>
        </w:rPr>
      </w:pPr>
      <w:r w:rsidRPr="001778E0">
        <w:rPr>
          <w:szCs w:val="22"/>
        </w:rPr>
        <w:t xml:space="preserve">Palackého třída </w:t>
      </w:r>
      <w:proofErr w:type="gramStart"/>
      <w:r w:rsidRPr="001778E0">
        <w:rPr>
          <w:szCs w:val="22"/>
        </w:rPr>
        <w:t>163a</w:t>
      </w:r>
      <w:proofErr w:type="gramEnd"/>
    </w:p>
    <w:p w14:paraId="638E4182" w14:textId="77777777" w:rsidR="00E57ED3" w:rsidRPr="001778E0" w:rsidRDefault="00227172">
      <w:pPr>
        <w:pStyle w:val="BODY"/>
        <w:rPr>
          <w:szCs w:val="22"/>
        </w:rPr>
      </w:pPr>
      <w:r w:rsidRPr="001778E0">
        <w:rPr>
          <w:szCs w:val="22"/>
        </w:rPr>
        <w:t>612 00 Brno</w:t>
      </w:r>
    </w:p>
    <w:p w14:paraId="207102CE" w14:textId="4DAE9E42" w:rsidR="00E57ED3" w:rsidRDefault="00227172" w:rsidP="001778E0">
      <w:pPr>
        <w:pStyle w:val="BODY"/>
        <w:rPr>
          <w:bCs/>
          <w:szCs w:val="22"/>
          <w:lang w:val="gsw-FR"/>
        </w:rPr>
      </w:pPr>
      <w:r w:rsidRPr="001778E0">
        <w:rPr>
          <w:szCs w:val="22"/>
        </w:rPr>
        <w:t>Česká republika</w:t>
      </w:r>
    </w:p>
    <w:p w14:paraId="2A855DB2" w14:textId="77777777" w:rsidR="00E57ED3" w:rsidRDefault="00227172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gsw-FR"/>
        </w:rPr>
      </w:pPr>
      <w:r>
        <w:rPr>
          <w:szCs w:val="22"/>
          <w:lang w:val="gsw-FR"/>
        </w:rPr>
        <w:t>Pokud chcete získat informace o tomto veterinárním léčivém přípravku, kontaktujte prosím</w:t>
      </w:r>
    </w:p>
    <w:p w14:paraId="59684CBB" w14:textId="77777777" w:rsidR="00E57ED3" w:rsidRDefault="00227172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gsw-FR"/>
        </w:rPr>
      </w:pPr>
      <w:r>
        <w:rPr>
          <w:szCs w:val="22"/>
          <w:lang w:val="gsw-FR"/>
        </w:rPr>
        <w:t>příslušného místního zástupce držitele rozhodnutí o registraci.</w:t>
      </w:r>
    </w:p>
    <w:p w14:paraId="11547E53" w14:textId="09E1CF06" w:rsidR="00E57ED3" w:rsidRDefault="00E57ED3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gsw-FR"/>
        </w:rPr>
      </w:pPr>
    </w:p>
    <w:p w14:paraId="717EE834" w14:textId="77777777" w:rsidR="00E57ED3" w:rsidRDefault="00227172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highlight w:val="lightGray"/>
        </w:rPr>
        <w:t>17.</w:t>
      </w:r>
      <w:r>
        <w:rPr>
          <w:b/>
          <w:szCs w:val="22"/>
        </w:rPr>
        <w:tab/>
        <w:t>DALŠÍ INFORMACE</w:t>
      </w:r>
    </w:p>
    <w:p w14:paraId="2C9EF99E" w14:textId="77777777" w:rsidR="00E57ED3" w:rsidRDefault="00E57ED3">
      <w:pPr>
        <w:pStyle w:val="BODY"/>
        <w:rPr>
          <w:szCs w:val="22"/>
        </w:rPr>
      </w:pPr>
    </w:p>
    <w:sectPr w:rsidR="00E57ED3">
      <w:footerReference w:type="default" r:id="rId21"/>
      <w:headerReference w:type="first" r:id="rId22"/>
      <w:footerReference w:type="first" r:id="rId23"/>
      <w:endnotePr>
        <w:numFmt w:val="decimal"/>
      </w:endnotePr>
      <w:pgSz w:w="11918" w:h="16840" w:code="9"/>
      <w:pgMar w:top="1134" w:right="1418" w:bottom="1134" w:left="1418" w:header="737" w:footer="5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20EC5" w14:textId="77777777" w:rsidR="004574C1" w:rsidRDefault="004574C1">
      <w:r>
        <w:separator/>
      </w:r>
    </w:p>
  </w:endnote>
  <w:endnote w:type="continuationSeparator" w:id="0">
    <w:p w14:paraId="435C312D" w14:textId="77777777" w:rsidR="004574C1" w:rsidRDefault="0045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0891097"/>
      <w:docPartObj>
        <w:docPartGallery w:val="Page Numbers (Bottom of Page)"/>
        <w:docPartUnique/>
      </w:docPartObj>
    </w:sdtPr>
    <w:sdtEndPr/>
    <w:sdtContent>
      <w:p w14:paraId="4BACFFBE" w14:textId="77777777" w:rsidR="00E57ED3" w:rsidRDefault="00227172">
        <w:pPr>
          <w:pStyle w:val="Zpat"/>
          <w:jc w:val="center"/>
        </w:pPr>
        <w:r>
          <w:rPr>
            <w:lang w:bidi="cs-CZ"/>
          </w:rPr>
          <w:fldChar w:fldCharType="begin"/>
        </w:r>
        <w:r>
          <w:rPr>
            <w:lang w:bidi="cs-CZ"/>
          </w:rPr>
          <w:instrText>PAGE   \* MERGEFORMAT</w:instrText>
        </w:r>
        <w:r>
          <w:rPr>
            <w:lang w:bidi="cs-CZ"/>
          </w:rPr>
          <w:fldChar w:fldCharType="separate"/>
        </w:r>
        <w:r>
          <w:rPr>
            <w:noProof/>
            <w:lang w:bidi="cs-CZ"/>
          </w:rPr>
          <w:t>12</w:t>
        </w:r>
        <w:r>
          <w:rPr>
            <w:lang w:bidi="cs-CZ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A5BE3" w14:textId="77777777" w:rsidR="00E57ED3" w:rsidRDefault="00227172">
    <w:pPr>
      <w:pStyle w:val="Zpat"/>
      <w:jc w:val="center"/>
    </w:pPr>
    <w:r>
      <w:rPr>
        <w:lang w:bidi="cs-CZ"/>
      </w:rPr>
      <w:fldChar w:fldCharType="begin"/>
    </w:r>
    <w:r>
      <w:rPr>
        <w:lang w:bidi="cs-CZ"/>
      </w:rPr>
      <w:instrText>PAGE   \* MERGEFORMAT</w:instrText>
    </w:r>
    <w:r>
      <w:rPr>
        <w:lang w:bidi="cs-CZ"/>
      </w:rPr>
      <w:fldChar w:fldCharType="separate"/>
    </w:r>
    <w:r>
      <w:rPr>
        <w:noProof/>
        <w:lang w:bidi="cs-CZ"/>
      </w:rPr>
      <w:t>1</w:t>
    </w:r>
    <w:r>
      <w:rPr>
        <w:lang w:bidi="cs-CZ"/>
      </w:rPr>
      <w:fldChar w:fldCharType="end"/>
    </w:r>
  </w:p>
  <w:p w14:paraId="4D83E2AA" w14:textId="77777777" w:rsidR="00E57ED3" w:rsidRDefault="00E57ED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3EE26" w14:textId="77777777" w:rsidR="004574C1" w:rsidRDefault="004574C1">
      <w:r>
        <w:separator/>
      </w:r>
    </w:p>
  </w:footnote>
  <w:footnote w:type="continuationSeparator" w:id="0">
    <w:p w14:paraId="353AA981" w14:textId="77777777" w:rsidR="004574C1" w:rsidRDefault="00457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23FC3" w14:textId="77777777" w:rsidR="00E57ED3" w:rsidRDefault="00227172">
    <w:pPr>
      <w:pStyle w:val="Zhlav"/>
      <w:jc w:val="right"/>
      <w:rPr>
        <w:rFonts w:ascii="Arial" w:hAnsi="Arial" w:cs="Arial"/>
      </w:rPr>
    </w:pPr>
    <w:r>
      <w:rPr>
        <w:lang w:bidi="cs-CZ"/>
      </w:rPr>
      <w:tab/>
    </w:r>
    <w:r>
      <w:rPr>
        <w:lang w:bidi="cs-CZ"/>
      </w:rPr>
      <w:tab/>
    </w:r>
    <w:r>
      <w:rPr>
        <w:lang w:bidi="cs-CZ"/>
      </w:rPr>
      <w:tab/>
    </w:r>
    <w:r>
      <w:rPr>
        <w:lang w:bidi="cs-CZ"/>
      </w:rPr>
      <w:tab/>
    </w:r>
    <w:r>
      <w:rPr>
        <w:lang w:bidi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4BB7"/>
    <w:multiLevelType w:val="hybridMultilevel"/>
    <w:tmpl w:val="D116CC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7F3C"/>
    <w:multiLevelType w:val="hybridMultilevel"/>
    <w:tmpl w:val="5CC44438"/>
    <w:lvl w:ilvl="0" w:tplc="89BA0E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" w15:restartNumberingAfterBreak="0">
    <w:nsid w:val="0B5B55DE"/>
    <w:multiLevelType w:val="hybridMultilevel"/>
    <w:tmpl w:val="FC2226AC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B195C"/>
    <w:multiLevelType w:val="hybridMultilevel"/>
    <w:tmpl w:val="47BEAB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07B8D"/>
    <w:multiLevelType w:val="hybridMultilevel"/>
    <w:tmpl w:val="51548FA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268D6"/>
    <w:multiLevelType w:val="hybridMultilevel"/>
    <w:tmpl w:val="2DA8D1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E6DB9"/>
    <w:multiLevelType w:val="hybridMultilevel"/>
    <w:tmpl w:val="1C7051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00A08"/>
    <w:multiLevelType w:val="hybridMultilevel"/>
    <w:tmpl w:val="EE60784E"/>
    <w:lvl w:ilvl="0" w:tplc="FFFFFFFF">
      <w:start w:val="1"/>
      <w:numFmt w:val="bullet"/>
      <w:lvlText w:val="-"/>
      <w:lvlJc w:val="left"/>
      <w:pPr>
        <w:ind w:left="788" w:hanging="360"/>
      </w:pPr>
    </w:lvl>
    <w:lvl w:ilvl="1" w:tplc="0413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1BA24273"/>
    <w:multiLevelType w:val="hybridMultilevel"/>
    <w:tmpl w:val="78D4D0BA"/>
    <w:lvl w:ilvl="0" w:tplc="19CCFEBE">
      <w:start w:val="8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1" w15:restartNumberingAfterBreak="0">
    <w:nsid w:val="27EA0913"/>
    <w:multiLevelType w:val="hybridMultilevel"/>
    <w:tmpl w:val="DDF45E40"/>
    <w:lvl w:ilvl="0" w:tplc="454A7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F75D6"/>
    <w:multiLevelType w:val="hybridMultilevel"/>
    <w:tmpl w:val="A41A180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A232D"/>
    <w:multiLevelType w:val="hybridMultilevel"/>
    <w:tmpl w:val="596298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F1498"/>
    <w:multiLevelType w:val="hybridMultilevel"/>
    <w:tmpl w:val="6CEE86B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A0F92"/>
    <w:multiLevelType w:val="hybridMultilevel"/>
    <w:tmpl w:val="2F9A8A1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F2B8A"/>
    <w:multiLevelType w:val="hybridMultilevel"/>
    <w:tmpl w:val="045EDF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B6A43"/>
    <w:multiLevelType w:val="hybridMultilevel"/>
    <w:tmpl w:val="AABC99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13B43"/>
    <w:multiLevelType w:val="hybridMultilevel"/>
    <w:tmpl w:val="7C1CD7F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B2E74"/>
    <w:multiLevelType w:val="hybridMultilevel"/>
    <w:tmpl w:val="CD62C2DE"/>
    <w:lvl w:ilvl="0" w:tplc="454A7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A83E22"/>
    <w:multiLevelType w:val="hybridMultilevel"/>
    <w:tmpl w:val="2E3AE790"/>
    <w:lvl w:ilvl="0" w:tplc="454A7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33A70"/>
    <w:multiLevelType w:val="hybridMultilevel"/>
    <w:tmpl w:val="0054EB86"/>
    <w:lvl w:ilvl="0" w:tplc="454A7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C4652"/>
    <w:multiLevelType w:val="hybridMultilevel"/>
    <w:tmpl w:val="FA16EB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22"/>
  </w:num>
  <w:num w:numId="6">
    <w:abstractNumId w:val="17"/>
  </w:num>
  <w:num w:numId="7">
    <w:abstractNumId w:val="13"/>
  </w:num>
  <w:num w:numId="8">
    <w:abstractNumId w:val="16"/>
  </w:num>
  <w:num w:numId="9">
    <w:abstractNumId w:val="10"/>
  </w:num>
  <w:num w:numId="10">
    <w:abstractNumId w:val="2"/>
  </w:num>
  <w:num w:numId="11">
    <w:abstractNumId w:val="5"/>
  </w:num>
  <w:num w:numId="12">
    <w:abstractNumId w:val="14"/>
  </w:num>
  <w:num w:numId="13">
    <w:abstractNumId w:val="3"/>
  </w:num>
  <w:num w:numId="14">
    <w:abstractNumId w:val="18"/>
  </w:num>
  <w:num w:numId="15">
    <w:abstractNumId w:val="15"/>
  </w:num>
  <w:num w:numId="16">
    <w:abstractNumId w:val="12"/>
  </w:num>
  <w:num w:numId="17">
    <w:abstractNumId w:val="8"/>
  </w:num>
  <w:num w:numId="18">
    <w:abstractNumId w:val="9"/>
  </w:num>
  <w:num w:numId="19">
    <w:abstractNumId w:val="1"/>
  </w:num>
  <w:num w:numId="20">
    <w:abstractNumId w:val="20"/>
  </w:num>
  <w:num w:numId="21">
    <w:abstractNumId w:val="19"/>
  </w:num>
  <w:num w:numId="22">
    <w:abstractNumId w:val="21"/>
  </w:num>
  <w:num w:numId="23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E57ED3"/>
    <w:rsid w:val="0004206B"/>
    <w:rsid w:val="00122FD1"/>
    <w:rsid w:val="001778E0"/>
    <w:rsid w:val="001F0621"/>
    <w:rsid w:val="00227172"/>
    <w:rsid w:val="00242983"/>
    <w:rsid w:val="00264E42"/>
    <w:rsid w:val="00384AEA"/>
    <w:rsid w:val="004574C1"/>
    <w:rsid w:val="004F2A18"/>
    <w:rsid w:val="00550620"/>
    <w:rsid w:val="005805EA"/>
    <w:rsid w:val="00645FD6"/>
    <w:rsid w:val="00653C12"/>
    <w:rsid w:val="007F18A4"/>
    <w:rsid w:val="00871A09"/>
    <w:rsid w:val="00873EF3"/>
    <w:rsid w:val="0087525A"/>
    <w:rsid w:val="009339E4"/>
    <w:rsid w:val="009556FA"/>
    <w:rsid w:val="009D0F57"/>
    <w:rsid w:val="009D1014"/>
    <w:rsid w:val="009E6421"/>
    <w:rsid w:val="00A30259"/>
    <w:rsid w:val="00A563AA"/>
    <w:rsid w:val="00BB5D93"/>
    <w:rsid w:val="00C837E8"/>
    <w:rsid w:val="00CB66EB"/>
    <w:rsid w:val="00E57ED3"/>
    <w:rsid w:val="00F93866"/>
    <w:rsid w:val="00FE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0BF6FB"/>
  <w15:docId w15:val="{5025DD5C-430C-4334-99C1-5B347D89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line="240" w:lineRule="auto"/>
      <w:jc w:val="center"/>
      <w:outlineLvl w:val="0"/>
    </w:pPr>
    <w:rPr>
      <w:b/>
      <w:caps/>
      <w:lang w:val="en-US"/>
    </w:rPr>
  </w:style>
  <w:style w:type="paragraph" w:styleId="Nadpis2">
    <w:name w:val="heading 2"/>
    <w:basedOn w:val="Normln"/>
    <w:next w:val="BODY"/>
    <w:qFormat/>
    <w:pPr>
      <w:keepNext/>
      <w:spacing w:after="220" w:line="240" w:lineRule="auto"/>
      <w:outlineLvl w:val="1"/>
    </w:pPr>
    <w:rPr>
      <w:rFonts w:ascii="Times New Roman Bold" w:hAnsi="Times New Roman Bold"/>
      <w:b/>
      <w:caps/>
    </w:rPr>
  </w:style>
  <w:style w:type="paragraph" w:styleId="Nadpis3">
    <w:name w:val="heading 3"/>
    <w:basedOn w:val="Normln"/>
    <w:next w:val="BODY"/>
    <w:qFormat/>
    <w:pPr>
      <w:keepNext/>
      <w:spacing w:after="220" w:line="240" w:lineRule="auto"/>
      <w:ind w:left="567" w:hanging="567"/>
      <w:outlineLvl w:val="2"/>
    </w:pPr>
    <w:rPr>
      <w:b/>
      <w:kern w:val="28"/>
    </w:rPr>
  </w:style>
  <w:style w:type="paragraph" w:styleId="Nadpis4">
    <w:name w:val="heading 4"/>
    <w:basedOn w:val="Normln"/>
    <w:next w:val="BODY"/>
    <w:qFormat/>
    <w:pPr>
      <w:keepNext/>
      <w:spacing w:line="240" w:lineRule="auto"/>
      <w:outlineLvl w:val="3"/>
    </w:pPr>
    <w:rPr>
      <w:u w:val="single"/>
    </w:rPr>
  </w:style>
  <w:style w:type="paragraph" w:styleId="Nadpis5">
    <w:name w:val="heading 5"/>
    <w:basedOn w:val="Normln"/>
    <w:next w:val="BODY"/>
    <w:qFormat/>
    <w:pPr>
      <w:keepNext/>
      <w:tabs>
        <w:tab w:val="clear" w:pos="567"/>
      </w:tabs>
      <w:spacing w:line="240" w:lineRule="auto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567" w:hanging="567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qFormat/>
    <w:pPr>
      <w:spacing w:after="220" w:line="240" w:lineRule="auto"/>
      <w:contextualSpacing/>
    </w:pPr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link w:val="Zpat"/>
    <w:uiPriority w:val="99"/>
    <w:rPr>
      <w:rFonts w:ascii="Helvetica" w:hAnsi="Helvetica"/>
      <w:sz w:val="16"/>
      <w:lang w:eastAsia="en-US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character" w:customStyle="1" w:styleId="ZkladntextChar">
    <w:name w:val="Základní text Char"/>
    <w:link w:val="Zkladntext"/>
    <w:rPr>
      <w:sz w:val="22"/>
      <w:lang w:eastAsia="en-US"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link w:val="Zkladntextodsazen2Char"/>
    <w:pPr>
      <w:ind w:left="567" w:hanging="567"/>
      <w:jc w:val="both"/>
    </w:pPr>
    <w:rPr>
      <w:b/>
    </w:rPr>
  </w:style>
  <w:style w:type="character" w:customStyle="1" w:styleId="Zkladntextodsazen2Char">
    <w:name w:val="Základní text odsazený 2 Char"/>
    <w:link w:val="Zkladntextodsazen2"/>
    <w:rPr>
      <w:b/>
      <w:sz w:val="22"/>
      <w:lang w:eastAsia="en-US"/>
    </w:rPr>
  </w:style>
  <w:style w:type="paragraph" w:styleId="Textkomente">
    <w:name w:val="annotation text"/>
    <w:basedOn w:val="Normln"/>
    <w:link w:val="TextkomenteChar"/>
    <w:uiPriority w:val="99"/>
    <w:rPr>
      <w:sz w:val="20"/>
    </w:rPr>
  </w:style>
  <w:style w:type="character" w:customStyle="1" w:styleId="TextkomenteChar">
    <w:name w:val="Text komentáře Char"/>
    <w:link w:val="Textkomente"/>
    <w:uiPriority w:val="99"/>
    <w:rPr>
      <w:lang w:eastAsia="en-US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ZkladntextodsazenChar">
    <w:name w:val="Základní text odsazený Char"/>
    <w:link w:val="Zkladntextodsazen"/>
    <w:rPr>
      <w:b/>
      <w:sz w:val="22"/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Underlining">
    <w:name w:val="Underlining"/>
    <w:qFormat/>
    <w:rPr>
      <w:u w:val="single"/>
    </w:rPr>
  </w:style>
  <w:style w:type="paragraph" w:styleId="Podnadpis">
    <w:name w:val="Subtitle"/>
    <w:basedOn w:val="Normln"/>
    <w:next w:val="Normln"/>
    <w:link w:val="PodnadpisChar"/>
    <w:qFormat/>
    <w:pPr>
      <w:spacing w:after="220" w:line="240" w:lineRule="auto"/>
      <w:contextualSpacing/>
      <w:jc w:val="center"/>
    </w:pPr>
    <w:rPr>
      <w:szCs w:val="24"/>
    </w:rPr>
  </w:style>
  <w:style w:type="character" w:customStyle="1" w:styleId="PodnadpisChar">
    <w:name w:val="Podnadpis Char"/>
    <w:link w:val="Podnadpis"/>
    <w:rPr>
      <w:rFonts w:eastAsia="Times New Roman" w:cs="Times New Roman"/>
      <w:sz w:val="22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b/>
      <w:bCs/>
      <w:lang w:eastAsia="en-US"/>
    </w:rPr>
  </w:style>
  <w:style w:type="character" w:styleId="Siln">
    <w:name w:val="Strong"/>
    <w:qFormat/>
    <w:rPr>
      <w:b/>
      <w:bCs/>
    </w:rPr>
  </w:style>
  <w:style w:type="paragraph" w:customStyle="1" w:styleId="TableDose">
    <w:name w:val="TableDose"/>
    <w:basedOn w:val="Normln"/>
    <w:qFormat/>
    <w:pPr>
      <w:spacing w:line="240" w:lineRule="auto"/>
    </w:pPr>
  </w:style>
  <w:style w:type="character" w:styleId="Sledovanodkaz">
    <w:name w:val="FollowedHyperlink"/>
    <w:rPr>
      <w:color w:val="800080"/>
      <w:u w:val="single"/>
    </w:rPr>
  </w:style>
  <w:style w:type="paragraph" w:styleId="Revize">
    <w:name w:val="Revision"/>
    <w:hidden/>
    <w:uiPriority w:val="99"/>
    <w:semiHidden/>
    <w:rPr>
      <w:sz w:val="22"/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eenafstand1">
    <w:name w:val="Geen afstand1"/>
    <w:uiPriority w:val="1"/>
    <w:qFormat/>
    <w:rPr>
      <w:rFonts w:ascii="Cambria" w:eastAsia="Cambria" w:hAnsi="Cambria"/>
      <w:sz w:val="24"/>
      <w:szCs w:val="24"/>
      <w:lang w:val="en-US" w:eastAsia="en-US"/>
    </w:rPr>
  </w:style>
  <w:style w:type="paragraph" w:customStyle="1" w:styleId="SPCKetamin">
    <w:name w:val="SPC Ketamin"/>
    <w:basedOn w:val="Normln"/>
    <w:link w:val="SPCKetaminZchn"/>
    <w:qFormat/>
    <w:pPr>
      <w:tabs>
        <w:tab w:val="clear" w:pos="567"/>
      </w:tabs>
      <w:spacing w:line="300" w:lineRule="exact"/>
      <w:jc w:val="both"/>
    </w:pPr>
    <w:rPr>
      <w:szCs w:val="22"/>
    </w:rPr>
  </w:style>
  <w:style w:type="character" w:customStyle="1" w:styleId="SPCKetaminZchn">
    <w:name w:val="SPC Ketamin Zchn"/>
    <w:link w:val="SPCKetamin"/>
    <w:rPr>
      <w:sz w:val="22"/>
      <w:szCs w:val="22"/>
      <w:lang w:val="en-GB" w:eastAsia="en-US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1">
    <w:name w:val="Rastertabel 1 licht1"/>
    <w:basedOn w:val="Normlntabulka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customStyle="1" w:styleId="AHeader1">
    <w:name w:val="AHeader 1"/>
    <w:basedOn w:val="Normln"/>
    <w:pPr>
      <w:numPr>
        <w:numId w:val="9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Revisie1">
    <w:name w:val="Revisie1"/>
    <w:hidden/>
    <w:uiPriority w:val="99"/>
    <w:semiHidden/>
    <w:rPr>
      <w:sz w:val="22"/>
      <w:lang w:val="en-GB" w:eastAsia="en-US"/>
    </w:rPr>
  </w:style>
  <w:style w:type="paragraph" w:customStyle="1" w:styleId="BodytextAgency">
    <w:name w:val="Body text (Agency)"/>
    <w:basedOn w:val="Normln"/>
    <w:link w:val="BodytextAgencyChar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10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en-GB" w:eastAsia="en-GB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en-GB" w:eastAsia="en-GB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Geenafstand2">
    <w:name w:val="Geen afstand2"/>
    <w:uiPriority w:val="1"/>
    <w:qFormat/>
    <w:rPr>
      <w:rFonts w:ascii="Cambria" w:eastAsia="Cambria" w:hAnsi="Cambria"/>
      <w:sz w:val="24"/>
      <w:szCs w:val="24"/>
      <w:lang w:val="en-US"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Bezmezer1">
    <w:name w:val="Bez mezer1"/>
    <w:uiPriority w:val="1"/>
    <w:qFormat/>
    <w:rPr>
      <w:rFonts w:ascii="Cambria" w:eastAsia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www.uskvbl.cz/cs/farmakovigilanc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adr@uskvbl.cz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s://www.uskvbl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medicines.health.europa.eu/veterina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4c22511-638e-4273-9837-ffa84345baa4" xsi:nil="true"/>
    <lcf76f155ced4ddcb4097134ff3c332f xmlns="54c22511-638e-4273-9837-ffa84345baa4">
      <Terms xmlns="http://schemas.microsoft.com/office/infopath/2007/PartnerControls"/>
    </lcf76f155ced4ddcb4097134ff3c332f>
    <TaxCatchAll xmlns="090c5233-a5c5-42a4-ac9f-bfbebbdb39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D3DC32CFF4A4485D9CC3DE50D0ECF" ma:contentTypeVersion="19" ma:contentTypeDescription="Een nieuw document maken." ma:contentTypeScope="" ma:versionID="a4f83539deabdbdddc942472c2cb1828">
  <xsd:schema xmlns:xsd="http://www.w3.org/2001/XMLSchema" xmlns:xs="http://www.w3.org/2001/XMLSchema" xmlns:p="http://schemas.microsoft.com/office/2006/metadata/properties" xmlns:ns2="54c22511-638e-4273-9837-ffa84345baa4" xmlns:ns3="785010aa-b74b-4483-a1ff-00100c12865f" xmlns:ns4="090c5233-a5c5-42a4-ac9f-bfbebbdb39dc" targetNamespace="http://schemas.microsoft.com/office/2006/metadata/properties" ma:root="true" ma:fieldsID="c9483ec2d79794ed46377c5f63fc3f48" ns2:_="" ns3:_="" ns4:_="">
    <xsd:import namespace="54c22511-638e-4273-9837-ffa84345baa4"/>
    <xsd:import namespace="785010aa-b74b-4483-a1ff-00100c12865f"/>
    <xsd:import namespace="090c5233-a5c5-42a4-ac9f-bfbebbdb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2511-638e-4273-9837-ffa84345b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um" ma:index="19" nillable="true" ma:displayName="Datum" ma:format="DateOnly" ma:internalName="Datum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c83eb9e-f01d-47f4-b8b0-4cf3ec603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010aa-b74b-4483-a1ff-00100c128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5233-a5c5-42a4-ac9f-bfbebbdb39d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49d01a-cccd-4411-ae7f-58dd3e9b4d14}" ma:internalName="TaxCatchAll" ma:showField="CatchAllData" ma:web="090c5233-a5c5-42a4-ac9f-bfbebbdb3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CC409-A1F3-4882-B8A5-150A11307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D3639-6242-403B-9F6F-69D0810A4EF9}">
  <ds:schemaRefs>
    <ds:schemaRef ds:uri="http://schemas.microsoft.com/office/2006/metadata/properties"/>
    <ds:schemaRef ds:uri="http://schemas.microsoft.com/office/infopath/2007/PartnerControls"/>
    <ds:schemaRef ds:uri="54c22511-638e-4273-9837-ffa84345baa4"/>
    <ds:schemaRef ds:uri="090c5233-a5c5-42a4-ac9f-bfbebbdb39dc"/>
  </ds:schemaRefs>
</ds:datastoreItem>
</file>

<file path=customXml/itemProps3.xml><?xml version="1.0" encoding="utf-8"?>
<ds:datastoreItem xmlns:ds="http://schemas.openxmlformats.org/officeDocument/2006/customXml" ds:itemID="{AEAD96B3-A451-4997-B54B-06C20D488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22511-638e-4273-9837-ffa84345baa4"/>
    <ds:schemaRef ds:uri="785010aa-b74b-4483-a1ff-00100c12865f"/>
    <ds:schemaRef ds:uri="090c5233-a5c5-42a4-ac9f-bfbebbdb3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52BF8C-3237-4093-8C56-9F3FF1B2A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1855</Words>
  <Characters>10945</Characters>
  <Application>Microsoft Office Word</Application>
  <DocSecurity>0</DocSecurity>
  <Lines>91</Lines>
  <Paragraphs>25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12775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MFranse@alfasan.nl</dc:creator>
  <cp:lastModifiedBy>Neugebauerová Kateřina</cp:lastModifiedBy>
  <cp:revision>16</cp:revision>
  <cp:lastPrinted>2025-03-14T12:27:00Z</cp:lastPrinted>
  <dcterms:created xsi:type="dcterms:W3CDTF">2024-12-13T13:54:00Z</dcterms:created>
  <dcterms:modified xsi:type="dcterms:W3CDTF">2025-03-14T12:27:00Z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0x010100402D3DC32CFF4A4485D9CC3DE50D0ECF</vt:lpwstr>
  </property>
  <property fmtid="{D5CDD505-2E9C-101B-9397-08002B2CF9AE}" pid="3" name="AuthorIds_UIVersion_1536">
    <vt:lpwstr>20,14</vt:lpwstr>
  </property>
  <property fmtid="{D5CDD505-2E9C-101B-9397-08002B2CF9AE}" pid="4" name="MediaServiceImageTags">
    <vt:lpwstr/>
  </property>
</Properties>
</file>