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4D495C23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D234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D234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4B647FE2" w14:textId="0AADC9BC" w:rsidR="00C00850" w:rsidRPr="002C1CE2" w:rsidRDefault="00C00850" w:rsidP="00C00850">
      <w:pPr>
        <w:jc w:val="both"/>
      </w:pPr>
      <w:r w:rsidRPr="00CC448D">
        <w:rPr>
          <w:caps/>
        </w:rPr>
        <w:t>B</w:t>
      </w:r>
      <w:r w:rsidRPr="00CC448D">
        <w:t>IOSUIS</w:t>
      </w:r>
      <w:r w:rsidRPr="00CC448D">
        <w:rPr>
          <w:caps/>
        </w:rPr>
        <w:t xml:space="preserve"> </w:t>
      </w:r>
      <w:proofErr w:type="spellStart"/>
      <w:r w:rsidRPr="00CC448D">
        <w:rPr>
          <w:caps/>
        </w:rPr>
        <w:t>R</w:t>
      </w:r>
      <w:r w:rsidRPr="00CC448D">
        <w:t>espi</w:t>
      </w:r>
      <w:proofErr w:type="spellEnd"/>
      <w:r w:rsidRPr="00CC448D">
        <w:t xml:space="preserve"> E </w:t>
      </w:r>
      <w:r w:rsidRPr="002C1CE2">
        <w:t>injekční emulze pro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23499E58" w14:textId="4820DCAE" w:rsidR="00C00850" w:rsidRPr="00CC448D" w:rsidRDefault="00C00850" w:rsidP="00C00850">
      <w:pPr>
        <w:pStyle w:val="Zkladntext3"/>
        <w:rPr>
          <w:b w:val="0"/>
          <w:bCs/>
          <w:u w:val="single"/>
        </w:rPr>
      </w:pPr>
      <w:r w:rsidRPr="00CC448D">
        <w:rPr>
          <w:b w:val="0"/>
          <w:bCs/>
          <w:u w:val="single"/>
        </w:rPr>
        <w:t>1 ml vakcíny obsahuje</w:t>
      </w:r>
      <w:r w:rsidR="00BA41D7">
        <w:rPr>
          <w:b w:val="0"/>
          <w:bCs/>
          <w:u w:val="single"/>
        </w:rPr>
        <w:t>:</w:t>
      </w:r>
    </w:p>
    <w:p w14:paraId="5A4C568E" w14:textId="77777777" w:rsidR="00C00850" w:rsidRDefault="00C00850" w:rsidP="00C00850">
      <w:pPr>
        <w:rPr>
          <w:b/>
          <w:bCs/>
        </w:rPr>
      </w:pPr>
      <w:r w:rsidRPr="00FA408C">
        <w:rPr>
          <w:b/>
          <w:bCs/>
        </w:rPr>
        <w:t>Léčivé látky:</w:t>
      </w:r>
    </w:p>
    <w:p w14:paraId="5AFE79C1" w14:textId="77777777" w:rsidR="00065675" w:rsidRPr="00982039" w:rsidRDefault="00065675" w:rsidP="00065675">
      <w:pPr>
        <w:tabs>
          <w:tab w:val="left" w:pos="7371"/>
        </w:tabs>
      </w:pPr>
      <w:r w:rsidRPr="00982039">
        <w:t>Inaktivované kmeny:</w:t>
      </w:r>
    </w:p>
    <w:p w14:paraId="3DA17574" w14:textId="43D7E712" w:rsidR="00C00850" w:rsidRPr="00FA408C" w:rsidRDefault="00C00850" w:rsidP="00C00850">
      <w:pPr>
        <w:tabs>
          <w:tab w:val="left" w:pos="6946"/>
        </w:tabs>
        <w:jc w:val="both"/>
      </w:pPr>
      <w:proofErr w:type="spellStart"/>
      <w:r w:rsidRPr="00FA408C">
        <w:rPr>
          <w:i/>
          <w:iCs/>
        </w:rPr>
        <w:t>Actinobacillus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pleuropneumoniae</w:t>
      </w:r>
      <w:proofErr w:type="spellEnd"/>
      <w:r w:rsidR="00A5195E">
        <w:rPr>
          <w:i/>
          <w:iCs/>
        </w:rPr>
        <w:t>,</w:t>
      </w:r>
      <w:r w:rsidRPr="00FA408C">
        <w:t xml:space="preserve"> </w:t>
      </w:r>
      <w:proofErr w:type="spellStart"/>
      <w:r w:rsidRPr="00FA408C">
        <w:t>sérovar</w:t>
      </w:r>
      <w:proofErr w:type="spellEnd"/>
      <w:r w:rsidRPr="00FA408C">
        <w:t xml:space="preserve"> 2</w:t>
      </w:r>
      <w:r w:rsidRPr="00FA408C">
        <w:tab/>
        <w:t>RP ≥ 1*</w:t>
      </w:r>
    </w:p>
    <w:p w14:paraId="7623C43F" w14:textId="4CC87787" w:rsidR="00C00850" w:rsidRPr="00FA408C" w:rsidRDefault="00C00850" w:rsidP="00C00850">
      <w:pPr>
        <w:tabs>
          <w:tab w:val="left" w:pos="6946"/>
        </w:tabs>
        <w:jc w:val="both"/>
        <w:rPr>
          <w:vertAlign w:val="superscript"/>
        </w:rPr>
      </w:pPr>
      <w:proofErr w:type="spellStart"/>
      <w:r w:rsidRPr="00FA408C">
        <w:rPr>
          <w:i/>
          <w:iCs/>
        </w:rPr>
        <w:t>Actinobacillus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pleuropneumoniae</w:t>
      </w:r>
      <w:proofErr w:type="spellEnd"/>
      <w:r w:rsidR="00A5195E">
        <w:rPr>
          <w:i/>
          <w:iCs/>
        </w:rPr>
        <w:t>,</w:t>
      </w:r>
      <w:r w:rsidRPr="00FA408C">
        <w:t xml:space="preserve"> </w:t>
      </w:r>
      <w:proofErr w:type="spellStart"/>
      <w:r w:rsidRPr="00FA408C">
        <w:t>sérovary</w:t>
      </w:r>
      <w:proofErr w:type="spellEnd"/>
      <w:r w:rsidRPr="00FA408C">
        <w:t xml:space="preserve"> 9, 11</w:t>
      </w:r>
      <w:r>
        <w:tab/>
      </w:r>
      <w:r w:rsidRPr="00FA408C">
        <w:t>RP ≥ 1*</w:t>
      </w:r>
    </w:p>
    <w:p w14:paraId="552C8E4F" w14:textId="77777777" w:rsidR="00C00850" w:rsidRPr="00FA408C" w:rsidRDefault="00C00850" w:rsidP="00C00850">
      <w:pPr>
        <w:tabs>
          <w:tab w:val="left" w:pos="6946"/>
        </w:tabs>
      </w:pPr>
      <w:proofErr w:type="spellStart"/>
      <w:r w:rsidRPr="00FA408C">
        <w:t>Apx</w:t>
      </w:r>
      <w:proofErr w:type="spellEnd"/>
      <w:r w:rsidRPr="00FA408C">
        <w:t xml:space="preserve"> I toxoid </w:t>
      </w:r>
      <w:r w:rsidRPr="00FA408C">
        <w:tab/>
        <w:t>RP ≥ 1*</w:t>
      </w:r>
    </w:p>
    <w:p w14:paraId="295C5C6B" w14:textId="77777777" w:rsidR="00C00850" w:rsidRPr="00FA408C" w:rsidRDefault="00C00850" w:rsidP="00C00850">
      <w:pPr>
        <w:tabs>
          <w:tab w:val="left" w:pos="6946"/>
        </w:tabs>
      </w:pPr>
      <w:proofErr w:type="spellStart"/>
      <w:r>
        <w:t>Apx</w:t>
      </w:r>
      <w:proofErr w:type="spellEnd"/>
      <w:r>
        <w:t xml:space="preserve"> II toxoid</w:t>
      </w:r>
      <w:r>
        <w:tab/>
        <w:t>RP ≥ 1*</w:t>
      </w:r>
    </w:p>
    <w:p w14:paraId="5752480A" w14:textId="77777777" w:rsidR="00C00850" w:rsidRPr="00FA408C" w:rsidRDefault="00C00850" w:rsidP="00C00850">
      <w:pPr>
        <w:tabs>
          <w:tab w:val="left" w:pos="6946"/>
        </w:tabs>
      </w:pPr>
      <w:proofErr w:type="spellStart"/>
      <w:r>
        <w:t>Apx</w:t>
      </w:r>
      <w:proofErr w:type="spellEnd"/>
      <w:r>
        <w:t xml:space="preserve"> III toxoid</w:t>
      </w:r>
      <w:r>
        <w:tab/>
        <w:t>RP ≥ 1*</w:t>
      </w:r>
    </w:p>
    <w:p w14:paraId="0AA2994D" w14:textId="77777777" w:rsidR="00C00850" w:rsidRPr="00FA408C" w:rsidRDefault="00C00850" w:rsidP="00C00850">
      <w:pPr>
        <w:tabs>
          <w:tab w:val="left" w:pos="0"/>
          <w:tab w:val="left" w:pos="6946"/>
        </w:tabs>
        <w:jc w:val="both"/>
      </w:pPr>
      <w:proofErr w:type="spellStart"/>
      <w:r w:rsidRPr="00FA408C">
        <w:rPr>
          <w:i/>
          <w:iCs/>
        </w:rPr>
        <w:t>Erysipelothrix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rhusiopathiae</w:t>
      </w:r>
      <w:proofErr w:type="spellEnd"/>
      <w:r w:rsidRPr="00FA408C">
        <w:t xml:space="preserve"> (3</w:t>
      </w:r>
      <w:r>
        <w:t xml:space="preserve"> kmeny – typ 2, 1 kmen – typ 1)</w:t>
      </w:r>
      <w:r>
        <w:tab/>
      </w:r>
      <w:r w:rsidRPr="00FA408C">
        <w:t>RP ≥ 1*</w:t>
      </w:r>
    </w:p>
    <w:p w14:paraId="1ADFE781" w14:textId="2FBEDF92" w:rsidR="00C00850" w:rsidRPr="00FA408C" w:rsidRDefault="00C00850" w:rsidP="00C00850">
      <w:pPr>
        <w:tabs>
          <w:tab w:val="left" w:pos="6946"/>
        </w:tabs>
      </w:pPr>
      <w:proofErr w:type="spellStart"/>
      <w:r w:rsidRPr="00FA408C">
        <w:rPr>
          <w:i/>
          <w:iCs/>
        </w:rPr>
        <w:t>Haemophilus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parasuis</w:t>
      </w:r>
      <w:proofErr w:type="spellEnd"/>
      <w:r w:rsidRPr="00FA408C">
        <w:t xml:space="preserve"> </w:t>
      </w:r>
      <w:r>
        <w:t>(</w:t>
      </w:r>
      <w:r w:rsidR="00065675" w:rsidRPr="00F91B13">
        <w:t>séro</w:t>
      </w:r>
      <w:r w:rsidR="00065675">
        <w:t>typ</w:t>
      </w:r>
      <w:r w:rsidR="00065675" w:rsidRPr="00F91B13">
        <w:t xml:space="preserve">y </w:t>
      </w:r>
      <w:r w:rsidRPr="00F91B13">
        <w:t>1,</w:t>
      </w:r>
      <w:r>
        <w:t xml:space="preserve"> </w:t>
      </w:r>
      <w:r w:rsidRPr="00F91B13">
        <w:t>5, 13</w:t>
      </w:r>
      <w:r>
        <w:t>)</w:t>
      </w:r>
      <w:r>
        <w:tab/>
      </w:r>
      <w:r w:rsidRPr="00FA408C">
        <w:t>RP ≥ 1*</w:t>
      </w:r>
    </w:p>
    <w:p w14:paraId="1AC1131C" w14:textId="77777777" w:rsidR="00C00850" w:rsidRDefault="00C00850" w:rsidP="00C00850">
      <w:pPr>
        <w:rPr>
          <w:b/>
          <w:bCs/>
        </w:rPr>
      </w:pPr>
    </w:p>
    <w:p w14:paraId="308338D3" w14:textId="3841C737" w:rsidR="00C00850" w:rsidRDefault="00C00850" w:rsidP="00C00850">
      <w:pPr>
        <w:widowControl w:val="0"/>
        <w:autoSpaceDE w:val="0"/>
        <w:autoSpaceDN w:val="0"/>
        <w:adjustRightInd w:val="0"/>
      </w:pPr>
      <w:r w:rsidRPr="00FA408C">
        <w:t xml:space="preserve">*RP = Relativní účinnost </w:t>
      </w:r>
      <w:r>
        <w:t xml:space="preserve">(ELISA test) </w:t>
      </w:r>
      <w:r w:rsidRPr="00FA408C">
        <w:t xml:space="preserve">v porovnání s referenčním sérem získaným </w:t>
      </w:r>
      <w:r>
        <w:t>po vakcinaci myší</w:t>
      </w:r>
      <w:r w:rsidRPr="00FA408C">
        <w:t xml:space="preserve"> šarží</w:t>
      </w:r>
      <w:r>
        <w:t xml:space="preserve"> vakcíny</w:t>
      </w:r>
      <w:r w:rsidRPr="00FA408C">
        <w:t>, která vyhověla v </w:t>
      </w:r>
      <w:proofErr w:type="spellStart"/>
      <w:r w:rsidRPr="00FA408C">
        <w:t>čelenžním</w:t>
      </w:r>
      <w:proofErr w:type="spellEnd"/>
      <w:r w:rsidRPr="00FA408C">
        <w:t xml:space="preserve"> testu na </w:t>
      </w:r>
      <w:r>
        <w:t>cílovém druhu zvířat</w:t>
      </w:r>
    </w:p>
    <w:p w14:paraId="528A8E0D" w14:textId="77777777" w:rsidR="00C00850" w:rsidRPr="00FA408C" w:rsidRDefault="00C00850" w:rsidP="00C00850">
      <w:pPr>
        <w:rPr>
          <w:b/>
          <w:bCs/>
        </w:rPr>
      </w:pPr>
    </w:p>
    <w:p w14:paraId="2C3F0D70" w14:textId="59A4D7B1" w:rsidR="00C00850" w:rsidRPr="00FA408C" w:rsidRDefault="00C00850" w:rsidP="00CC448D">
      <w:r w:rsidRPr="00FA408C">
        <w:rPr>
          <w:b/>
          <w:bCs/>
        </w:rPr>
        <w:t>Adjuvans:</w:t>
      </w:r>
      <w:r w:rsidR="00D77BEA">
        <w:t xml:space="preserve"> </w:t>
      </w:r>
      <w:proofErr w:type="spellStart"/>
      <w:r>
        <w:t>Montanide</w:t>
      </w:r>
      <w:proofErr w:type="spellEnd"/>
      <w:r>
        <w:t xml:space="preserve"> ISA 35 VG</w:t>
      </w:r>
      <w:r>
        <w:tab/>
      </w:r>
      <w:r w:rsidRPr="00FA408C">
        <w:t>0,20 ml</w:t>
      </w:r>
    </w:p>
    <w:p w14:paraId="6185C60C" w14:textId="2406074B" w:rsidR="00C00850" w:rsidRPr="00FA408C" w:rsidRDefault="00D77BEA" w:rsidP="00CC448D">
      <w:pPr>
        <w:tabs>
          <w:tab w:val="left" w:pos="3420"/>
        </w:tabs>
      </w:pPr>
      <w:r w:rsidRPr="00B41D57">
        <w:rPr>
          <w:b/>
          <w:szCs w:val="22"/>
        </w:rPr>
        <w:t>Pomocné látky:</w:t>
      </w:r>
      <w:r>
        <w:rPr>
          <w:bCs/>
          <w:szCs w:val="22"/>
        </w:rPr>
        <w:t xml:space="preserve"> </w:t>
      </w:r>
      <w:proofErr w:type="spellStart"/>
      <w:r w:rsidR="00C00850">
        <w:t>Thiomersal</w:t>
      </w:r>
      <w:proofErr w:type="spellEnd"/>
      <w:r>
        <w:tab/>
      </w:r>
      <w:r w:rsidR="00C00850" w:rsidRPr="00FA408C">
        <w:t>0,085 – 0,115 mg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3CCCE6" w14:textId="77777777" w:rsidR="00D77BEA" w:rsidRPr="00B41D57" w:rsidRDefault="00D77BEA" w:rsidP="00D77BEA">
      <w:pPr>
        <w:tabs>
          <w:tab w:val="clear" w:pos="567"/>
        </w:tabs>
        <w:spacing w:line="240" w:lineRule="auto"/>
        <w:rPr>
          <w:szCs w:val="22"/>
        </w:rPr>
      </w:pPr>
      <w:r w:rsidRPr="00CF31D5">
        <w:rPr>
          <w:szCs w:val="22"/>
        </w:rPr>
        <w:t>Šedobílá mléčná tekutina se sedimentem, který se po roztřepání</w:t>
      </w:r>
      <w:r>
        <w:rPr>
          <w:szCs w:val="22"/>
        </w:rPr>
        <w:t xml:space="preserve"> </w:t>
      </w:r>
      <w:r w:rsidRPr="00CF31D5">
        <w:rPr>
          <w:szCs w:val="22"/>
        </w:rPr>
        <w:t>homogenně rozptýlí</w:t>
      </w:r>
      <w:r>
        <w:rPr>
          <w:szCs w:val="22"/>
        </w:rPr>
        <w:t>.</w:t>
      </w:r>
    </w:p>
    <w:p w14:paraId="71BEF023" w14:textId="77777777" w:rsidR="00D77BEA" w:rsidRPr="00B41D57" w:rsidRDefault="00D77BE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F6E5450" w14:textId="1CDC8FEB" w:rsidR="00C00850" w:rsidRPr="00FA408C" w:rsidRDefault="00C00850" w:rsidP="00C00850">
      <w:pPr>
        <w:tabs>
          <w:tab w:val="left" w:pos="3295"/>
        </w:tabs>
        <w:jc w:val="both"/>
      </w:pPr>
      <w:r>
        <w:t xml:space="preserve">Prasata (březí prasničky, </w:t>
      </w:r>
      <w:r w:rsidR="00D77BEA">
        <w:t xml:space="preserve">březí </w:t>
      </w:r>
      <w:r>
        <w:t>prasnice, selata)</w:t>
      </w:r>
      <w:r w:rsidR="00940D03"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44DE85E1" w14:textId="77777777" w:rsidR="00C00850" w:rsidRPr="00FB60A3" w:rsidRDefault="00C00850" w:rsidP="00CC448D">
      <w:pPr>
        <w:jc w:val="both"/>
      </w:pPr>
      <w:r w:rsidRPr="00FB60A3">
        <w:t xml:space="preserve">K aktivní a pasivní imunizaci </w:t>
      </w:r>
      <w:r w:rsidRPr="008108EC">
        <w:t>selat</w:t>
      </w:r>
      <w:r>
        <w:t xml:space="preserve"> </w:t>
      </w:r>
      <w:r w:rsidRPr="00FB60A3">
        <w:t xml:space="preserve">za účelem prevence infekce červenky, redukce infekce </w:t>
      </w:r>
      <w:proofErr w:type="spellStart"/>
      <w:r w:rsidRPr="008108EC">
        <w:rPr>
          <w:i/>
          <w:iCs/>
        </w:rPr>
        <w:t>Actinobacillus</w:t>
      </w:r>
      <w:proofErr w:type="spellEnd"/>
      <w:r w:rsidRPr="008108EC">
        <w:rPr>
          <w:i/>
          <w:iCs/>
        </w:rPr>
        <w:t xml:space="preserve"> </w:t>
      </w:r>
      <w:proofErr w:type="spellStart"/>
      <w:r w:rsidRPr="008108EC">
        <w:rPr>
          <w:i/>
          <w:iCs/>
        </w:rPr>
        <w:t>pleuropneumoniae</w:t>
      </w:r>
      <w:proofErr w:type="spellEnd"/>
      <w:r w:rsidRPr="00FB60A3">
        <w:t xml:space="preserve"> a </w:t>
      </w:r>
      <w:proofErr w:type="spellStart"/>
      <w:r w:rsidRPr="008108EC">
        <w:rPr>
          <w:i/>
          <w:iCs/>
        </w:rPr>
        <w:t>Haemophilus</w:t>
      </w:r>
      <w:proofErr w:type="spellEnd"/>
      <w:r w:rsidRPr="008108EC">
        <w:rPr>
          <w:i/>
          <w:iCs/>
        </w:rPr>
        <w:t xml:space="preserve"> </w:t>
      </w:r>
      <w:proofErr w:type="spellStart"/>
      <w:r w:rsidRPr="008108EC">
        <w:rPr>
          <w:i/>
          <w:iCs/>
        </w:rPr>
        <w:t>parasuis</w:t>
      </w:r>
      <w:proofErr w:type="spellEnd"/>
      <w:r w:rsidRPr="00FB60A3">
        <w:t xml:space="preserve"> (</w:t>
      </w:r>
      <w:proofErr w:type="spellStart"/>
      <w:r w:rsidRPr="00FB60A3">
        <w:t>Glässerovy</w:t>
      </w:r>
      <w:proofErr w:type="spellEnd"/>
      <w:r w:rsidRPr="00FB60A3">
        <w:t xml:space="preserve"> choroby) a</w:t>
      </w:r>
      <w:r>
        <w:t xml:space="preserve"> </w:t>
      </w:r>
      <w:r w:rsidRPr="00FB60A3">
        <w:t>snížení klinických příznaků způsobených těmito patogeny.</w:t>
      </w:r>
    </w:p>
    <w:p w14:paraId="27C2E414" w14:textId="70E26A7A" w:rsidR="00C00850" w:rsidRPr="00FB60A3" w:rsidRDefault="00C00850" w:rsidP="00C00850">
      <w:r w:rsidRPr="00FB60A3">
        <w:t xml:space="preserve">Nástup aktivní imunity: </w:t>
      </w:r>
      <w:r w:rsidR="00D77BEA">
        <w:tab/>
      </w:r>
      <w:r w:rsidRPr="00FB60A3">
        <w:t>21 dní po revakcinaci</w:t>
      </w:r>
    </w:p>
    <w:p w14:paraId="7AB496D9" w14:textId="2FA4869A" w:rsidR="00C00850" w:rsidRPr="00FB60A3" w:rsidRDefault="00C00850" w:rsidP="00C00850">
      <w:r w:rsidRPr="00FB60A3">
        <w:t xml:space="preserve">Trvání aktivní imunity: </w:t>
      </w:r>
      <w:r w:rsidR="00D77BEA">
        <w:tab/>
      </w:r>
      <w:r w:rsidRPr="00FB60A3">
        <w:t>20 týdnů po revakcinaci</w:t>
      </w:r>
    </w:p>
    <w:p w14:paraId="7D0BFCE3" w14:textId="16529D38" w:rsidR="00C00850" w:rsidRPr="00FB60A3" w:rsidRDefault="00C00850" w:rsidP="00C00850">
      <w:r w:rsidRPr="00FB60A3">
        <w:t>Trvání pasivní imunity:</w:t>
      </w:r>
      <w:r w:rsidR="00D77BEA">
        <w:tab/>
      </w:r>
      <w:r w:rsidRPr="00FB60A3">
        <w:t>po dobu sání (tj. 3 týdny)</w:t>
      </w:r>
    </w:p>
    <w:p w14:paraId="4FF18C9F" w14:textId="77777777" w:rsidR="00C00850" w:rsidRPr="00FB60A3" w:rsidRDefault="00C00850" w:rsidP="00C00850"/>
    <w:p w14:paraId="00AC88DB" w14:textId="1A6D70EF" w:rsidR="00C00850" w:rsidRPr="00FB60A3" w:rsidRDefault="00C00850" w:rsidP="00C00850">
      <w:r w:rsidRPr="00FB60A3">
        <w:t xml:space="preserve">K aktivní imunizaci </w:t>
      </w:r>
      <w:r w:rsidR="00A5195E">
        <w:t xml:space="preserve">prasniček a </w:t>
      </w:r>
      <w:r w:rsidRPr="00FB60A3">
        <w:t>prasnic za účelem prevence infekce červenky</w:t>
      </w:r>
    </w:p>
    <w:p w14:paraId="760AEBE8" w14:textId="25413E57" w:rsidR="00C00850" w:rsidRPr="00FB60A3" w:rsidRDefault="00C00850" w:rsidP="00C00850">
      <w:r w:rsidRPr="00FB60A3">
        <w:t xml:space="preserve">Nástup imunity: </w:t>
      </w:r>
      <w:r w:rsidR="00D77BEA">
        <w:tab/>
      </w:r>
      <w:r w:rsidRPr="00FB60A3">
        <w:t>21 dní po revakcinaci</w:t>
      </w:r>
    </w:p>
    <w:p w14:paraId="1C0925E3" w14:textId="6540321D" w:rsidR="00C00850" w:rsidRPr="00FB60A3" w:rsidRDefault="00C00850" w:rsidP="00C00850">
      <w:r w:rsidRPr="00FB60A3">
        <w:t xml:space="preserve">Trvání imunity: </w:t>
      </w:r>
      <w:r w:rsidR="00D77BEA">
        <w:tab/>
      </w:r>
      <w:r w:rsidRPr="00FB60A3">
        <w:t>6 měsíců po booster revakcinaci</w:t>
      </w:r>
    </w:p>
    <w:p w14:paraId="25FF2532" w14:textId="77777777" w:rsidR="00C00850" w:rsidRDefault="00C00850" w:rsidP="00C00850">
      <w:pPr>
        <w:rPr>
          <w:b/>
          <w:bCs/>
        </w:rPr>
      </w:pPr>
    </w:p>
    <w:p w14:paraId="4DFDB241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65249A5" w14:textId="77777777" w:rsidR="00C00850" w:rsidRPr="007D312F" w:rsidRDefault="00C00850" w:rsidP="00C00850">
      <w:pPr>
        <w:rPr>
          <w:snapToGrid w:val="0"/>
        </w:rPr>
      </w:pPr>
      <w:r w:rsidRPr="007D312F">
        <w:t xml:space="preserve">Nepoužívat při </w:t>
      </w:r>
      <w:r w:rsidRPr="007D312F">
        <w:rPr>
          <w:snapToGrid w:val="0"/>
        </w:rPr>
        <w:t>akutním nebo horečnatém onemocnění.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D1CCD61" w14:textId="47EACDAD" w:rsidR="00641835" w:rsidRDefault="00976026" w:rsidP="00641835">
      <w:r w:rsidRPr="00B41D57">
        <w:rPr>
          <w:szCs w:val="22"/>
          <w:u w:val="single"/>
        </w:rPr>
        <w:t>Zvláštní upozornění</w:t>
      </w:r>
      <w:r>
        <w:rPr>
          <w:szCs w:val="22"/>
          <w:u w:val="single"/>
        </w:rPr>
        <w:t xml:space="preserve">: </w:t>
      </w:r>
      <w:r w:rsidR="00641835" w:rsidRPr="00912AE3">
        <w:t>Vakcin</w:t>
      </w:r>
      <w:r w:rsidR="0062003C">
        <w:t>ovat</w:t>
      </w:r>
      <w:r w:rsidR="00641835" w:rsidRPr="00912AE3">
        <w:t xml:space="preserve"> pouze zdravá zvířata.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9A232CB" w:rsidR="00F354C5" w:rsidRPr="00B41D57" w:rsidRDefault="00CD234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055F5BB" w14:textId="77777777" w:rsidR="00641835" w:rsidRDefault="00641835" w:rsidP="0064183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</w:rPr>
      </w:pPr>
      <w:r>
        <w:rPr>
          <w:rFonts w:ascii="Times New  Roman , serif ;" w:hAnsi="Times New  Roman , serif ;" w:cs="Times New  Roman , serif ;"/>
        </w:rPr>
        <w:t xml:space="preserve">V případě náhodného sebepoškození injekčně aplikovaným přípravkem </w:t>
      </w:r>
      <w:r>
        <w:rPr>
          <w:rFonts w:ascii="TimesNewRoman,Italic" w:hAnsi="TimesNewRoman,Italic" w:cs="TimesNewRoman,Italic"/>
        </w:rPr>
        <w:t>vyhledejte ihned lékařskou</w:t>
      </w:r>
    </w:p>
    <w:p w14:paraId="2CC0F47B" w14:textId="77777777" w:rsidR="00641835" w:rsidRDefault="00641835" w:rsidP="00641835">
      <w:pPr>
        <w:autoSpaceDE w:val="0"/>
        <w:autoSpaceDN w:val="0"/>
        <w:adjustRightInd w:val="0"/>
        <w:jc w:val="both"/>
        <w:rPr>
          <w:rFonts w:ascii="Times New  Roman , serif ;" w:hAnsi="Times New  Roman , serif ;" w:cs="Times New  Roman , serif ;"/>
        </w:rPr>
      </w:pPr>
      <w:r>
        <w:rPr>
          <w:rFonts w:ascii="TimesNewRoman,Italic" w:hAnsi="TimesNewRoman,Italic" w:cs="TimesNewRoman,Italic"/>
        </w:rPr>
        <w:t>pomoc a ukažte příbalovou informaci nebo etiketu praktickému lékaři</w:t>
      </w:r>
      <w:r>
        <w:rPr>
          <w:rFonts w:ascii="Times New  Roman , serif ;" w:hAnsi="Times New  Roman , serif ;" w:cs="Times New  Roman , serif ;"/>
        </w:rPr>
        <w:t>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3CDD5B2" w14:textId="70C11D10" w:rsidR="005B1FD0" w:rsidRPr="00B41D57" w:rsidRDefault="00CD234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2DFD410F" w14:textId="77777777" w:rsidR="00641835" w:rsidRPr="004215E6" w:rsidRDefault="00641835" w:rsidP="00641835">
      <w:r w:rsidRPr="004215E6">
        <w:t xml:space="preserve">Lze použít během březosti. </w:t>
      </w:r>
    </w:p>
    <w:p w14:paraId="67B59CF6" w14:textId="77777777" w:rsidR="00641835" w:rsidRDefault="00641835" w:rsidP="00641835">
      <w:r w:rsidRPr="004215E6">
        <w:t>Vakcinace a revakcinace musí být ukončeny nejpozději 14 dní před očekávaným porodem.</w:t>
      </w:r>
    </w:p>
    <w:p w14:paraId="79F1C6F6" w14:textId="78D1FFC3" w:rsidR="005B1FD0" w:rsidRPr="00B41D57" w:rsidRDefault="00CD234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211065AB" w14:textId="46A011C5" w:rsidR="00641835" w:rsidRDefault="00641835" w:rsidP="00641835">
      <w:pPr>
        <w:jc w:val="both"/>
      </w:pPr>
      <w:r w:rsidRPr="00FA408C">
        <w:t xml:space="preserve">Nejsou dostupné informace o bezpečnosti a účinnosti této vakcíny, pokud </w:t>
      </w:r>
      <w:r w:rsidR="00976026">
        <w:t>se používá</w:t>
      </w:r>
      <w:r w:rsidRPr="00FA408C">
        <w:t xml:space="preserve"> zároveň s jiným veterinárním léčivým přípravkem. </w:t>
      </w:r>
      <w:r>
        <w:t>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FAF8EFC" w:rsidR="005B1FD0" w:rsidRPr="00B41D57" w:rsidRDefault="00CD234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0DC83CC" w14:textId="4E845BED" w:rsidR="00641835" w:rsidRDefault="00641835" w:rsidP="00641835">
      <w:pPr>
        <w:jc w:val="both"/>
      </w:pPr>
      <w:r>
        <w:t>Po</w:t>
      </w:r>
      <w:r w:rsidRPr="00E47AF3">
        <w:t xml:space="preserve"> aplikaci dvojnásobné dávky vakcíny </w:t>
      </w:r>
      <w:r>
        <w:t xml:space="preserve">nebyly pozorovány jiné nežádoucí účinky než ty popsané v bodě </w:t>
      </w:r>
      <w:r w:rsidRPr="00B41D57">
        <w:t>Nežádoucí účinky</w:t>
      </w:r>
      <w: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6A5383A" w:rsidR="005B1FD0" w:rsidRPr="00B41D57" w:rsidRDefault="00CD234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9E96364" w14:textId="77777777" w:rsidR="00641835" w:rsidRDefault="00641835" w:rsidP="00641835">
      <w:r>
        <w:t>Nemísit s jiným veterinárním léčivým přípravkem.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7D41A1C" w14:textId="239B58A2" w:rsidR="00D77BEA" w:rsidRPr="00FA408C" w:rsidRDefault="00976026" w:rsidP="00D77BEA">
      <w:pPr>
        <w:tabs>
          <w:tab w:val="left" w:pos="3295"/>
        </w:tabs>
        <w:jc w:val="both"/>
      </w:pPr>
      <w:r>
        <w:t>Prasata</w:t>
      </w:r>
      <w:r w:rsidR="00D77BEA">
        <w:t xml:space="preserve"> (březí prasničky, březí prasnice, selata)</w:t>
      </w:r>
    </w:p>
    <w:p w14:paraId="784423C2" w14:textId="19A41219" w:rsidR="00F520FE" w:rsidRDefault="00F520FE" w:rsidP="00A9226B">
      <w:pPr>
        <w:tabs>
          <w:tab w:val="clear" w:pos="567"/>
        </w:tabs>
        <w:spacing w:line="240" w:lineRule="auto"/>
      </w:pPr>
    </w:p>
    <w:p w14:paraId="0CB79959" w14:textId="0C124651" w:rsidR="00D77BEA" w:rsidRDefault="00D77BEA" w:rsidP="00D77BEA">
      <w:pPr>
        <w:spacing w:line="240" w:lineRule="auto"/>
      </w:pPr>
      <w:r w:rsidRPr="00B41D57">
        <w:t>Časté</w:t>
      </w:r>
      <w:r>
        <w:t xml:space="preserve"> </w:t>
      </w:r>
      <w:r w:rsidRPr="00B41D57">
        <w:t>(1 až 10 zvířat / 100 ošetřených zvířat):</w:t>
      </w:r>
    </w:p>
    <w:p w14:paraId="4F9498D6" w14:textId="77777777" w:rsidR="00D77BEA" w:rsidRPr="00982039" w:rsidRDefault="00D77BEA" w:rsidP="00D77BEA">
      <w:pPr>
        <w:spacing w:line="240" w:lineRule="auto"/>
      </w:pPr>
      <w:r w:rsidRPr="00982039">
        <w:t>- tremor, apatie a somnolenc</w:t>
      </w:r>
      <w:r w:rsidRPr="00146497">
        <w:t>e</w:t>
      </w:r>
      <w:r>
        <w:t xml:space="preserve"> </w:t>
      </w:r>
      <w:r w:rsidRPr="00982039">
        <w:rPr>
          <w:vertAlign w:val="superscript"/>
        </w:rPr>
        <w:t>1</w:t>
      </w:r>
    </w:p>
    <w:p w14:paraId="57DB0DBA" w14:textId="12B81D84" w:rsidR="00D77BEA" w:rsidRDefault="00D77BEA" w:rsidP="00D77BEA">
      <w:pPr>
        <w:spacing w:line="240" w:lineRule="auto"/>
        <w:rPr>
          <w:vertAlign w:val="superscript"/>
        </w:rPr>
      </w:pPr>
      <w:r w:rsidRPr="00146497">
        <w:t xml:space="preserve">- </w:t>
      </w:r>
      <w:proofErr w:type="spellStart"/>
      <w:r w:rsidRPr="00982039">
        <w:t>nausea</w:t>
      </w:r>
      <w:proofErr w:type="spellEnd"/>
      <w:r w:rsidRPr="00982039">
        <w:t xml:space="preserve"> nebo vomitus</w:t>
      </w:r>
      <w:r>
        <w:t xml:space="preserve"> </w:t>
      </w:r>
      <w:r w:rsidRPr="00982039">
        <w:rPr>
          <w:vertAlign w:val="superscript"/>
        </w:rPr>
        <w:t>2</w:t>
      </w:r>
    </w:p>
    <w:p w14:paraId="04F718EB" w14:textId="77777777" w:rsidR="00D77BEA" w:rsidRDefault="00D77BEA" w:rsidP="00D77BEA">
      <w:pPr>
        <w:spacing w:line="240" w:lineRule="auto"/>
      </w:pPr>
    </w:p>
    <w:p w14:paraId="29282906" w14:textId="54FF8D32" w:rsidR="00D77BEA" w:rsidRDefault="00D77BEA" w:rsidP="00D77BEA">
      <w:pPr>
        <w:spacing w:line="240" w:lineRule="auto"/>
        <w:rPr>
          <w:vertAlign w:val="superscript"/>
        </w:rPr>
      </w:pPr>
      <w:r w:rsidRPr="00B41D57">
        <w:t>Méně časté</w:t>
      </w:r>
      <w:r>
        <w:t xml:space="preserve"> </w:t>
      </w:r>
      <w:r w:rsidRPr="00B41D57">
        <w:t xml:space="preserve">(1 až </w:t>
      </w:r>
      <w:r>
        <w:t>10</w:t>
      </w:r>
      <w:r w:rsidRPr="00B41D57">
        <w:t> zvířat / 1 000 ošetřených zvířat):</w:t>
      </w:r>
    </w:p>
    <w:p w14:paraId="30CB2CC7" w14:textId="77777777" w:rsidR="00D77BEA" w:rsidRPr="00B41D57" w:rsidRDefault="00D77BEA" w:rsidP="00D77BEA">
      <w:pPr>
        <w:spacing w:line="240" w:lineRule="auto"/>
        <w:rPr>
          <w:iCs/>
          <w:szCs w:val="22"/>
        </w:rPr>
      </w:pPr>
      <w:r>
        <w:t xml:space="preserve">- otok v místě injekčního podání </w:t>
      </w:r>
      <w:r w:rsidRPr="00982039">
        <w:rPr>
          <w:vertAlign w:val="superscript"/>
        </w:rPr>
        <w:t>3</w:t>
      </w:r>
    </w:p>
    <w:p w14:paraId="32A4F4C3" w14:textId="77777777" w:rsidR="00D77BEA" w:rsidRDefault="00D77BEA" w:rsidP="00CC448D">
      <w:pPr>
        <w:spacing w:line="240" w:lineRule="auto"/>
      </w:pPr>
    </w:p>
    <w:p w14:paraId="26B2759B" w14:textId="16C13679" w:rsidR="00D77BEA" w:rsidRPr="00982039" w:rsidRDefault="00D77BEA" w:rsidP="00D77BEA">
      <w:pPr>
        <w:tabs>
          <w:tab w:val="clear" w:pos="567"/>
          <w:tab w:val="left" w:pos="270"/>
        </w:tabs>
        <w:spacing w:line="240" w:lineRule="auto"/>
        <w:jc w:val="both"/>
        <w:rPr>
          <w:szCs w:val="22"/>
          <w:vertAlign w:val="superscript"/>
        </w:rPr>
      </w:pPr>
      <w:r w:rsidRPr="00982039">
        <w:rPr>
          <w:szCs w:val="22"/>
          <w:vertAlign w:val="superscript"/>
        </w:rPr>
        <w:t>1</w:t>
      </w:r>
      <w:r w:rsidRPr="00982039">
        <w:rPr>
          <w:szCs w:val="22"/>
          <w:vertAlign w:val="superscript"/>
        </w:rPr>
        <w:tab/>
      </w:r>
      <w:r>
        <w:rPr>
          <w:szCs w:val="22"/>
        </w:rPr>
        <w:t>obvykle do 6 hodin odezní</w:t>
      </w:r>
    </w:p>
    <w:p w14:paraId="275685DD" w14:textId="77777777" w:rsidR="00D77BEA" w:rsidRPr="008E032B" w:rsidRDefault="00D77BEA" w:rsidP="00D77BEA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r w:rsidRPr="00982039">
        <w:rPr>
          <w:szCs w:val="22"/>
          <w:vertAlign w:val="superscript"/>
        </w:rPr>
        <w:t>2</w:t>
      </w:r>
      <w:r w:rsidRPr="00982039">
        <w:rPr>
          <w:szCs w:val="22"/>
          <w:vertAlign w:val="superscript"/>
        </w:rPr>
        <w:tab/>
      </w:r>
      <w:r w:rsidRPr="00982039">
        <w:rPr>
          <w:szCs w:val="22"/>
        </w:rPr>
        <w:t>nauzea či vomitus se m</w:t>
      </w:r>
      <w:r>
        <w:rPr>
          <w:szCs w:val="22"/>
        </w:rPr>
        <w:t>ů</w:t>
      </w:r>
      <w:r w:rsidRPr="00982039">
        <w:rPr>
          <w:szCs w:val="22"/>
        </w:rPr>
        <w:t>že vyskytnout u prasat, která byla vakcinována bezprostředně po příjmu krmiva</w:t>
      </w:r>
    </w:p>
    <w:p w14:paraId="3D5A3EDC" w14:textId="5491A5BB" w:rsidR="00D77BEA" w:rsidRDefault="00D77BEA" w:rsidP="00D77BEA">
      <w:pPr>
        <w:pStyle w:val="Zkladntext3"/>
        <w:tabs>
          <w:tab w:val="left" w:pos="270"/>
        </w:tabs>
        <w:rPr>
          <w:b w:val="0"/>
          <w:bCs/>
        </w:rPr>
      </w:pPr>
      <w:r w:rsidRPr="00982039">
        <w:rPr>
          <w:b w:val="0"/>
          <w:bCs/>
          <w:vertAlign w:val="superscript"/>
        </w:rPr>
        <w:t>3</w:t>
      </w:r>
      <w:r>
        <w:rPr>
          <w:b w:val="0"/>
          <w:bCs/>
        </w:rPr>
        <w:tab/>
        <w:t xml:space="preserve">o velikosti max. 5 cm </w:t>
      </w:r>
      <w:r w:rsidRPr="00E47AF3">
        <w:rPr>
          <w:b w:val="0"/>
          <w:bCs/>
        </w:rPr>
        <w:t>samov</w:t>
      </w:r>
      <w:r>
        <w:rPr>
          <w:b w:val="0"/>
          <w:bCs/>
        </w:rPr>
        <w:t>olně vymizí do 4 dnů.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8D54DE6" w:rsidR="008C7CE5" w:rsidRDefault="00CD234F" w:rsidP="00641835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976026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</w:p>
    <w:p w14:paraId="565C889B" w14:textId="77777777" w:rsidR="00D77BEA" w:rsidRPr="00F500A2" w:rsidRDefault="00D77BEA" w:rsidP="00D77BEA">
      <w:pPr>
        <w:jc w:val="both"/>
        <w:rPr>
          <w:szCs w:val="22"/>
        </w:rPr>
      </w:pPr>
      <w:r w:rsidRPr="00F500A2">
        <w:rPr>
          <w:szCs w:val="22"/>
        </w:rPr>
        <w:t xml:space="preserve">Ústav pro státní kontrolu veterinárních biopreparátů a léčiv </w:t>
      </w:r>
    </w:p>
    <w:p w14:paraId="36F18DD5" w14:textId="77777777" w:rsidR="00D77BEA" w:rsidRPr="00F500A2" w:rsidRDefault="00D77BEA" w:rsidP="00D77BEA">
      <w:pPr>
        <w:jc w:val="both"/>
        <w:rPr>
          <w:szCs w:val="22"/>
        </w:rPr>
      </w:pPr>
      <w:r w:rsidRPr="00F500A2">
        <w:rPr>
          <w:szCs w:val="22"/>
        </w:rPr>
        <w:t xml:space="preserve">Hudcova 232/56a </w:t>
      </w:r>
    </w:p>
    <w:p w14:paraId="6BDAF0F4" w14:textId="77777777" w:rsidR="00D77BEA" w:rsidRPr="00F500A2" w:rsidRDefault="00D77BEA" w:rsidP="00D77BEA">
      <w:pPr>
        <w:jc w:val="both"/>
        <w:rPr>
          <w:szCs w:val="22"/>
        </w:rPr>
      </w:pPr>
      <w:r w:rsidRPr="00F500A2">
        <w:rPr>
          <w:szCs w:val="22"/>
        </w:rPr>
        <w:t>621 00 Brno</w:t>
      </w:r>
    </w:p>
    <w:p w14:paraId="495AB2E8" w14:textId="77777777" w:rsidR="00D77BEA" w:rsidRPr="00F500A2" w:rsidRDefault="00D77BEA" w:rsidP="00D77BEA">
      <w:pPr>
        <w:jc w:val="both"/>
        <w:rPr>
          <w:szCs w:val="22"/>
        </w:rPr>
      </w:pPr>
      <w:r w:rsidRPr="00F500A2">
        <w:rPr>
          <w:szCs w:val="22"/>
        </w:rPr>
        <w:t xml:space="preserve">Mail: </w:t>
      </w:r>
      <w:hyperlink r:id="rId8" w:history="1">
        <w:r w:rsidRPr="00573C04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</w:p>
    <w:p w14:paraId="29BF4B88" w14:textId="38C8B4C6" w:rsidR="00E124D3" w:rsidRPr="00C341E6" w:rsidRDefault="00D77BEA" w:rsidP="00E124D3">
      <w:pPr>
        <w:tabs>
          <w:tab w:val="left" w:pos="-720"/>
        </w:tabs>
        <w:suppressAutoHyphens/>
        <w:rPr>
          <w:noProof/>
          <w:szCs w:val="22"/>
        </w:rPr>
      </w:pPr>
      <w:r w:rsidRPr="00F500A2">
        <w:rPr>
          <w:szCs w:val="22"/>
        </w:rPr>
        <w:t xml:space="preserve">Webové stránky: </w:t>
      </w:r>
      <w:hyperlink r:id="rId9" w:history="1">
        <w:r w:rsidRPr="00F500A2">
          <w:rPr>
            <w:rStyle w:val="Hypertextovodkaz"/>
            <w:szCs w:val="22"/>
          </w:rPr>
          <w:t>www.uskvbl.cz/cs/farmakovigilance</w:t>
        </w:r>
      </w:hyperlink>
      <w:r w:rsidRPr="00F500A2">
        <w:rPr>
          <w:szCs w:val="22"/>
        </w:rPr>
        <w:t xml:space="preserve">  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C927447" w14:textId="77777777" w:rsidR="00D77BEA" w:rsidRDefault="00D77BEA" w:rsidP="00D77BEA">
      <w:pPr>
        <w:tabs>
          <w:tab w:val="clear" w:pos="567"/>
        </w:tabs>
        <w:spacing w:line="240" w:lineRule="auto"/>
      </w:pPr>
      <w:r>
        <w:t xml:space="preserve">Cesta podání: </w:t>
      </w:r>
      <w:r>
        <w:tab/>
        <w:t xml:space="preserve">intramuskulárně, nejlépe do </w:t>
      </w:r>
      <w:proofErr w:type="spellStart"/>
      <w:r>
        <w:t>paraaurikulární</w:t>
      </w:r>
      <w:proofErr w:type="spellEnd"/>
      <w:r>
        <w:t xml:space="preserve"> krajiny.</w:t>
      </w:r>
    </w:p>
    <w:p w14:paraId="59839618" w14:textId="77777777" w:rsidR="00D77BEA" w:rsidRDefault="00D77BEA" w:rsidP="00D77BEA">
      <w:pPr>
        <w:tabs>
          <w:tab w:val="clear" w:pos="567"/>
        </w:tabs>
        <w:spacing w:line="240" w:lineRule="auto"/>
      </w:pPr>
    </w:p>
    <w:p w14:paraId="2821E971" w14:textId="77777777" w:rsidR="00D77BEA" w:rsidRDefault="00D77BEA" w:rsidP="00D77BEA">
      <w:pPr>
        <w:tabs>
          <w:tab w:val="clear" w:pos="567"/>
        </w:tabs>
        <w:spacing w:line="240" w:lineRule="auto"/>
      </w:pPr>
      <w:r>
        <w:t>Imunizace</w:t>
      </w:r>
      <w:r w:rsidRPr="00982039">
        <w:rPr>
          <w:b/>
          <w:bCs/>
        </w:rPr>
        <w:t xml:space="preserve"> selat</w:t>
      </w:r>
      <w:r>
        <w:t xml:space="preserve">: </w:t>
      </w:r>
      <w:r>
        <w:tab/>
        <w:t>vakcinační dávka</w:t>
      </w:r>
      <w:r w:rsidDel="00CF31D5">
        <w:t xml:space="preserve"> </w:t>
      </w:r>
      <w:r w:rsidRPr="00982039">
        <w:rPr>
          <w:b/>
          <w:bCs/>
        </w:rPr>
        <w:t xml:space="preserve">1 ml </w:t>
      </w:r>
      <w:proofErr w:type="spellStart"/>
      <w:r w:rsidRPr="00982039">
        <w:rPr>
          <w:b/>
          <w:bCs/>
        </w:rPr>
        <w:t>i.m</w:t>
      </w:r>
      <w:proofErr w:type="spellEnd"/>
      <w:r w:rsidRPr="00982039">
        <w:rPr>
          <w:b/>
          <w:bCs/>
        </w:rPr>
        <w:t xml:space="preserve">. </w:t>
      </w:r>
    </w:p>
    <w:p w14:paraId="38055BE8" w14:textId="77777777" w:rsidR="00D77BEA" w:rsidRDefault="00D77BEA" w:rsidP="00D77BEA">
      <w:pPr>
        <w:tabs>
          <w:tab w:val="clear" w:pos="567"/>
        </w:tabs>
        <w:spacing w:line="240" w:lineRule="auto"/>
      </w:pPr>
      <w:r>
        <w:tab/>
      </w:r>
      <w:r>
        <w:tab/>
      </w:r>
      <w:r>
        <w:tab/>
      </w:r>
      <w:proofErr w:type="spellStart"/>
      <w:r>
        <w:t>Primovakcinace</w:t>
      </w:r>
      <w:proofErr w:type="spellEnd"/>
      <w:r>
        <w:t xml:space="preserve">: </w:t>
      </w:r>
      <w:r>
        <w:tab/>
        <w:t xml:space="preserve">od stáří 6 týdnů </w:t>
      </w:r>
    </w:p>
    <w:p w14:paraId="40A3B48A" w14:textId="77777777" w:rsidR="00D77BEA" w:rsidRDefault="00D77BEA" w:rsidP="00D77BEA">
      <w:pPr>
        <w:tabs>
          <w:tab w:val="clear" w:pos="567"/>
        </w:tabs>
        <w:spacing w:line="240" w:lineRule="auto"/>
      </w:pPr>
      <w:r>
        <w:tab/>
      </w:r>
      <w:r>
        <w:tab/>
      </w:r>
      <w:r>
        <w:tab/>
        <w:t>Revakcinace:</w:t>
      </w:r>
      <w:r>
        <w:tab/>
        <w:t xml:space="preserve">za 3 týdny </w:t>
      </w:r>
    </w:p>
    <w:p w14:paraId="6351E321" w14:textId="77777777" w:rsidR="00D77BEA" w:rsidRDefault="00D77BEA" w:rsidP="00D77BEA">
      <w:pPr>
        <w:tabs>
          <w:tab w:val="clear" w:pos="567"/>
        </w:tabs>
        <w:spacing w:line="240" w:lineRule="auto"/>
      </w:pPr>
    </w:p>
    <w:p w14:paraId="57835063" w14:textId="77777777" w:rsidR="00D77BEA" w:rsidRPr="00982039" w:rsidRDefault="00D77BEA" w:rsidP="00D77BEA">
      <w:pPr>
        <w:tabs>
          <w:tab w:val="clear" w:pos="567"/>
        </w:tabs>
        <w:spacing w:line="240" w:lineRule="auto"/>
        <w:rPr>
          <w:b/>
          <w:bCs/>
        </w:rPr>
      </w:pPr>
      <w:r>
        <w:t xml:space="preserve">Imunizace </w:t>
      </w:r>
      <w:r w:rsidRPr="00982039">
        <w:rPr>
          <w:b/>
          <w:bCs/>
        </w:rPr>
        <w:t>prasniček a prasnic</w:t>
      </w:r>
      <w:r>
        <w:t xml:space="preserve">: vakcinační dávka </w:t>
      </w:r>
      <w:r w:rsidRPr="00982039">
        <w:rPr>
          <w:b/>
          <w:bCs/>
        </w:rPr>
        <w:t xml:space="preserve">2 ml </w:t>
      </w:r>
      <w:proofErr w:type="spellStart"/>
      <w:r w:rsidRPr="00982039">
        <w:rPr>
          <w:b/>
          <w:bCs/>
        </w:rPr>
        <w:t>i.m</w:t>
      </w:r>
      <w:proofErr w:type="spellEnd"/>
      <w:r w:rsidRPr="00982039">
        <w:rPr>
          <w:b/>
          <w:bCs/>
        </w:rPr>
        <w:t>.</w:t>
      </w:r>
    </w:p>
    <w:p w14:paraId="63AFD947" w14:textId="77777777" w:rsidR="00D77BEA" w:rsidRDefault="00D77BEA" w:rsidP="00D77BEA">
      <w:pPr>
        <w:tabs>
          <w:tab w:val="clear" w:pos="567"/>
        </w:tabs>
        <w:spacing w:line="240" w:lineRule="auto"/>
        <w:ind w:left="1134" w:firstLine="567"/>
      </w:pPr>
      <w:r>
        <w:t>Iniciální vakcinace:</w:t>
      </w:r>
      <w:r>
        <w:tab/>
        <w:t xml:space="preserve">6-5 týdnů před porodem. </w:t>
      </w:r>
    </w:p>
    <w:p w14:paraId="6C2F6789" w14:textId="77777777" w:rsidR="00D77BEA" w:rsidRDefault="00D77BEA" w:rsidP="00D77BEA">
      <w:pPr>
        <w:tabs>
          <w:tab w:val="clear" w:pos="567"/>
        </w:tabs>
        <w:spacing w:line="240" w:lineRule="auto"/>
        <w:ind w:left="1701"/>
      </w:pPr>
      <w:r>
        <w:t>Revakcinace:</w:t>
      </w:r>
      <w:r>
        <w:tab/>
      </w:r>
      <w:r>
        <w:tab/>
        <w:t>za 2-3 týdny, nejpozději však 2 týdny před porodem.</w:t>
      </w:r>
    </w:p>
    <w:p w14:paraId="71A3DE70" w14:textId="77777777" w:rsidR="00D77BEA" w:rsidRDefault="00D77BEA" w:rsidP="00D77BEA">
      <w:pPr>
        <w:tabs>
          <w:tab w:val="clear" w:pos="567"/>
        </w:tabs>
        <w:spacing w:line="240" w:lineRule="auto"/>
        <w:ind w:left="3969" w:hanging="2268"/>
      </w:pPr>
      <w:r>
        <w:t xml:space="preserve">Booster revakcinace: </w:t>
      </w:r>
      <w:r>
        <w:tab/>
        <w:t xml:space="preserve">provádí se pravidelně 3 až 2 týdny před každým dalším porodem </w:t>
      </w:r>
    </w:p>
    <w:p w14:paraId="6B85D1A3" w14:textId="77777777" w:rsidR="00C00850" w:rsidRPr="00BF017E" w:rsidRDefault="00C00850" w:rsidP="00C00850">
      <w:r w:rsidRPr="00BF017E">
        <w:t>V případě, že období mezi dvěma porody přesáhne 6 měsíců, je nezbytné provést znovu iniciální vakcinaci a revakcinaci.</w:t>
      </w:r>
    </w:p>
    <w:p w14:paraId="07C85780" w14:textId="77777777" w:rsidR="00C00850" w:rsidRPr="00BF017E" w:rsidRDefault="00C00850" w:rsidP="00C00850"/>
    <w:p w14:paraId="543076A3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2C8DFD7" w14:textId="2B47903C" w:rsidR="00C00850" w:rsidRPr="00410932" w:rsidRDefault="00C00850" w:rsidP="00C00850">
      <w:r w:rsidRPr="00410932">
        <w:lastRenderedPageBreak/>
        <w:t xml:space="preserve">Před upotřebením </w:t>
      </w:r>
      <w:r>
        <w:t>je třeba</w:t>
      </w:r>
      <w:r w:rsidRPr="00410932">
        <w:t xml:space="preserve"> obsah lékovky vytemperovat na teplotu </w:t>
      </w:r>
      <w:r w:rsidRPr="00710068">
        <w:t>15 –25</w:t>
      </w:r>
      <w:r w:rsidR="00976026">
        <w:t xml:space="preserve"> </w:t>
      </w:r>
      <w:r w:rsidRPr="00710068">
        <w:t>°C a řádně protřepat.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D234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45299762" w14:textId="77777777" w:rsidR="00C00850" w:rsidRPr="006144C6" w:rsidRDefault="00C00850" w:rsidP="00C00850">
      <w:r w:rsidRPr="006144C6"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CD234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270C6734" w:rsidR="00C114FF" w:rsidRPr="00B41D57" w:rsidRDefault="00CD234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2702D24" w14:textId="269B263A" w:rsidR="00C114FF" w:rsidRPr="00B41D57" w:rsidRDefault="00CD234F" w:rsidP="00C00850">
      <w:pPr>
        <w:pStyle w:val="Style5"/>
      </w:pPr>
      <w:r w:rsidRPr="00B41D57">
        <w:t>Chraňte před mrazem.</w:t>
      </w:r>
    </w:p>
    <w:p w14:paraId="64809511" w14:textId="24B6CD85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9181859" w:rsidR="00C114FF" w:rsidRPr="00B41D57" w:rsidRDefault="00CD234F" w:rsidP="00CC448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C00850">
        <w:t xml:space="preserve">.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7250E29E" w:rsidR="00C114FF" w:rsidRPr="00B41D57" w:rsidRDefault="00CD234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C00850">
        <w:t xml:space="preserve"> 10 hodin.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D234F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6D54AD59" w14:textId="5248B96C" w:rsidR="00DB468A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A7CEB8" w14:textId="32659108" w:rsidR="00DB468A" w:rsidRPr="00B41D57" w:rsidRDefault="00CD234F" w:rsidP="00940D03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6DB9A21" w14:textId="043A7936" w:rsidR="00DB468A" w:rsidRDefault="00976026" w:rsidP="00940D03">
      <w:pPr>
        <w:tabs>
          <w:tab w:val="clear" w:pos="567"/>
        </w:tabs>
        <w:spacing w:line="240" w:lineRule="auto"/>
        <w:jc w:val="both"/>
      </w:pPr>
      <w:bookmarkStart w:id="0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0"/>
      <w:r w:rsidRPr="00B41D57">
        <w:t>.</w:t>
      </w:r>
    </w:p>
    <w:p w14:paraId="27175698" w14:textId="77777777" w:rsidR="00880B93" w:rsidRPr="00B41D57" w:rsidRDefault="00880B93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D234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0CC897D" w14:textId="77777777" w:rsidR="00641835" w:rsidRDefault="00641835" w:rsidP="00641835">
      <w:pPr>
        <w:ind w:right="566"/>
      </w:pPr>
      <w: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D234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A4CA4C8" w14:textId="77777777" w:rsidR="00E90636" w:rsidRDefault="00E90636" w:rsidP="00E90636">
      <w:pPr>
        <w:ind w:right="-318"/>
      </w:pPr>
      <w:r>
        <w:t>97/036/12-C</w:t>
      </w:r>
    </w:p>
    <w:p w14:paraId="3683DCAA" w14:textId="77777777" w:rsidR="00E90636" w:rsidRDefault="00E90636" w:rsidP="00E90636"/>
    <w:p w14:paraId="74F93593" w14:textId="7D4A47D2" w:rsidR="00E90636" w:rsidRPr="00FA408C" w:rsidRDefault="00E90636" w:rsidP="00E90636">
      <w:pPr>
        <w:rPr>
          <w:b/>
          <w:bCs/>
        </w:rPr>
      </w:pPr>
      <w:r>
        <w:t>Velikosti b</w:t>
      </w:r>
      <w:r w:rsidRPr="00FA408C">
        <w:t>alení:</w:t>
      </w:r>
      <w:r>
        <w:tab/>
      </w:r>
      <w:r w:rsidRPr="00FA408C">
        <w:t xml:space="preserve">1 </w:t>
      </w:r>
      <w:r>
        <w:t>×</w:t>
      </w:r>
      <w:r w:rsidRPr="00FA408C">
        <w:t xml:space="preserve"> 10 ml</w:t>
      </w:r>
      <w:r>
        <w:t xml:space="preserve">, </w:t>
      </w:r>
      <w:r w:rsidRPr="00FA408C">
        <w:t xml:space="preserve">10 </w:t>
      </w:r>
      <w:r>
        <w:t>×</w:t>
      </w:r>
      <w:r w:rsidRPr="00FA408C">
        <w:t xml:space="preserve"> 10 ml</w:t>
      </w:r>
      <w:r>
        <w:t xml:space="preserve">, </w:t>
      </w:r>
      <w:r w:rsidRPr="00FA408C">
        <w:t xml:space="preserve">1 </w:t>
      </w:r>
      <w:r>
        <w:t>×</w:t>
      </w:r>
      <w:r w:rsidRPr="00FA408C">
        <w:t xml:space="preserve"> 50 ml</w:t>
      </w:r>
      <w:r>
        <w:t xml:space="preserve">, </w:t>
      </w:r>
      <w:r w:rsidRPr="00FA408C">
        <w:t xml:space="preserve">1 </w:t>
      </w:r>
      <w:r>
        <w:t>×</w:t>
      </w:r>
      <w:r w:rsidRPr="00FA408C">
        <w:t xml:space="preserve"> 100 ml</w:t>
      </w:r>
      <w:r>
        <w:t xml:space="preserve">, </w:t>
      </w:r>
      <w:r w:rsidRPr="00FA408C">
        <w:t xml:space="preserve">1 </w:t>
      </w:r>
      <w:r>
        <w:t>×</w:t>
      </w:r>
      <w:r w:rsidRPr="00FA408C">
        <w:t xml:space="preserve"> 250 ml </w:t>
      </w:r>
    </w:p>
    <w:p w14:paraId="11CC443F" w14:textId="77777777" w:rsidR="00E90636" w:rsidRDefault="00E906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444A14" w14:textId="77777777" w:rsidR="00641835" w:rsidRDefault="00641835" w:rsidP="00641835">
      <w:r>
        <w:t>Na trhu nemusí být všechny velikosti balení.</w:t>
      </w:r>
    </w:p>
    <w:p w14:paraId="2C98E58A" w14:textId="77777777" w:rsidR="00641835" w:rsidRPr="00B41D57" w:rsidRDefault="006418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D234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8FB153C" w14:textId="4AFE55E6" w:rsidR="00DB468A" w:rsidRDefault="00976026" w:rsidP="00A9226B">
      <w:pPr>
        <w:tabs>
          <w:tab w:val="clear" w:pos="567"/>
        </w:tabs>
        <w:spacing w:line="240" w:lineRule="auto"/>
      </w:pPr>
      <w:r>
        <w:t>01/2025</w:t>
      </w:r>
    </w:p>
    <w:p w14:paraId="1A324774" w14:textId="77777777" w:rsidR="00F42AD6" w:rsidRPr="00B41D57" w:rsidRDefault="00F42A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D234F" w:rsidP="00CC448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</w:t>
      </w:r>
      <w:bookmarkStart w:id="1" w:name="_GoBack"/>
      <w:bookmarkEnd w:id="1"/>
      <w:r w:rsidRPr="00B41D57">
        <w:t>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CC448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8936D0" w14:textId="77777777" w:rsidR="00E90636" w:rsidRPr="00F500A2" w:rsidRDefault="00E90636" w:rsidP="002C1CE2">
      <w:pPr>
        <w:ind w:right="-19"/>
        <w:jc w:val="both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573985A6" w14:textId="77777777" w:rsidR="00E70337" w:rsidRPr="00B41D57" w:rsidRDefault="00E70337" w:rsidP="00CC448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CD234F" w:rsidP="00CC448D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3EA6332A" w:rsidR="00DB468A" w:rsidRPr="00B41D57" w:rsidRDefault="00CD234F" w:rsidP="00CC448D">
      <w:pPr>
        <w:jc w:val="both"/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64183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2E3FAFB0" w14:textId="77777777" w:rsidR="00E90636" w:rsidRPr="00086023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023">
        <w:rPr>
          <w:szCs w:val="22"/>
        </w:rPr>
        <w:t>Bioveta</w:t>
      </w:r>
      <w:proofErr w:type="spellEnd"/>
      <w:r w:rsidRPr="00086023">
        <w:rPr>
          <w:szCs w:val="22"/>
        </w:rPr>
        <w:t>, a.s.</w:t>
      </w:r>
    </w:p>
    <w:p w14:paraId="5C43B207" w14:textId="77777777" w:rsidR="00E90636" w:rsidRPr="00086023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2C119C86" w14:textId="77777777" w:rsidR="00E90636" w:rsidRPr="00086023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68323 Ivanovice na Hané</w:t>
      </w:r>
    </w:p>
    <w:p w14:paraId="3AAE7C53" w14:textId="77777777" w:rsidR="00E90636" w:rsidRPr="00086023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52E4461B" w14:textId="2D4A8693" w:rsidR="00E90636" w:rsidRPr="00086023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 w:rsidR="005D18DA">
        <w:rPr>
          <w:szCs w:val="22"/>
        </w:rPr>
        <w:t>(</w:t>
      </w:r>
      <w:r>
        <w:rPr>
          <w:szCs w:val="22"/>
        </w:rPr>
        <w:t>+</w:t>
      </w:r>
      <w:r w:rsidRPr="00086023">
        <w:rPr>
          <w:szCs w:val="22"/>
        </w:rPr>
        <w:t>420</w:t>
      </w:r>
      <w:r w:rsidR="005D18DA">
        <w:rPr>
          <w:szCs w:val="22"/>
        </w:rPr>
        <w:t>)</w:t>
      </w:r>
      <w:r w:rsidRPr="00086023">
        <w:rPr>
          <w:szCs w:val="22"/>
        </w:rPr>
        <w:t> 517 318 911</w:t>
      </w:r>
    </w:p>
    <w:p w14:paraId="1A625E5D" w14:textId="77777777" w:rsidR="00E90636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 xml:space="preserve">email: </w:t>
      </w:r>
      <w:hyperlink r:id="rId12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4ACAE67C" w14:textId="77777777" w:rsidR="00E90636" w:rsidRPr="007368CA" w:rsidRDefault="00E90636" w:rsidP="00E90636">
      <w:pPr>
        <w:tabs>
          <w:tab w:val="clear" w:pos="567"/>
        </w:tabs>
        <w:spacing w:line="240" w:lineRule="auto"/>
        <w:rPr>
          <w:szCs w:val="22"/>
        </w:rPr>
      </w:pPr>
      <w:r w:rsidRPr="00A11E2B">
        <w:rPr>
          <w:szCs w:val="22"/>
          <w:highlight w:val="lightGray"/>
        </w:rPr>
        <w:t>&lt;logo</w:t>
      </w:r>
      <w:r w:rsidRPr="00A11E2B">
        <w:rPr>
          <w:szCs w:val="22"/>
          <w:highlight w:val="lightGray"/>
        </w:rPr>
        <w:sym w:font="Symbol" w:char="F03E"/>
      </w:r>
    </w:p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1572C0C" w:rsidR="00BB2539" w:rsidRPr="00B41D57" w:rsidRDefault="00CD234F" w:rsidP="00B13B6D">
      <w:pPr>
        <w:pStyle w:val="Style1"/>
      </w:pPr>
      <w:r w:rsidRPr="00B41D57">
        <w:rPr>
          <w:highlight w:val="lightGray"/>
        </w:rPr>
        <w:lastRenderedPageBreak/>
        <w:t>17.</w:t>
      </w:r>
      <w:r w:rsidRPr="00B41D57">
        <w:tab/>
        <w:t>Další informace</w:t>
      </w:r>
    </w:p>
    <w:p w14:paraId="3937D53D" w14:textId="77777777" w:rsidR="00641835" w:rsidRDefault="00641835" w:rsidP="00641835">
      <w:pPr>
        <w:jc w:val="both"/>
      </w:pPr>
      <w:r w:rsidRPr="00F91B13">
        <w:t xml:space="preserve">Vakcína obsahuje inaktivované bakterie a toxoidy, které se postupně vstřebávají z místa aplikace. Po aplikaci antigenů obsažených ve vakcíně (bakteriny </w:t>
      </w:r>
      <w:r w:rsidRPr="00F91B13">
        <w:rPr>
          <w:i/>
          <w:iCs/>
        </w:rPr>
        <w:t xml:space="preserve">A. </w:t>
      </w:r>
      <w:proofErr w:type="spellStart"/>
      <w:r w:rsidRPr="00F91B13">
        <w:rPr>
          <w:i/>
          <w:iCs/>
        </w:rPr>
        <w:t>pleuropneumoniae</w:t>
      </w:r>
      <w:proofErr w:type="spellEnd"/>
      <w:r w:rsidRPr="00F91B13">
        <w:t xml:space="preserve"> </w:t>
      </w:r>
      <w:proofErr w:type="spellStart"/>
      <w:r w:rsidRPr="00F91B13">
        <w:t>sérovary</w:t>
      </w:r>
      <w:proofErr w:type="spellEnd"/>
      <w:r w:rsidRPr="00F91B13">
        <w:t xml:space="preserve"> 2, 9 a 11, </w:t>
      </w:r>
      <w:proofErr w:type="spellStart"/>
      <w:r w:rsidRPr="00F91B13">
        <w:t>Apx</w:t>
      </w:r>
      <w:proofErr w:type="spellEnd"/>
      <w:r w:rsidRPr="00F91B13">
        <w:t xml:space="preserve"> I, II a III toxoidů, </w:t>
      </w:r>
      <w:proofErr w:type="spellStart"/>
      <w:r w:rsidRPr="00F91B13">
        <w:rPr>
          <w:i/>
          <w:iCs/>
        </w:rPr>
        <w:t>Erysipelothrix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rhusiopathiae</w:t>
      </w:r>
      <w:proofErr w:type="spellEnd"/>
      <w:r w:rsidRPr="00F91B13">
        <w:t xml:space="preserve"> typy 1 a 2 a </w:t>
      </w:r>
      <w:proofErr w:type="spellStart"/>
      <w:r w:rsidRPr="00F91B13">
        <w:rPr>
          <w:i/>
          <w:iCs/>
        </w:rPr>
        <w:t>Haemophilus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parasuis</w:t>
      </w:r>
      <w:proofErr w:type="spellEnd"/>
      <w:r w:rsidRPr="00F91B13">
        <w:t xml:space="preserve"> </w:t>
      </w:r>
      <w:proofErr w:type="spellStart"/>
      <w:r w:rsidRPr="00F91B13">
        <w:t>sérovary</w:t>
      </w:r>
      <w:proofErr w:type="spellEnd"/>
      <w:r w:rsidRPr="00F91B13">
        <w:t xml:space="preserve"> 1,</w:t>
      </w:r>
      <w:r>
        <w:t xml:space="preserve"> </w:t>
      </w:r>
      <w:r w:rsidRPr="00F91B13">
        <w:t xml:space="preserve">5, 13) do těla zvířete dojde k tvorbě specifických protilátek, které pak chrání imunizované zvíře proti infekci virulentními zárodky </w:t>
      </w:r>
      <w:proofErr w:type="spellStart"/>
      <w:r w:rsidRPr="00F91B13">
        <w:rPr>
          <w:i/>
          <w:iCs/>
        </w:rPr>
        <w:t>Erysipelothrix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rhusiopathiae</w:t>
      </w:r>
      <w:proofErr w:type="spellEnd"/>
      <w:r>
        <w:rPr>
          <w:i/>
          <w:iCs/>
        </w:rPr>
        <w:t xml:space="preserve"> </w:t>
      </w:r>
      <w:r w:rsidRPr="00F756EA">
        <w:t xml:space="preserve">a </w:t>
      </w:r>
      <w:r>
        <w:t xml:space="preserve">pomáhají chránit proti následkům terénní infekce </w:t>
      </w:r>
      <w:proofErr w:type="spellStart"/>
      <w:r w:rsidRPr="00F756EA">
        <w:rPr>
          <w:i/>
          <w:iCs/>
        </w:rPr>
        <w:t>Actinobacillus</w:t>
      </w:r>
      <w:proofErr w:type="spellEnd"/>
      <w:r w:rsidRPr="00F756EA"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pleuropneumoniae</w:t>
      </w:r>
      <w:proofErr w:type="spellEnd"/>
      <w:r>
        <w:rPr>
          <w:i/>
          <w:iCs/>
        </w:rPr>
        <w:t xml:space="preserve"> </w:t>
      </w:r>
      <w:r w:rsidRPr="00F756EA">
        <w:t>a</w:t>
      </w:r>
      <w:r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Haemophilus</w:t>
      </w:r>
      <w:proofErr w:type="spellEnd"/>
      <w:r w:rsidRPr="00F756EA"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parasuis</w:t>
      </w:r>
      <w:proofErr w:type="spellEnd"/>
      <w:r>
        <w:t xml:space="preserve">. </w:t>
      </w:r>
    </w:p>
    <w:p w14:paraId="2DFC5C74" w14:textId="77777777" w:rsidR="00641835" w:rsidRPr="00F91B13" w:rsidRDefault="00641835" w:rsidP="00641835">
      <w:pPr>
        <w:jc w:val="both"/>
      </w:pPr>
      <w:r w:rsidRPr="00F91B13">
        <w:t xml:space="preserve">U vakcinovaných prasat jsou signifikantně nižší klinické symptomy </w:t>
      </w:r>
      <w:proofErr w:type="spellStart"/>
      <w:r>
        <w:t>aktinobacilové</w:t>
      </w:r>
      <w:proofErr w:type="spellEnd"/>
      <w:r>
        <w:t xml:space="preserve"> </w:t>
      </w:r>
      <w:r w:rsidRPr="00F91B13">
        <w:t xml:space="preserve">pleuropneumonie, červenky a </w:t>
      </w:r>
      <w:proofErr w:type="spellStart"/>
      <w:r w:rsidRPr="00F91B13">
        <w:t>Glässe</w:t>
      </w:r>
      <w:r>
        <w:t>rovy</w:t>
      </w:r>
      <w:proofErr w:type="spellEnd"/>
      <w:r>
        <w:t xml:space="preserve"> choroby</w:t>
      </w:r>
      <w:r w:rsidRPr="00F91B13">
        <w:t xml:space="preserve">, a následné ztráty úhynem po případné přidružené infekci dalšími patogeny prasat jsou minimalizovány. Jatečná selata jsou chráněna při dodržení doporučeného vakcinačního schéma po celou dobu výkrmu. Po vakcinaci prasnic dochází k tvorbě specifických protilátek, které jsou následně přenášeny kolostrální a laktogenní cestou na potomstvo, které je chráněno po dobu sání (min. 3 týdny) proti </w:t>
      </w:r>
      <w:r>
        <w:t xml:space="preserve">následkům </w:t>
      </w:r>
      <w:r w:rsidRPr="00F91B13">
        <w:t xml:space="preserve">onemocnění způsobenému </w:t>
      </w:r>
      <w:proofErr w:type="spellStart"/>
      <w:r w:rsidRPr="00F91B13">
        <w:rPr>
          <w:i/>
          <w:iCs/>
        </w:rPr>
        <w:t>Actinobacillus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pleuropneumoniae</w:t>
      </w:r>
      <w:proofErr w:type="spellEnd"/>
      <w:r w:rsidRPr="00F91B13">
        <w:t xml:space="preserve"> a jsou u něho redukovány klinické symptomy </w:t>
      </w:r>
      <w:proofErr w:type="spellStart"/>
      <w:r w:rsidRPr="00F91B13">
        <w:t>Glässerovy</w:t>
      </w:r>
      <w:proofErr w:type="spellEnd"/>
      <w:r w:rsidRPr="00F91B13">
        <w:t xml:space="preserve"> choroby způsobené </w:t>
      </w:r>
      <w:proofErr w:type="spellStart"/>
      <w:r w:rsidRPr="00F91B13">
        <w:rPr>
          <w:i/>
          <w:iCs/>
        </w:rPr>
        <w:t>Haemophilus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parasuis</w:t>
      </w:r>
      <w:proofErr w:type="spellEnd"/>
      <w:r w:rsidRPr="00F91B13">
        <w:t>.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E56748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E095" w14:textId="77777777" w:rsidR="00174561" w:rsidRDefault="00174561">
      <w:pPr>
        <w:spacing w:line="240" w:lineRule="auto"/>
      </w:pPr>
      <w:r>
        <w:separator/>
      </w:r>
    </w:p>
  </w:endnote>
  <w:endnote w:type="continuationSeparator" w:id="0">
    <w:p w14:paraId="4B4EA2DE" w14:textId="77777777" w:rsidR="00174561" w:rsidRDefault="00174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D234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D234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749E" w14:textId="77777777" w:rsidR="00174561" w:rsidRDefault="00174561">
      <w:pPr>
        <w:spacing w:line="240" w:lineRule="auto"/>
      </w:pPr>
      <w:r>
        <w:separator/>
      </w:r>
    </w:p>
  </w:footnote>
  <w:footnote w:type="continuationSeparator" w:id="0">
    <w:p w14:paraId="7B2AFBF1" w14:textId="77777777" w:rsidR="00174561" w:rsidRDefault="00174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675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255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561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0B"/>
    <w:rsid w:val="00195267"/>
    <w:rsid w:val="0019600B"/>
    <w:rsid w:val="0019659A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CE2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F57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F0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5F2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39D"/>
    <w:rsid w:val="00474C50"/>
    <w:rsid w:val="004768DB"/>
    <w:rsid w:val="004771F9"/>
    <w:rsid w:val="00486006"/>
    <w:rsid w:val="00486BAD"/>
    <w:rsid w:val="00486BBE"/>
    <w:rsid w:val="00487123"/>
    <w:rsid w:val="0049307D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E7C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8DA"/>
    <w:rsid w:val="005D380C"/>
    <w:rsid w:val="005D3F79"/>
    <w:rsid w:val="005D6DC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03C"/>
    <w:rsid w:val="0062387A"/>
    <w:rsid w:val="006326D8"/>
    <w:rsid w:val="0063377D"/>
    <w:rsid w:val="006344BE"/>
    <w:rsid w:val="00634A66"/>
    <w:rsid w:val="00640336"/>
    <w:rsid w:val="00640FC9"/>
    <w:rsid w:val="006414D3"/>
    <w:rsid w:val="00641835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B93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D0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02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195E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3AA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41D7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F00EF"/>
    <w:rsid w:val="00BF58FC"/>
    <w:rsid w:val="00C00850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48D"/>
    <w:rsid w:val="00CC567A"/>
    <w:rsid w:val="00CD234F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BEA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748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636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3D9"/>
    <w:rsid w:val="00F42AD6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2F07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6F3B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E9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681-7A2D-4805-B980-DE228A4F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1128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2025-01-15T12:02:00Z</cp:lastPrinted>
  <dcterms:created xsi:type="dcterms:W3CDTF">2024-12-12T07:11:00Z</dcterms:created>
  <dcterms:modified xsi:type="dcterms:W3CDTF">2025-01-24T14:51:00Z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