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E86" w:rsidRPr="00623CB5" w:rsidRDefault="00976E86" w:rsidP="00976E86">
      <w:pPr>
        <w:spacing w:line="276" w:lineRule="auto"/>
        <w:outlineLvl w:val="0"/>
        <w:rPr>
          <w:rFonts w:asciiTheme="minorHAnsi" w:hAnsiTheme="minorHAnsi" w:cstheme="minorHAnsi"/>
          <w:b/>
        </w:rPr>
      </w:pPr>
      <w:bookmarkStart w:id="0" w:name="bookmark0"/>
    </w:p>
    <w:p w:rsidR="00FD5443" w:rsidRPr="00623CB5" w:rsidRDefault="00395945" w:rsidP="00976E86">
      <w:pPr>
        <w:spacing w:line="276" w:lineRule="auto"/>
        <w:outlineLvl w:val="0"/>
        <w:rPr>
          <w:rFonts w:asciiTheme="minorHAnsi" w:hAnsiTheme="minorHAnsi" w:cstheme="minorHAnsi"/>
          <w:b/>
          <w:lang w:val="de-DE" w:eastAsia="de-DE" w:bidi="de-DE"/>
        </w:rPr>
      </w:pPr>
      <w:r w:rsidRPr="00623CB5">
        <w:rPr>
          <w:rFonts w:asciiTheme="minorHAnsi" w:eastAsia="Arial Narrow" w:hAnsiTheme="minorHAnsi" w:cstheme="minorHAnsi"/>
          <w:b/>
          <w:lang w:bidi="cs-CZ"/>
        </w:rPr>
        <w:t xml:space="preserve">Souprava </w:t>
      </w:r>
      <w:proofErr w:type="spellStart"/>
      <w:r w:rsidRPr="00623CB5">
        <w:rPr>
          <w:rFonts w:asciiTheme="minorHAnsi" w:eastAsia="Arial Narrow" w:hAnsiTheme="minorHAnsi" w:cstheme="minorHAnsi"/>
          <w:b/>
          <w:lang w:bidi="cs-CZ"/>
        </w:rPr>
        <w:t>VetMAX</w:t>
      </w:r>
      <w:proofErr w:type="spellEnd"/>
      <w:r w:rsidRPr="00623CB5">
        <w:rPr>
          <w:rFonts w:asciiTheme="minorHAnsi" w:eastAsia="Arial Narrow" w:hAnsiTheme="minorHAnsi" w:cstheme="minorHAnsi"/>
          <w:b/>
          <w:lang w:bidi="cs-CZ"/>
        </w:rPr>
        <w:t xml:space="preserve"> </w:t>
      </w:r>
      <w:proofErr w:type="spellStart"/>
      <w:r w:rsidRPr="00623CB5">
        <w:rPr>
          <w:rFonts w:asciiTheme="minorHAnsi" w:eastAsia="Arial Narrow" w:hAnsiTheme="minorHAnsi" w:cstheme="minorHAnsi"/>
          <w:b/>
          <w:lang w:bidi="cs-CZ"/>
        </w:rPr>
        <w:t>Porcine</w:t>
      </w:r>
      <w:proofErr w:type="spellEnd"/>
      <w:r w:rsidRPr="00623CB5">
        <w:rPr>
          <w:rFonts w:asciiTheme="minorHAnsi" w:eastAsia="Arial Narrow" w:hAnsiTheme="minorHAnsi" w:cstheme="minorHAnsi"/>
          <w:b/>
          <w:lang w:bidi="cs-CZ"/>
        </w:rPr>
        <w:t xml:space="preserve"> PCV2 </w:t>
      </w:r>
      <w:proofErr w:type="spellStart"/>
      <w:r w:rsidRPr="00623CB5">
        <w:rPr>
          <w:rFonts w:asciiTheme="minorHAnsi" w:eastAsia="Arial Narrow" w:hAnsiTheme="minorHAnsi" w:cstheme="minorHAnsi"/>
          <w:b/>
          <w:lang w:bidi="cs-CZ"/>
        </w:rPr>
        <w:t>Quant</w:t>
      </w:r>
      <w:bookmarkEnd w:id="0"/>
      <w:proofErr w:type="spellEnd"/>
      <w:r w:rsidR="00D47D18" w:rsidRPr="00623CB5">
        <w:rPr>
          <w:rFonts w:asciiTheme="minorHAnsi" w:eastAsia="Arial Narrow" w:hAnsiTheme="minorHAnsi" w:cstheme="minorHAnsi"/>
          <w:b/>
          <w:lang w:bidi="cs-CZ"/>
        </w:rPr>
        <w:t xml:space="preserve"> </w:t>
      </w:r>
      <w:proofErr w:type="spellStart"/>
      <w:r w:rsidR="00D47D18" w:rsidRPr="00623CB5">
        <w:rPr>
          <w:rFonts w:asciiTheme="minorHAnsi" w:eastAsia="Arial Narrow" w:hAnsiTheme="minorHAnsi" w:cstheme="minorHAnsi"/>
          <w:b/>
          <w:lang w:bidi="cs-CZ"/>
        </w:rPr>
        <w:t>Kit</w:t>
      </w:r>
      <w:proofErr w:type="spellEnd"/>
    </w:p>
    <w:p w:rsidR="00FD5443" w:rsidRPr="00A10A95" w:rsidRDefault="00395945" w:rsidP="00976E86">
      <w:pPr>
        <w:spacing w:line="276" w:lineRule="auto"/>
        <w:rPr>
          <w:rFonts w:asciiTheme="minorHAnsi" w:hAnsiTheme="minorHAnsi" w:cstheme="minorHAnsi"/>
          <w:szCs w:val="18"/>
        </w:rPr>
      </w:pPr>
      <w:bookmarkStart w:id="1" w:name="bookmark1"/>
      <w:proofErr w:type="spellStart"/>
      <w:r w:rsidRPr="00A10A95">
        <w:rPr>
          <w:rFonts w:asciiTheme="minorHAnsi" w:eastAsia="Arial Narrow" w:hAnsiTheme="minorHAnsi" w:cstheme="minorHAnsi"/>
          <w:sz w:val="18"/>
          <w:szCs w:val="18"/>
          <w:lang w:bidi="cs-CZ"/>
        </w:rPr>
        <w:t>TaqMan</w:t>
      </w:r>
      <w:proofErr w:type="spellEnd"/>
      <w:r w:rsidRPr="00A10A95">
        <w:rPr>
          <w:rFonts w:asciiTheme="minorHAnsi" w:eastAsia="Arial Narrow" w:hAnsiTheme="minorHAnsi" w:cstheme="minorHAnsi"/>
          <w:sz w:val="18"/>
          <w:szCs w:val="18"/>
          <w:lang w:bidi="cs-CZ"/>
        </w:rPr>
        <w:t xml:space="preserve"> PCR v reálném čase pro detekci prasečího cirkoviru typu 2</w:t>
      </w:r>
      <w:bookmarkEnd w:id="1"/>
    </w:p>
    <w:p w:rsidR="00C4300C" w:rsidRPr="00A10A95" w:rsidRDefault="00395945" w:rsidP="00976E86">
      <w:pPr>
        <w:spacing w:line="276" w:lineRule="auto"/>
        <w:rPr>
          <w:rFonts w:asciiTheme="minorHAnsi" w:hAnsiTheme="minorHAnsi" w:cstheme="minorHAnsi"/>
          <w:szCs w:val="18"/>
        </w:rPr>
      </w:pPr>
      <w:r w:rsidRPr="00A10A95">
        <w:rPr>
          <w:rFonts w:asciiTheme="minorHAnsi" w:eastAsia="Arial Narrow" w:hAnsiTheme="minorHAnsi" w:cstheme="minorHAnsi"/>
          <w:b/>
          <w:sz w:val="18"/>
          <w:szCs w:val="18"/>
          <w:lang w:bidi="cs-CZ"/>
        </w:rPr>
        <w:t>Katalogové číslo</w:t>
      </w:r>
      <w:r w:rsidRPr="00A10A95">
        <w:rPr>
          <w:rFonts w:asciiTheme="minorHAnsi" w:eastAsia="Arial Narrow" w:hAnsiTheme="minorHAnsi" w:cstheme="minorHAnsi"/>
          <w:sz w:val="18"/>
          <w:szCs w:val="18"/>
          <w:lang w:bidi="cs-CZ"/>
        </w:rPr>
        <w:t xml:space="preserve"> QPCV</w:t>
      </w:r>
      <w:bookmarkStart w:id="2" w:name="bookmark2"/>
      <w:r w:rsidR="008D5EEF" w:rsidRPr="00A10A95">
        <w:rPr>
          <w:rFonts w:asciiTheme="minorHAnsi" w:hAnsiTheme="minorHAnsi" w:cstheme="minorHAnsi"/>
          <w:szCs w:val="18"/>
        </w:rPr>
        <w:t xml:space="preserve">                                                                                                                </w:t>
      </w:r>
    </w:p>
    <w:p w:rsidR="00FD5443" w:rsidRPr="00A10A95" w:rsidRDefault="00395945" w:rsidP="00976E86">
      <w:pPr>
        <w:spacing w:line="276" w:lineRule="auto"/>
        <w:rPr>
          <w:rFonts w:asciiTheme="minorHAnsi" w:hAnsiTheme="minorHAnsi" w:cstheme="minorHAnsi"/>
          <w:szCs w:val="18"/>
        </w:rPr>
      </w:pPr>
      <w:r w:rsidRPr="00A10A95">
        <w:rPr>
          <w:rFonts w:asciiTheme="minorHAnsi" w:eastAsia="Arial Narrow" w:hAnsiTheme="minorHAnsi" w:cstheme="minorHAnsi"/>
          <w:b/>
          <w:sz w:val="20"/>
          <w:szCs w:val="18"/>
          <w:lang w:bidi="cs-CZ"/>
        </w:rPr>
        <w:t>Publikace č.</w:t>
      </w:r>
      <w:r w:rsidRPr="00A10A95">
        <w:rPr>
          <w:rFonts w:asciiTheme="minorHAnsi" w:eastAsia="Arial Narrow" w:hAnsiTheme="minorHAnsi" w:cstheme="minorHAnsi"/>
          <w:sz w:val="20"/>
          <w:szCs w:val="18"/>
          <w:lang w:bidi="cs-CZ"/>
        </w:rPr>
        <w:t xml:space="preserve"> </w:t>
      </w:r>
      <w:r w:rsidRPr="00623CB5">
        <w:rPr>
          <w:rFonts w:asciiTheme="minorHAnsi" w:eastAsia="Arial Narrow" w:hAnsiTheme="minorHAnsi" w:cstheme="minorHAnsi"/>
          <w:sz w:val="20"/>
          <w:szCs w:val="18"/>
          <w:highlight w:val="lightGray"/>
          <w:lang w:bidi="cs-CZ"/>
        </w:rPr>
        <w:t xml:space="preserve">MAN0009437 </w:t>
      </w:r>
      <w:r w:rsidRPr="00623CB5">
        <w:rPr>
          <w:rFonts w:asciiTheme="minorHAnsi" w:eastAsia="Arial Narrow" w:hAnsiTheme="minorHAnsi" w:cstheme="minorHAnsi"/>
          <w:b/>
          <w:sz w:val="20"/>
          <w:szCs w:val="18"/>
          <w:highlight w:val="lightGray"/>
          <w:lang w:bidi="cs-CZ"/>
        </w:rPr>
        <w:t>Rev</w:t>
      </w:r>
      <w:r w:rsidRPr="00623CB5">
        <w:rPr>
          <w:rFonts w:asciiTheme="minorHAnsi" w:eastAsia="Arial Narrow" w:hAnsiTheme="minorHAnsi" w:cstheme="minorHAnsi"/>
          <w:sz w:val="20"/>
          <w:szCs w:val="18"/>
          <w:highlight w:val="lightGray"/>
          <w:lang w:bidi="cs-CZ"/>
        </w:rPr>
        <w:t>. C.0</w:t>
      </w:r>
      <w:bookmarkEnd w:id="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2"/>
        <w:gridCol w:w="2088"/>
        <w:gridCol w:w="4301"/>
        <w:gridCol w:w="2208"/>
      </w:tblGrid>
      <w:tr w:rsidR="00FD5443" w:rsidRPr="00A10A95" w:rsidTr="00976E86">
        <w:trPr>
          <w:trHeight w:val="235"/>
        </w:trPr>
        <w:tc>
          <w:tcPr>
            <w:tcW w:w="2222" w:type="dxa"/>
            <w:tcBorders>
              <w:top w:val="single" w:sz="4" w:space="0" w:color="auto"/>
              <w:lef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b/>
                <w:sz w:val="18"/>
                <w:szCs w:val="18"/>
              </w:rPr>
            </w:pPr>
            <w:r w:rsidRPr="00A10A95">
              <w:rPr>
                <w:rFonts w:asciiTheme="minorHAnsi" w:eastAsia="Arial Narrow" w:hAnsiTheme="minorHAnsi" w:cstheme="minorHAnsi"/>
                <w:b/>
                <w:sz w:val="18"/>
                <w:szCs w:val="18"/>
                <w:lang w:bidi="cs-CZ"/>
              </w:rPr>
              <w:t>Technologie</w:t>
            </w:r>
          </w:p>
        </w:tc>
        <w:tc>
          <w:tcPr>
            <w:tcW w:w="2088" w:type="dxa"/>
            <w:tcBorders>
              <w:top w:val="single" w:sz="4" w:space="0" w:color="auto"/>
              <w:lef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b/>
                <w:sz w:val="18"/>
                <w:szCs w:val="18"/>
              </w:rPr>
            </w:pPr>
            <w:r w:rsidRPr="00A10A95">
              <w:rPr>
                <w:rFonts w:asciiTheme="minorHAnsi" w:eastAsia="Arial Narrow" w:hAnsiTheme="minorHAnsi" w:cstheme="minorHAnsi"/>
                <w:b/>
                <w:sz w:val="18"/>
                <w:szCs w:val="18"/>
                <w:lang w:bidi="cs-CZ"/>
              </w:rPr>
              <w:t>Druhy</w:t>
            </w:r>
          </w:p>
        </w:tc>
        <w:tc>
          <w:tcPr>
            <w:tcW w:w="4301" w:type="dxa"/>
            <w:tcBorders>
              <w:top w:val="single" w:sz="4" w:space="0" w:color="auto"/>
              <w:lef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b/>
                <w:sz w:val="18"/>
                <w:szCs w:val="18"/>
              </w:rPr>
            </w:pPr>
            <w:r w:rsidRPr="00A10A95">
              <w:rPr>
                <w:rFonts w:asciiTheme="minorHAnsi" w:eastAsia="Arial Narrow" w:hAnsiTheme="minorHAnsi" w:cstheme="minorHAnsi"/>
                <w:b/>
                <w:sz w:val="18"/>
                <w:szCs w:val="18"/>
                <w:lang w:bidi="cs-CZ"/>
              </w:rPr>
              <w:t>Nukleová kyselina izolovaná z matric</w:t>
            </w:r>
          </w:p>
        </w:tc>
        <w:tc>
          <w:tcPr>
            <w:tcW w:w="2208"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b/>
                <w:sz w:val="18"/>
                <w:szCs w:val="18"/>
              </w:rPr>
            </w:pPr>
            <w:r w:rsidRPr="00A10A95">
              <w:rPr>
                <w:rFonts w:asciiTheme="minorHAnsi" w:eastAsia="Arial Narrow" w:hAnsiTheme="minorHAnsi" w:cstheme="minorHAnsi"/>
                <w:b/>
                <w:sz w:val="18"/>
                <w:szCs w:val="18"/>
                <w:lang w:bidi="cs-CZ"/>
              </w:rPr>
              <w:t>Typ testu</w:t>
            </w:r>
          </w:p>
        </w:tc>
      </w:tr>
      <w:tr w:rsidR="00FD5443" w:rsidRPr="00A10A95" w:rsidTr="00976E86">
        <w:trPr>
          <w:trHeight w:val="240"/>
        </w:trPr>
        <w:tc>
          <w:tcPr>
            <w:tcW w:w="2222" w:type="dxa"/>
            <w:tcBorders>
              <w:top w:val="single" w:sz="4" w:space="0" w:color="auto"/>
              <w:left w:val="single" w:sz="4" w:space="0" w:color="auto"/>
            </w:tcBorders>
            <w:shd w:val="clear" w:color="auto" w:fill="FFFFFF"/>
            <w:vAlign w:val="center"/>
          </w:tcPr>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sz w:val="18"/>
                <w:szCs w:val="18"/>
                <w:lang w:bidi="cs-CZ"/>
              </w:rPr>
              <w:t>PCR v reálném čase (DNA)</w:t>
            </w:r>
          </w:p>
        </w:tc>
        <w:tc>
          <w:tcPr>
            <w:tcW w:w="2088" w:type="dxa"/>
            <w:tcBorders>
              <w:top w:val="single" w:sz="4" w:space="0" w:color="auto"/>
              <w:left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c>
          <w:tcPr>
            <w:tcW w:w="4301" w:type="dxa"/>
            <w:tcBorders>
              <w:top w:val="single" w:sz="4" w:space="0" w:color="auto"/>
              <w:left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c>
          <w:tcPr>
            <w:tcW w:w="2208" w:type="dxa"/>
            <w:tcBorders>
              <w:top w:val="single" w:sz="4" w:space="0" w:color="auto"/>
              <w:left w:val="single" w:sz="4" w:space="0" w:color="auto"/>
              <w:right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r>
      <w:tr w:rsidR="00FD5443" w:rsidRPr="00A10A95" w:rsidTr="00976E86">
        <w:trPr>
          <w:trHeight w:val="221"/>
        </w:trPr>
        <w:tc>
          <w:tcPr>
            <w:tcW w:w="2222" w:type="dxa"/>
            <w:tcBorders>
              <w:left w:val="single" w:sz="4" w:space="0" w:color="auto"/>
            </w:tcBorders>
            <w:shd w:val="clear" w:color="auto" w:fill="FFFFFF"/>
            <w:vAlign w:val="center"/>
          </w:tcPr>
          <w:p w:rsidR="00FD5443" w:rsidRPr="00A10A95" w:rsidRDefault="00395945" w:rsidP="00314B84">
            <w:pPr>
              <w:pStyle w:val="Odstavecseseznamem"/>
              <w:numPr>
                <w:ilvl w:val="0"/>
                <w:numId w:val="7"/>
              </w:numPr>
              <w:spacing w:line="276" w:lineRule="auto"/>
              <w:ind w:left="132" w:hanging="132"/>
              <w:rPr>
                <w:rFonts w:asciiTheme="minorHAnsi" w:hAnsiTheme="minorHAnsi" w:cstheme="minorHAnsi"/>
                <w:sz w:val="18"/>
                <w:szCs w:val="18"/>
              </w:rPr>
            </w:pPr>
            <w:r w:rsidRPr="00A10A95">
              <w:rPr>
                <w:rFonts w:asciiTheme="minorHAnsi" w:eastAsia="Arial Narrow" w:hAnsiTheme="minorHAnsi" w:cstheme="minorHAnsi"/>
                <w:sz w:val="18"/>
                <w:szCs w:val="18"/>
                <w:lang w:bidi="cs-CZ"/>
              </w:rPr>
              <w:t>Duplexní</w:t>
            </w:r>
          </w:p>
        </w:tc>
        <w:tc>
          <w:tcPr>
            <w:tcW w:w="2088" w:type="dxa"/>
            <w:tcBorders>
              <w:lef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sz w:val="18"/>
                <w:szCs w:val="18"/>
              </w:rPr>
            </w:pPr>
            <w:r w:rsidRPr="00A10A95">
              <w:rPr>
                <w:rFonts w:asciiTheme="minorHAnsi" w:eastAsia="Arial Narrow" w:hAnsiTheme="minorHAnsi" w:cstheme="minorHAnsi"/>
                <w:sz w:val="18"/>
                <w:szCs w:val="18"/>
                <w:lang w:bidi="cs-CZ"/>
              </w:rPr>
              <w:t>Prase</w:t>
            </w:r>
          </w:p>
        </w:tc>
        <w:tc>
          <w:tcPr>
            <w:tcW w:w="4301" w:type="dxa"/>
            <w:tcBorders>
              <w:lef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sz w:val="18"/>
                <w:szCs w:val="18"/>
              </w:rPr>
            </w:pPr>
            <w:r w:rsidRPr="00A10A95">
              <w:rPr>
                <w:rFonts w:asciiTheme="minorHAnsi" w:eastAsia="Arial Narrow" w:hAnsiTheme="minorHAnsi" w:cstheme="minorHAnsi"/>
                <w:sz w:val="18"/>
                <w:szCs w:val="18"/>
                <w:lang w:bidi="cs-CZ"/>
              </w:rPr>
              <w:t>Plná krev, sérum, orgány, orální tekutina, nosní výtěry</w:t>
            </w:r>
          </w:p>
        </w:tc>
        <w:tc>
          <w:tcPr>
            <w:tcW w:w="2208" w:type="dxa"/>
            <w:tcBorders>
              <w:left w:val="single" w:sz="4" w:space="0" w:color="auto"/>
              <w:right w:val="single" w:sz="4" w:space="0" w:color="auto"/>
            </w:tcBorders>
            <w:shd w:val="clear" w:color="auto" w:fill="FFFFFF"/>
            <w:vAlign w:val="center"/>
          </w:tcPr>
          <w:p w:rsidR="00FD5443" w:rsidRPr="00A10A95" w:rsidRDefault="00395945" w:rsidP="00976E86">
            <w:pPr>
              <w:spacing w:line="276" w:lineRule="auto"/>
              <w:jc w:val="center"/>
              <w:rPr>
                <w:rFonts w:asciiTheme="minorHAnsi" w:hAnsiTheme="minorHAnsi" w:cstheme="minorHAnsi"/>
                <w:sz w:val="18"/>
                <w:szCs w:val="18"/>
              </w:rPr>
            </w:pPr>
            <w:r w:rsidRPr="00A10A95">
              <w:rPr>
                <w:rFonts w:asciiTheme="minorHAnsi" w:eastAsia="Arial Narrow" w:hAnsiTheme="minorHAnsi" w:cstheme="minorHAnsi"/>
                <w:sz w:val="18"/>
                <w:szCs w:val="18"/>
                <w:lang w:bidi="cs-CZ"/>
              </w:rPr>
              <w:t>Individuální</w:t>
            </w:r>
          </w:p>
        </w:tc>
      </w:tr>
      <w:tr w:rsidR="00FD5443" w:rsidRPr="00A10A95" w:rsidTr="00976E86">
        <w:trPr>
          <w:trHeight w:val="206"/>
        </w:trPr>
        <w:tc>
          <w:tcPr>
            <w:tcW w:w="2222" w:type="dxa"/>
            <w:tcBorders>
              <w:left w:val="single" w:sz="4" w:space="0" w:color="auto"/>
              <w:bottom w:val="single" w:sz="4" w:space="0" w:color="auto"/>
            </w:tcBorders>
            <w:shd w:val="clear" w:color="auto" w:fill="FFFFFF"/>
            <w:vAlign w:val="center"/>
          </w:tcPr>
          <w:p w:rsidR="00FD5443" w:rsidRPr="00A10A95" w:rsidRDefault="00395945" w:rsidP="00314B84">
            <w:pPr>
              <w:pStyle w:val="Odstavecseseznamem"/>
              <w:numPr>
                <w:ilvl w:val="0"/>
                <w:numId w:val="7"/>
              </w:numPr>
              <w:spacing w:line="276" w:lineRule="auto"/>
              <w:ind w:left="132" w:hanging="132"/>
              <w:rPr>
                <w:rFonts w:asciiTheme="minorHAnsi" w:hAnsiTheme="minorHAnsi" w:cstheme="minorHAnsi"/>
                <w:sz w:val="18"/>
                <w:szCs w:val="18"/>
              </w:rPr>
            </w:pPr>
            <w:r w:rsidRPr="00A10A95">
              <w:rPr>
                <w:rFonts w:asciiTheme="minorHAnsi" w:eastAsia="Arial Narrow" w:hAnsiTheme="minorHAnsi" w:cstheme="minorHAnsi"/>
                <w:sz w:val="18"/>
                <w:szCs w:val="18"/>
                <w:lang w:bidi="cs-CZ"/>
              </w:rPr>
              <w:t>Exogenní IPC</w:t>
            </w:r>
          </w:p>
        </w:tc>
        <w:tc>
          <w:tcPr>
            <w:tcW w:w="2088" w:type="dxa"/>
            <w:tcBorders>
              <w:left w:val="single" w:sz="4" w:space="0" w:color="auto"/>
              <w:bottom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c>
          <w:tcPr>
            <w:tcW w:w="4301" w:type="dxa"/>
            <w:tcBorders>
              <w:left w:val="single" w:sz="4" w:space="0" w:color="auto"/>
              <w:bottom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c>
          <w:tcPr>
            <w:tcW w:w="2208" w:type="dxa"/>
            <w:tcBorders>
              <w:left w:val="single" w:sz="4" w:space="0" w:color="auto"/>
              <w:bottom w:val="single" w:sz="4" w:space="0" w:color="auto"/>
              <w:right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r>
    </w:tbl>
    <w:p w:rsidR="00FD5443" w:rsidRPr="00A10A95" w:rsidRDefault="00FD5443" w:rsidP="00976E86">
      <w:pPr>
        <w:spacing w:line="276" w:lineRule="auto"/>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706"/>
        <w:gridCol w:w="10051"/>
      </w:tblGrid>
      <w:tr w:rsidR="00FD5443" w:rsidRPr="00A10A95" w:rsidTr="00976E86">
        <w:trPr>
          <w:trHeight w:val="427"/>
        </w:trPr>
        <w:tc>
          <w:tcPr>
            <w:tcW w:w="706" w:type="dxa"/>
            <w:tcBorders>
              <w:top w:val="single" w:sz="4" w:space="0" w:color="auto"/>
            </w:tcBorders>
            <w:shd w:val="clear" w:color="auto" w:fill="FFFFFF"/>
            <w:vAlign w:val="center"/>
          </w:tcPr>
          <w:p w:rsidR="00FD5443" w:rsidRPr="00A10A95" w:rsidRDefault="00976E86" w:rsidP="00976E86">
            <w:pPr>
              <w:spacing w:line="276" w:lineRule="auto"/>
              <w:jc w:val="center"/>
              <w:rPr>
                <w:rFonts w:asciiTheme="minorHAnsi" w:hAnsiTheme="minorHAnsi" w:cstheme="minorHAnsi"/>
                <w:sz w:val="18"/>
                <w:szCs w:val="18"/>
              </w:rPr>
            </w:pPr>
            <w:r w:rsidRPr="00A10A95">
              <w:rPr>
                <w:rFonts w:asciiTheme="minorHAnsi" w:eastAsia="Times New Roman" w:hAnsiTheme="minorHAnsi" w:cstheme="minorHAnsi"/>
                <w:noProof/>
                <w:sz w:val="18"/>
                <w:szCs w:val="18"/>
                <w:lang w:eastAsia="cs-CZ" w:bidi="ar-SA"/>
              </w:rPr>
              <w:drawing>
                <wp:inline distT="0" distB="0" distL="0" distR="0" wp14:anchorId="33E6B388" wp14:editId="348238A8">
                  <wp:extent cx="228600" cy="198755"/>
                  <wp:effectExtent l="0" t="0" r="0" b="0"/>
                  <wp:docPr id="1" name="Obrázek 1" descr="C:\Users\uzivatel\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zivatel\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755"/>
                          </a:xfrm>
                          <a:prstGeom prst="rect">
                            <a:avLst/>
                          </a:prstGeom>
                          <a:noFill/>
                          <a:ln>
                            <a:noFill/>
                          </a:ln>
                        </pic:spPr>
                      </pic:pic>
                    </a:graphicData>
                  </a:graphic>
                </wp:inline>
              </w:drawing>
            </w:r>
          </w:p>
        </w:tc>
        <w:tc>
          <w:tcPr>
            <w:tcW w:w="10051" w:type="dxa"/>
            <w:tcBorders>
              <w:top w:val="single" w:sz="4" w:space="0" w:color="auto"/>
            </w:tcBorders>
            <w:shd w:val="clear" w:color="auto" w:fill="FFFFFF"/>
            <w:vAlign w:val="center"/>
          </w:tcPr>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b/>
                <w:sz w:val="18"/>
                <w:szCs w:val="18"/>
                <w:lang w:bidi="cs-CZ"/>
              </w:rPr>
              <w:t>VAROVÁNÍ!</w:t>
            </w:r>
            <w:r w:rsidRPr="00A10A95">
              <w:rPr>
                <w:rFonts w:asciiTheme="minorHAnsi" w:eastAsia="Times New Roman" w:hAnsiTheme="minorHAnsi" w:cstheme="minorHAnsi"/>
                <w:sz w:val="18"/>
                <w:szCs w:val="18"/>
                <w:lang w:bidi="cs-CZ"/>
              </w:rPr>
              <w:t xml:space="preserve"> Přečtěte si bezpečnostní listy (SDS) a dodržujte pokyny k manipulaci. Používejte vhodné ochranné brýle, oděv a rukavice. Bezpečnostní listy (BL) jsou k dispozici na adrese </w:t>
            </w:r>
            <w:r w:rsidRPr="00A10A95">
              <w:rPr>
                <w:rFonts w:asciiTheme="minorHAnsi" w:eastAsia="Times New Roman" w:hAnsiTheme="minorHAnsi" w:cstheme="minorHAnsi"/>
                <w:b/>
                <w:sz w:val="18"/>
                <w:szCs w:val="18"/>
                <w:lang w:bidi="cs-CZ"/>
              </w:rPr>
              <w:t>thermofisher.com/support.</w:t>
            </w:r>
          </w:p>
        </w:tc>
      </w:tr>
      <w:tr w:rsidR="00FD5443" w:rsidRPr="00A10A95" w:rsidTr="00976E86">
        <w:trPr>
          <w:trHeight w:val="62"/>
        </w:trPr>
        <w:tc>
          <w:tcPr>
            <w:tcW w:w="706" w:type="dxa"/>
            <w:tcBorders>
              <w:top w:val="single" w:sz="4" w:space="0" w:color="auto"/>
            </w:tcBorders>
            <w:shd w:val="clear" w:color="auto" w:fill="FFFFFF"/>
            <w:vAlign w:val="center"/>
          </w:tcPr>
          <w:p w:rsidR="00FD5443" w:rsidRPr="00A10A95" w:rsidRDefault="00FD5443" w:rsidP="00976E86">
            <w:pPr>
              <w:spacing w:line="276" w:lineRule="auto"/>
              <w:jc w:val="center"/>
              <w:rPr>
                <w:rFonts w:asciiTheme="minorHAnsi" w:hAnsiTheme="minorHAnsi" w:cstheme="minorHAnsi"/>
                <w:sz w:val="18"/>
                <w:szCs w:val="18"/>
              </w:rPr>
            </w:pPr>
          </w:p>
        </w:tc>
        <w:tc>
          <w:tcPr>
            <w:tcW w:w="10051" w:type="dxa"/>
            <w:tcBorders>
              <w:top w:val="single" w:sz="4" w:space="0" w:color="auto"/>
            </w:tcBorders>
            <w:shd w:val="clear" w:color="auto" w:fill="FFFFFF"/>
            <w:vAlign w:val="center"/>
          </w:tcPr>
          <w:p w:rsidR="00FD5443" w:rsidRPr="00A10A95" w:rsidRDefault="00FD5443" w:rsidP="00976E86">
            <w:pPr>
              <w:spacing w:line="276" w:lineRule="auto"/>
              <w:rPr>
                <w:rFonts w:asciiTheme="minorHAnsi" w:hAnsiTheme="minorHAnsi" w:cstheme="minorHAnsi"/>
                <w:sz w:val="18"/>
                <w:szCs w:val="18"/>
              </w:rPr>
            </w:pPr>
          </w:p>
        </w:tc>
      </w:tr>
      <w:tr w:rsidR="00FD5443" w:rsidRPr="00A10A95" w:rsidTr="00976E86">
        <w:trPr>
          <w:trHeight w:val="446"/>
        </w:trPr>
        <w:tc>
          <w:tcPr>
            <w:tcW w:w="706" w:type="dxa"/>
            <w:tcBorders>
              <w:top w:val="single" w:sz="4" w:space="0" w:color="auto"/>
              <w:bottom w:val="single" w:sz="4" w:space="0" w:color="auto"/>
            </w:tcBorders>
            <w:shd w:val="clear" w:color="auto" w:fill="FFFFFF"/>
            <w:vAlign w:val="center"/>
          </w:tcPr>
          <w:p w:rsidR="00FD5443" w:rsidRPr="00A10A95" w:rsidRDefault="00976E86" w:rsidP="00976E86">
            <w:pPr>
              <w:spacing w:line="276" w:lineRule="auto"/>
              <w:jc w:val="center"/>
              <w:rPr>
                <w:rFonts w:asciiTheme="minorHAnsi" w:hAnsiTheme="minorHAnsi" w:cstheme="minorHAnsi"/>
                <w:sz w:val="18"/>
                <w:szCs w:val="18"/>
              </w:rPr>
            </w:pPr>
            <w:r w:rsidRPr="00A10A95">
              <w:rPr>
                <w:rFonts w:asciiTheme="minorHAnsi" w:eastAsia="Times New Roman" w:hAnsiTheme="minorHAnsi" w:cstheme="minorHAnsi"/>
                <w:noProof/>
                <w:sz w:val="18"/>
                <w:szCs w:val="18"/>
                <w:lang w:eastAsia="cs-CZ" w:bidi="ar-SA"/>
              </w:rPr>
              <w:drawing>
                <wp:inline distT="0" distB="0" distL="0" distR="0" wp14:anchorId="02C44D1E" wp14:editId="3FCF2156">
                  <wp:extent cx="228600" cy="198755"/>
                  <wp:effectExtent l="0" t="0" r="0" b="0"/>
                  <wp:docPr id="2" name="Obrázek 2" descr="C:\Users\uzivatel\AppData\Local\Temp\FineReader11.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zivatel\AppData\Local\Temp\FineReader11.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198755"/>
                          </a:xfrm>
                          <a:prstGeom prst="rect">
                            <a:avLst/>
                          </a:prstGeom>
                          <a:noFill/>
                          <a:ln>
                            <a:noFill/>
                          </a:ln>
                        </pic:spPr>
                      </pic:pic>
                    </a:graphicData>
                  </a:graphic>
                </wp:inline>
              </w:drawing>
            </w:r>
          </w:p>
        </w:tc>
        <w:tc>
          <w:tcPr>
            <w:tcW w:w="10051" w:type="dxa"/>
            <w:tcBorders>
              <w:top w:val="single" w:sz="4" w:space="0" w:color="auto"/>
              <w:bottom w:val="single" w:sz="4" w:space="0" w:color="auto"/>
            </w:tcBorders>
            <w:shd w:val="clear" w:color="auto" w:fill="FFFFFF"/>
            <w:vAlign w:val="center"/>
          </w:tcPr>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b/>
                <w:sz w:val="18"/>
                <w:szCs w:val="18"/>
                <w:lang w:bidi="cs-CZ"/>
              </w:rPr>
              <w:t>VAROVÁNÍ! POTENCIÁLNÍ BIOLOGICKÉ NEBEZPEČÍ</w:t>
            </w:r>
            <w:r w:rsidRPr="00A10A95">
              <w:rPr>
                <w:rFonts w:asciiTheme="minorHAnsi" w:eastAsia="Times New Roman" w:hAnsiTheme="minorHAnsi" w:cstheme="minorHAnsi"/>
                <w:sz w:val="18"/>
                <w:szCs w:val="18"/>
                <w:lang w:bidi="cs-CZ"/>
              </w:rPr>
              <w:t xml:space="preserve">. Přečtěte si bezpečnostní informace o biologickém nebezpečí na stránce daného výrobku na adrese </w:t>
            </w:r>
            <w:r w:rsidRPr="00A10A95">
              <w:rPr>
                <w:rFonts w:asciiTheme="minorHAnsi" w:eastAsia="Times New Roman" w:hAnsiTheme="minorHAnsi" w:cstheme="minorHAnsi"/>
                <w:b/>
                <w:sz w:val="18"/>
                <w:szCs w:val="18"/>
                <w:lang w:bidi="cs-CZ"/>
              </w:rPr>
              <w:t>termofisher.com</w:t>
            </w:r>
            <w:r w:rsidRPr="00A10A95">
              <w:rPr>
                <w:rFonts w:asciiTheme="minorHAnsi" w:eastAsia="Times New Roman" w:hAnsiTheme="minorHAnsi" w:cstheme="minorHAnsi"/>
                <w:sz w:val="18"/>
                <w:szCs w:val="18"/>
                <w:lang w:bidi="cs-CZ"/>
              </w:rPr>
              <w:t>. Používejte vhodné ochranné brýle, oděv a rukavice.</w:t>
            </w:r>
          </w:p>
        </w:tc>
      </w:tr>
    </w:tbl>
    <w:p w:rsidR="00FD5443" w:rsidRPr="00A10A95" w:rsidRDefault="00FD5443" w:rsidP="00976E86">
      <w:pPr>
        <w:spacing w:line="276" w:lineRule="auto"/>
        <w:rPr>
          <w:rFonts w:asciiTheme="minorHAnsi" w:hAnsiTheme="minorHAnsi" w:cstheme="minorHAnsi"/>
          <w:sz w:val="8"/>
          <w:szCs w:val="18"/>
        </w:rPr>
      </w:pPr>
    </w:p>
    <w:p w:rsidR="00FD5443" w:rsidRPr="00A10A95" w:rsidRDefault="00395945" w:rsidP="00981497">
      <w:pPr>
        <w:spacing w:line="276" w:lineRule="auto"/>
        <w:outlineLvl w:val="2"/>
        <w:rPr>
          <w:rFonts w:asciiTheme="minorHAnsi" w:hAnsiTheme="minorHAnsi" w:cstheme="minorHAnsi"/>
          <w:b/>
          <w:szCs w:val="18"/>
        </w:rPr>
      </w:pPr>
      <w:bookmarkStart w:id="3" w:name="bookmark3"/>
      <w:r w:rsidRPr="00A10A95">
        <w:rPr>
          <w:rFonts w:asciiTheme="minorHAnsi" w:eastAsia="Arial Narrow" w:hAnsiTheme="minorHAnsi" w:cstheme="minorHAnsi"/>
          <w:b/>
          <w:sz w:val="18"/>
          <w:szCs w:val="18"/>
          <w:lang w:bidi="cs-CZ"/>
        </w:rPr>
        <w:t>Informace o výrobku</w:t>
      </w:r>
      <w:bookmarkEnd w:id="3"/>
    </w:p>
    <w:p w:rsidR="00FD5443" w:rsidRPr="00A10A95" w:rsidRDefault="00FD5443" w:rsidP="00976E86">
      <w:pPr>
        <w:spacing w:line="276" w:lineRule="auto"/>
        <w:rPr>
          <w:rFonts w:asciiTheme="minorHAnsi" w:hAnsiTheme="minorHAnsi" w:cstheme="minorHAnsi"/>
          <w:sz w:val="8"/>
          <w:szCs w:val="18"/>
        </w:rPr>
      </w:pPr>
    </w:p>
    <w:p w:rsidR="00FD5443" w:rsidRPr="00A10A95" w:rsidRDefault="00395945" w:rsidP="00981497">
      <w:pPr>
        <w:spacing w:line="276" w:lineRule="auto"/>
        <w:outlineLvl w:val="3"/>
        <w:rPr>
          <w:rFonts w:asciiTheme="minorHAnsi" w:hAnsiTheme="minorHAnsi" w:cstheme="minorHAnsi"/>
          <w:b/>
          <w:sz w:val="20"/>
          <w:szCs w:val="18"/>
        </w:rPr>
      </w:pPr>
      <w:bookmarkStart w:id="4" w:name="bookmark4"/>
      <w:r w:rsidRPr="00A10A95">
        <w:rPr>
          <w:rFonts w:asciiTheme="minorHAnsi" w:eastAsia="Arial Narrow" w:hAnsiTheme="minorHAnsi" w:cstheme="minorHAnsi"/>
          <w:b/>
          <w:sz w:val="20"/>
          <w:szCs w:val="18"/>
          <w:lang w:bidi="cs-CZ"/>
        </w:rPr>
        <w:t>Popis výrobku</w:t>
      </w:r>
      <w:bookmarkEnd w:id="4"/>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 xml:space="preserve">Souprava </w:t>
      </w:r>
      <w:proofErr w:type="spellStart"/>
      <w:r w:rsidRPr="00A10A95">
        <w:rPr>
          <w:rFonts w:asciiTheme="minorHAnsi" w:eastAsia="Times New Roman" w:hAnsiTheme="minorHAnsi" w:cstheme="minorHAnsi"/>
          <w:b/>
          <w:sz w:val="18"/>
          <w:szCs w:val="18"/>
          <w:lang w:bidi="cs-CZ"/>
        </w:rPr>
        <w:t>Applied</w:t>
      </w:r>
      <w:proofErr w:type="spellEnd"/>
      <w:r w:rsidRPr="00A10A95">
        <w:rPr>
          <w:rFonts w:asciiTheme="minorHAnsi" w:eastAsia="Times New Roman" w:hAnsiTheme="minorHAnsi" w:cstheme="minorHAnsi"/>
          <w:b/>
          <w:sz w:val="18"/>
          <w:szCs w:val="18"/>
          <w:lang w:bidi="cs-CZ"/>
        </w:rPr>
        <w:t xml:space="preserve"> </w:t>
      </w:r>
      <w:proofErr w:type="spellStart"/>
      <w:r w:rsidRPr="00A10A95">
        <w:rPr>
          <w:rFonts w:asciiTheme="minorHAnsi" w:eastAsia="Times New Roman" w:hAnsiTheme="minorHAnsi" w:cstheme="minorHAnsi"/>
          <w:b/>
          <w:sz w:val="18"/>
          <w:szCs w:val="18"/>
          <w:lang w:bidi="cs-CZ"/>
        </w:rPr>
        <w:t>Biosystems</w:t>
      </w:r>
      <w:proofErr w:type="spellEnd"/>
      <w:r w:rsidRPr="00A10A95">
        <w:rPr>
          <w:rFonts w:asciiTheme="minorHAnsi" w:eastAsia="Times New Roman" w:hAnsiTheme="minorHAnsi" w:cstheme="minorHAnsi"/>
          <w:b/>
          <w:sz w:val="18"/>
          <w:szCs w:val="18"/>
          <w:lang w:bidi="cs-CZ"/>
        </w:rPr>
        <w:t xml:space="preserve"> </w:t>
      </w:r>
      <w:proofErr w:type="spellStart"/>
      <w:r w:rsidRPr="00A10A95">
        <w:rPr>
          <w:rFonts w:asciiTheme="minorHAnsi" w:eastAsia="Times New Roman" w:hAnsiTheme="minorHAnsi" w:cstheme="minorHAnsi"/>
          <w:b/>
          <w:sz w:val="18"/>
          <w:szCs w:val="18"/>
          <w:lang w:bidi="cs-CZ"/>
        </w:rPr>
        <w:t>VetMAX</w:t>
      </w:r>
      <w:proofErr w:type="spellEnd"/>
      <w:r w:rsidRPr="00A10A95">
        <w:rPr>
          <w:rFonts w:asciiTheme="minorHAnsi" w:eastAsia="Times New Roman" w:hAnsiTheme="minorHAnsi" w:cstheme="minorHAnsi"/>
          <w:b/>
          <w:sz w:val="18"/>
          <w:szCs w:val="18"/>
          <w:lang w:bidi="cs-CZ"/>
        </w:rPr>
        <w:t xml:space="preserve"> </w:t>
      </w:r>
      <w:proofErr w:type="spellStart"/>
      <w:r w:rsidRPr="00A10A95">
        <w:rPr>
          <w:rFonts w:asciiTheme="minorHAnsi" w:eastAsia="Times New Roman" w:hAnsiTheme="minorHAnsi" w:cstheme="minorHAnsi"/>
          <w:b/>
          <w:sz w:val="18"/>
          <w:szCs w:val="18"/>
          <w:lang w:bidi="cs-CZ"/>
        </w:rPr>
        <w:t>Porcine</w:t>
      </w:r>
      <w:proofErr w:type="spellEnd"/>
      <w:r w:rsidRPr="00A10A95">
        <w:rPr>
          <w:rFonts w:asciiTheme="minorHAnsi" w:eastAsia="Times New Roman" w:hAnsiTheme="minorHAnsi" w:cstheme="minorHAnsi"/>
          <w:b/>
          <w:sz w:val="18"/>
          <w:szCs w:val="18"/>
          <w:lang w:bidi="cs-CZ"/>
        </w:rPr>
        <w:t xml:space="preserve"> PCV2 </w:t>
      </w:r>
      <w:proofErr w:type="spellStart"/>
      <w:r w:rsidRPr="00A10A95">
        <w:rPr>
          <w:rFonts w:asciiTheme="minorHAnsi" w:eastAsia="Times New Roman" w:hAnsiTheme="minorHAnsi" w:cstheme="minorHAnsi"/>
          <w:b/>
          <w:sz w:val="18"/>
          <w:szCs w:val="18"/>
          <w:lang w:bidi="cs-CZ"/>
        </w:rPr>
        <w:t>Quant</w:t>
      </w:r>
      <w:proofErr w:type="spellEnd"/>
      <w:r w:rsidRPr="00A10A95">
        <w:rPr>
          <w:rFonts w:asciiTheme="minorHAnsi" w:eastAsia="Times New Roman" w:hAnsiTheme="minorHAnsi" w:cstheme="minorHAnsi"/>
          <w:b/>
          <w:sz w:val="18"/>
          <w:szCs w:val="18"/>
          <w:lang w:bidi="cs-CZ"/>
        </w:rPr>
        <w:t xml:space="preserve"> </w:t>
      </w:r>
      <w:r w:rsidRPr="00A10A95">
        <w:rPr>
          <w:rFonts w:asciiTheme="minorHAnsi" w:eastAsia="Times New Roman" w:hAnsiTheme="minorHAnsi" w:cstheme="minorHAnsi"/>
          <w:sz w:val="18"/>
          <w:szCs w:val="18"/>
          <w:lang w:bidi="cs-CZ"/>
        </w:rPr>
        <w:t>je molekulárně diagnostický nástroj, který umožňuje detekci prasečího cirkoviru typu 2 (PCV2), tj. DNA viru klasifikovaného do rodu C</w:t>
      </w:r>
      <w:r w:rsidRPr="00A10A95">
        <w:rPr>
          <w:rFonts w:asciiTheme="minorHAnsi" w:eastAsia="Times New Roman" w:hAnsiTheme="minorHAnsi" w:cstheme="minorHAnsi"/>
          <w:i/>
          <w:sz w:val="18"/>
          <w:szCs w:val="18"/>
          <w:lang w:bidi="cs-CZ"/>
        </w:rPr>
        <w:t>ircovirus</w:t>
      </w:r>
      <w:r w:rsidRPr="00A10A95">
        <w:rPr>
          <w:rFonts w:asciiTheme="minorHAnsi" w:eastAsia="Times New Roman" w:hAnsiTheme="minorHAnsi" w:cstheme="minorHAnsi"/>
          <w:sz w:val="18"/>
          <w:szCs w:val="18"/>
          <w:lang w:bidi="cs-CZ"/>
        </w:rPr>
        <w:t xml:space="preserve"> z čeledi Circoviridae. Tento virus je v současnosti uznáván jako hlavní infekční agens podílející se na vývoji multisystémového chřadnutí selat po odstavu (PMWS).</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Každý vzorek DNA získaný po extrakci je analyzován v jedné jamce: stejná jamka je použita ke specifické detekci virové DNA viru PCV2 a IPC (Internal Positive Control) (Interní pozitivní kontroly). Pozitivní IPC prokazuje účinnost extrakce a nepřítomnost inhibitoru ve vzorcích. Může být použita na virovou DNA extrahovanou z </w:t>
      </w:r>
      <w:r w:rsidRPr="00A10A95">
        <w:rPr>
          <w:rFonts w:asciiTheme="minorHAnsi" w:eastAsia="Times New Roman" w:hAnsiTheme="minorHAnsi" w:cstheme="minorHAnsi"/>
          <w:b/>
          <w:sz w:val="18"/>
          <w:szCs w:val="18"/>
          <w:lang w:bidi="cs-CZ"/>
        </w:rPr>
        <w:t>plné krve, séra, orgánů, ústních tekutin a nosních výtěrů.</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Kompletní protokoly pro extrakce virové DNA z těchto matric jsou k dispozici na vyžádání na adrese </w:t>
      </w:r>
      <w:r w:rsidRPr="00A10A95">
        <w:rPr>
          <w:rFonts w:asciiTheme="minorHAnsi" w:eastAsia="Times New Roman" w:hAnsiTheme="minorHAnsi" w:cstheme="minorHAnsi"/>
          <w:b/>
          <w:sz w:val="18"/>
          <w:szCs w:val="18"/>
          <w:lang w:bidi="cs-CZ"/>
        </w:rPr>
        <w:t>thermofisher.com/askaquestion</w:t>
      </w:r>
    </w:p>
    <w:p w:rsidR="00FD5443" w:rsidRPr="00A10A95" w:rsidRDefault="00FD5443" w:rsidP="00976E86">
      <w:pPr>
        <w:spacing w:line="276" w:lineRule="auto"/>
        <w:rPr>
          <w:rFonts w:asciiTheme="minorHAnsi" w:hAnsiTheme="minorHAnsi" w:cstheme="minorHAnsi"/>
          <w:sz w:val="18"/>
          <w:szCs w:val="18"/>
        </w:rPr>
      </w:pPr>
    </w:p>
    <w:p w:rsidR="00FD5443" w:rsidRPr="00A10A95" w:rsidRDefault="00395945" w:rsidP="00981497">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Obsah soupravy a skladování</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Souprava </w:t>
      </w:r>
      <w:proofErr w:type="spellStart"/>
      <w:r w:rsidRPr="00A10A95">
        <w:rPr>
          <w:rFonts w:asciiTheme="minorHAnsi" w:eastAsia="Times New Roman" w:hAnsiTheme="minorHAnsi" w:cstheme="minorHAnsi"/>
          <w:b/>
          <w:sz w:val="18"/>
          <w:szCs w:val="18"/>
          <w:lang w:bidi="cs-CZ"/>
        </w:rPr>
        <w:t>VetMAXPorcine</w:t>
      </w:r>
      <w:proofErr w:type="spellEnd"/>
      <w:r w:rsidRPr="00A10A95">
        <w:rPr>
          <w:rFonts w:asciiTheme="minorHAnsi" w:eastAsia="Times New Roman" w:hAnsiTheme="minorHAnsi" w:cstheme="minorHAnsi"/>
          <w:b/>
          <w:sz w:val="18"/>
          <w:szCs w:val="18"/>
          <w:lang w:bidi="cs-CZ"/>
        </w:rPr>
        <w:t xml:space="preserve"> PCV2 </w:t>
      </w:r>
      <w:proofErr w:type="spellStart"/>
      <w:r w:rsidRPr="00A10A95">
        <w:rPr>
          <w:rFonts w:asciiTheme="minorHAnsi" w:eastAsia="Times New Roman" w:hAnsiTheme="minorHAnsi" w:cstheme="minorHAnsi"/>
          <w:b/>
          <w:sz w:val="18"/>
          <w:szCs w:val="18"/>
          <w:lang w:bidi="cs-CZ"/>
        </w:rPr>
        <w:t>Quant</w:t>
      </w:r>
      <w:proofErr w:type="spellEnd"/>
      <w:r w:rsidRPr="00A10A95">
        <w:rPr>
          <w:rFonts w:asciiTheme="minorHAnsi" w:eastAsia="Times New Roman" w:hAnsiTheme="minorHAnsi" w:cstheme="minorHAnsi"/>
          <w:b/>
          <w:sz w:val="18"/>
          <w:szCs w:val="18"/>
          <w:lang w:bidi="cs-CZ"/>
        </w:rPr>
        <w:t xml:space="preserve"> </w:t>
      </w:r>
      <w:r w:rsidRPr="00A10A95">
        <w:rPr>
          <w:rFonts w:asciiTheme="minorHAnsi" w:eastAsia="Times New Roman" w:hAnsiTheme="minorHAnsi" w:cstheme="minorHAnsi"/>
          <w:sz w:val="18"/>
          <w:szCs w:val="18"/>
          <w:lang w:bidi="cs-CZ"/>
        </w:rPr>
        <w:t xml:space="preserve">se dodává v krabici obsahující různé reagencie pro detekci PCV2 v duplexu a IPC. Po převzetí musí být celá souprava skladována při teplotě </w:t>
      </w:r>
      <w:r w:rsidRPr="00A10A95">
        <w:rPr>
          <w:rFonts w:asciiTheme="minorHAnsi" w:eastAsia="Times New Roman" w:hAnsiTheme="minorHAnsi" w:cstheme="minorHAnsi"/>
          <w:b/>
          <w:sz w:val="18"/>
          <w:szCs w:val="18"/>
          <w:lang w:bidi="cs-CZ"/>
        </w:rPr>
        <w:t>-30 °C až -10 °C.</w:t>
      </w:r>
      <w:r w:rsidRPr="00A10A95">
        <w:rPr>
          <w:rFonts w:asciiTheme="minorHAnsi" w:eastAsia="Times New Roman" w:hAnsiTheme="minorHAnsi" w:cstheme="minorHAnsi"/>
          <w:sz w:val="18"/>
          <w:szCs w:val="18"/>
          <w:lang w:bidi="cs-CZ"/>
        </w:rPr>
        <w:t xml:space="preserve"> Po prvním použití složky uložte soupravu podle následujících doporučení: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01"/>
        <w:gridCol w:w="5362"/>
        <w:gridCol w:w="1171"/>
        <w:gridCol w:w="1440"/>
        <w:gridCol w:w="1541"/>
      </w:tblGrid>
      <w:tr w:rsidR="00FD5443" w:rsidRPr="00A10A95" w:rsidTr="00981497">
        <w:trPr>
          <w:trHeight w:val="230"/>
        </w:trPr>
        <w:tc>
          <w:tcPr>
            <w:tcW w:w="1301" w:type="dxa"/>
            <w:vMerge w:val="restart"/>
            <w:tcBorders>
              <w:top w:val="single" w:sz="4" w:space="0" w:color="auto"/>
              <w:left w:val="single" w:sz="4" w:space="0" w:color="auto"/>
            </w:tcBorders>
            <w:shd w:val="clear" w:color="auto" w:fill="D9D9D9" w:themeFill="background1" w:themeFillShade="D9"/>
            <w:vAlign w:val="center"/>
          </w:tcPr>
          <w:p w:rsidR="00FD5443" w:rsidRPr="00A10A95" w:rsidRDefault="00395945" w:rsidP="00981497">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Složka</w:t>
            </w:r>
          </w:p>
        </w:tc>
        <w:tc>
          <w:tcPr>
            <w:tcW w:w="5362" w:type="dxa"/>
            <w:vMerge w:val="restart"/>
            <w:tcBorders>
              <w:top w:val="single" w:sz="4" w:space="0" w:color="auto"/>
              <w:left w:val="single" w:sz="4" w:space="0" w:color="auto"/>
            </w:tcBorders>
            <w:shd w:val="clear" w:color="auto" w:fill="D9D9D9" w:themeFill="background1" w:themeFillShade="D9"/>
            <w:vAlign w:val="center"/>
          </w:tcPr>
          <w:p w:rsidR="00FD5443" w:rsidRPr="00A10A95" w:rsidRDefault="00395945" w:rsidP="00981497">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Popis</w:t>
            </w:r>
          </w:p>
        </w:tc>
        <w:tc>
          <w:tcPr>
            <w:tcW w:w="1171" w:type="dxa"/>
            <w:vMerge w:val="restart"/>
            <w:tcBorders>
              <w:top w:val="single" w:sz="4" w:space="0" w:color="auto"/>
              <w:left w:val="single" w:sz="4" w:space="0" w:color="auto"/>
            </w:tcBorders>
            <w:shd w:val="clear" w:color="auto" w:fill="D9D9D9" w:themeFill="background1" w:themeFillShade="D9"/>
            <w:vAlign w:val="center"/>
          </w:tcPr>
          <w:p w:rsidR="00314B84" w:rsidRPr="00A10A95" w:rsidRDefault="00395945" w:rsidP="00314B84">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Objem</w:t>
            </w:r>
          </w:p>
          <w:p w:rsidR="00FD5443" w:rsidRPr="00A10A95" w:rsidRDefault="00395945" w:rsidP="00314B84">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(100 testů)</w:t>
            </w:r>
          </w:p>
        </w:tc>
        <w:tc>
          <w:tcPr>
            <w:tcW w:w="2981"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981497">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Skladování</w:t>
            </w:r>
          </w:p>
        </w:tc>
      </w:tr>
      <w:tr w:rsidR="00FD5443" w:rsidRPr="00A10A95" w:rsidTr="00981497">
        <w:trPr>
          <w:trHeight w:val="230"/>
        </w:trPr>
        <w:tc>
          <w:tcPr>
            <w:tcW w:w="1301" w:type="dxa"/>
            <w:vMerge/>
            <w:tcBorders>
              <w:left w:val="single" w:sz="4" w:space="0" w:color="auto"/>
            </w:tcBorders>
            <w:shd w:val="clear" w:color="auto" w:fill="D9D9D9" w:themeFill="background1" w:themeFillShade="D9"/>
            <w:vAlign w:val="center"/>
          </w:tcPr>
          <w:p w:rsidR="00FD5443" w:rsidRPr="00A10A95" w:rsidRDefault="00FD5443" w:rsidP="00981497">
            <w:pPr>
              <w:spacing w:line="276" w:lineRule="auto"/>
              <w:jc w:val="center"/>
              <w:rPr>
                <w:rFonts w:asciiTheme="minorHAnsi" w:hAnsiTheme="minorHAnsi" w:cstheme="minorHAnsi"/>
                <w:b/>
                <w:sz w:val="16"/>
                <w:szCs w:val="18"/>
              </w:rPr>
            </w:pPr>
          </w:p>
        </w:tc>
        <w:tc>
          <w:tcPr>
            <w:tcW w:w="5362" w:type="dxa"/>
            <w:vMerge/>
            <w:tcBorders>
              <w:left w:val="single" w:sz="4" w:space="0" w:color="auto"/>
            </w:tcBorders>
            <w:shd w:val="clear" w:color="auto" w:fill="D9D9D9" w:themeFill="background1" w:themeFillShade="D9"/>
            <w:vAlign w:val="center"/>
          </w:tcPr>
          <w:p w:rsidR="00FD5443" w:rsidRPr="00A10A95" w:rsidRDefault="00FD5443" w:rsidP="00981497">
            <w:pPr>
              <w:spacing w:line="276" w:lineRule="auto"/>
              <w:jc w:val="center"/>
              <w:rPr>
                <w:rFonts w:asciiTheme="minorHAnsi" w:hAnsiTheme="minorHAnsi" w:cstheme="minorHAnsi"/>
                <w:b/>
                <w:sz w:val="16"/>
                <w:szCs w:val="18"/>
              </w:rPr>
            </w:pPr>
          </w:p>
        </w:tc>
        <w:tc>
          <w:tcPr>
            <w:tcW w:w="1171" w:type="dxa"/>
            <w:vMerge/>
            <w:tcBorders>
              <w:left w:val="single" w:sz="4" w:space="0" w:color="auto"/>
            </w:tcBorders>
            <w:shd w:val="clear" w:color="auto" w:fill="D9D9D9" w:themeFill="background1" w:themeFillShade="D9"/>
            <w:vAlign w:val="center"/>
          </w:tcPr>
          <w:p w:rsidR="00FD5443" w:rsidRPr="00A10A95" w:rsidRDefault="00FD5443" w:rsidP="00981497">
            <w:pPr>
              <w:spacing w:line="276" w:lineRule="auto"/>
              <w:jc w:val="center"/>
              <w:rPr>
                <w:rFonts w:asciiTheme="minorHAnsi" w:hAnsiTheme="minorHAnsi" w:cstheme="minorHAnsi"/>
                <w:b/>
                <w:sz w:val="16"/>
                <w:szCs w:val="18"/>
              </w:rPr>
            </w:pPr>
          </w:p>
        </w:tc>
        <w:tc>
          <w:tcPr>
            <w:tcW w:w="1440"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981497">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Po obdržení</w:t>
            </w:r>
          </w:p>
        </w:tc>
        <w:tc>
          <w:tcPr>
            <w:tcW w:w="1541"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981497">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Po prvním použití</w:t>
            </w:r>
          </w:p>
        </w:tc>
      </w:tr>
      <w:tr w:rsidR="00FD5443" w:rsidRPr="00A10A95" w:rsidTr="00981497">
        <w:trPr>
          <w:trHeight w:val="1238"/>
        </w:trPr>
        <w:tc>
          <w:tcPr>
            <w:tcW w:w="1301"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3 - Mix</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QPCV2</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(Zelená zkumavka)</w:t>
            </w:r>
          </w:p>
        </w:tc>
        <w:tc>
          <w:tcPr>
            <w:tcW w:w="5362"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 xml:space="preserve">Mix pro </w:t>
            </w:r>
            <w:proofErr w:type="spellStart"/>
            <w:r w:rsidRPr="00A10A95">
              <w:rPr>
                <w:rFonts w:asciiTheme="minorHAnsi" w:eastAsia="Arial Narrow" w:hAnsiTheme="minorHAnsi" w:cstheme="minorHAnsi"/>
                <w:sz w:val="16"/>
                <w:szCs w:val="18"/>
                <w:lang w:bidi="cs-CZ"/>
              </w:rPr>
              <w:t>TaqMan</w:t>
            </w:r>
            <w:proofErr w:type="spellEnd"/>
            <w:r w:rsidRPr="00A10A95">
              <w:rPr>
                <w:rFonts w:asciiTheme="minorHAnsi" w:eastAsia="Arial Narrow" w:hAnsiTheme="minorHAnsi" w:cstheme="minorHAnsi"/>
                <w:sz w:val="16"/>
                <w:szCs w:val="18"/>
                <w:lang w:bidi="cs-CZ"/>
              </w:rPr>
              <w:t xml:space="preserve"> PCR. Obsahuje:</w:t>
            </w:r>
          </w:p>
          <w:p w:rsidR="00FD5443" w:rsidRPr="00A10A95" w:rsidRDefault="00395945" w:rsidP="00981497">
            <w:pPr>
              <w:tabs>
                <w:tab w:val="left" w:pos="344"/>
              </w:tabs>
              <w:spacing w:line="276" w:lineRule="auto"/>
              <w:ind w:left="360" w:hanging="360"/>
              <w:rPr>
                <w:rFonts w:asciiTheme="minorHAnsi" w:hAnsiTheme="minorHAnsi" w:cstheme="minorHAnsi"/>
                <w:sz w:val="16"/>
                <w:szCs w:val="18"/>
              </w:rPr>
            </w:pPr>
            <w:r w:rsidRPr="00A10A95">
              <w:rPr>
                <w:rFonts w:asciiTheme="minorHAnsi" w:eastAsia="Arial Narrow" w:hAnsiTheme="minorHAnsi" w:cstheme="minorHAnsi"/>
                <w:sz w:val="16"/>
                <w:szCs w:val="18"/>
                <w:lang w:bidi="cs-CZ"/>
              </w:rPr>
              <w:t>•</w:t>
            </w:r>
            <w:r w:rsidRPr="00A10A95">
              <w:rPr>
                <w:rFonts w:asciiTheme="minorHAnsi" w:eastAsia="Arial Narrow" w:hAnsiTheme="minorHAnsi" w:cstheme="minorHAnsi"/>
                <w:sz w:val="16"/>
                <w:szCs w:val="18"/>
                <w:lang w:bidi="cs-CZ"/>
              </w:rPr>
              <w:tab/>
              <w:t xml:space="preserve">Detekční systém pro cílovou strukturu PCV2, včetně sondy </w:t>
            </w:r>
            <w:proofErr w:type="spellStart"/>
            <w:r w:rsidRPr="00A10A95">
              <w:rPr>
                <w:rFonts w:asciiTheme="minorHAnsi" w:eastAsia="Arial Narrow" w:hAnsiTheme="minorHAnsi" w:cstheme="minorHAnsi"/>
                <w:sz w:val="16"/>
                <w:szCs w:val="18"/>
                <w:lang w:bidi="cs-CZ"/>
              </w:rPr>
              <w:t>TaqMan</w:t>
            </w:r>
            <w:proofErr w:type="spellEnd"/>
            <w:r w:rsidRPr="00A10A95">
              <w:rPr>
                <w:rFonts w:asciiTheme="minorHAnsi" w:eastAsia="Arial Narrow" w:hAnsiTheme="minorHAnsi" w:cstheme="minorHAnsi"/>
                <w:sz w:val="16"/>
                <w:szCs w:val="18"/>
                <w:lang w:bidi="cs-CZ"/>
              </w:rPr>
              <w:t xml:space="preserve"> nesoucí označení </w:t>
            </w:r>
            <w:proofErr w:type="gramStart"/>
            <w:r w:rsidRPr="00A10A95">
              <w:rPr>
                <w:rFonts w:asciiTheme="minorHAnsi" w:eastAsia="Arial Narrow" w:hAnsiTheme="minorHAnsi" w:cstheme="minorHAnsi"/>
                <w:b/>
                <w:sz w:val="16"/>
                <w:szCs w:val="18"/>
                <w:lang w:bidi="cs-CZ"/>
              </w:rPr>
              <w:t>FAM - NFQ</w:t>
            </w:r>
            <w:proofErr w:type="gramEnd"/>
            <w:r w:rsidRPr="00A10A95">
              <w:rPr>
                <w:rFonts w:asciiTheme="minorHAnsi" w:eastAsia="Arial Narrow" w:hAnsiTheme="minorHAnsi" w:cstheme="minorHAnsi"/>
                <w:sz w:val="16"/>
                <w:szCs w:val="18"/>
                <w:lang w:bidi="cs-CZ"/>
              </w:rPr>
              <w:t xml:space="preserve"> (nefluorescenční zhášeč).</w:t>
            </w:r>
          </w:p>
          <w:p w:rsidR="00FD5443" w:rsidRPr="00A10A95" w:rsidRDefault="00395945" w:rsidP="00981497">
            <w:pPr>
              <w:tabs>
                <w:tab w:val="left" w:pos="344"/>
              </w:tabs>
              <w:spacing w:line="276" w:lineRule="auto"/>
              <w:ind w:left="360" w:hanging="360"/>
              <w:rPr>
                <w:rFonts w:asciiTheme="minorHAnsi" w:hAnsiTheme="minorHAnsi" w:cstheme="minorHAnsi"/>
                <w:sz w:val="16"/>
                <w:szCs w:val="18"/>
              </w:rPr>
            </w:pPr>
            <w:r w:rsidRPr="00A10A95">
              <w:rPr>
                <w:rFonts w:asciiTheme="minorHAnsi" w:eastAsia="Arial Narrow" w:hAnsiTheme="minorHAnsi" w:cstheme="minorHAnsi"/>
                <w:sz w:val="16"/>
                <w:szCs w:val="18"/>
                <w:lang w:bidi="cs-CZ"/>
              </w:rPr>
              <w:t>•</w:t>
            </w:r>
            <w:r w:rsidRPr="00A10A95">
              <w:rPr>
                <w:rFonts w:asciiTheme="minorHAnsi" w:eastAsia="Arial Narrow" w:hAnsiTheme="minorHAnsi" w:cstheme="minorHAnsi"/>
                <w:sz w:val="16"/>
                <w:szCs w:val="18"/>
                <w:lang w:bidi="cs-CZ"/>
              </w:rPr>
              <w:tab/>
              <w:t xml:space="preserve">Detekční systém pro IPC, včetně sondy </w:t>
            </w:r>
            <w:proofErr w:type="spellStart"/>
            <w:r w:rsidRPr="00A10A95">
              <w:rPr>
                <w:rFonts w:asciiTheme="minorHAnsi" w:eastAsia="Arial Narrow" w:hAnsiTheme="minorHAnsi" w:cstheme="minorHAnsi"/>
                <w:sz w:val="16"/>
                <w:szCs w:val="18"/>
                <w:lang w:bidi="cs-CZ"/>
              </w:rPr>
              <w:t>TaqMan</w:t>
            </w:r>
            <w:proofErr w:type="spellEnd"/>
            <w:r w:rsidRPr="00A10A95">
              <w:rPr>
                <w:rFonts w:asciiTheme="minorHAnsi" w:eastAsia="Arial Narrow" w:hAnsiTheme="minorHAnsi" w:cstheme="minorHAnsi"/>
                <w:sz w:val="16"/>
                <w:szCs w:val="18"/>
                <w:lang w:bidi="cs-CZ"/>
              </w:rPr>
              <w:t xml:space="preserve"> nesoucí označení </w:t>
            </w:r>
            <w:proofErr w:type="gramStart"/>
            <w:r w:rsidRPr="00A10A95">
              <w:rPr>
                <w:rFonts w:asciiTheme="minorHAnsi" w:eastAsia="Arial Narrow" w:hAnsiTheme="minorHAnsi" w:cstheme="minorHAnsi"/>
                <w:b/>
                <w:sz w:val="16"/>
                <w:szCs w:val="18"/>
                <w:lang w:bidi="cs-CZ"/>
              </w:rPr>
              <w:t>VIC - TAMRA</w:t>
            </w:r>
            <w:proofErr w:type="gramEnd"/>
            <w:r w:rsidRPr="00A10A95">
              <w:rPr>
                <w:rFonts w:asciiTheme="minorHAnsi" w:eastAsia="Arial Narrow" w:hAnsiTheme="minorHAnsi" w:cstheme="minorHAnsi"/>
                <w:b/>
                <w:sz w:val="16"/>
                <w:szCs w:val="18"/>
                <w:lang w:bidi="cs-CZ"/>
              </w:rPr>
              <w:t>.</w:t>
            </w:r>
          </w:p>
          <w:p w:rsidR="00FD5443" w:rsidRPr="00A10A95" w:rsidRDefault="00395945" w:rsidP="00981497">
            <w:pPr>
              <w:tabs>
                <w:tab w:val="left" w:pos="158"/>
              </w:tabs>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w:t>
            </w:r>
            <w:r w:rsidRPr="00A10A95">
              <w:rPr>
                <w:rFonts w:asciiTheme="minorHAnsi" w:eastAsia="Arial Narrow" w:hAnsiTheme="minorHAnsi" w:cstheme="minorHAnsi"/>
                <w:sz w:val="16"/>
                <w:szCs w:val="18"/>
                <w:lang w:bidi="cs-CZ"/>
              </w:rPr>
              <w:tab/>
              <w:t>Pufr a enzym pro PCR v reálném čase.</w:t>
            </w:r>
          </w:p>
        </w:tc>
        <w:tc>
          <w:tcPr>
            <w:tcW w:w="1171"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2 x 1 000 μl</w:t>
            </w:r>
          </w:p>
        </w:tc>
        <w:tc>
          <w:tcPr>
            <w:tcW w:w="1440"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c>
          <w:tcPr>
            <w:tcW w:w="1541"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r>
      <w:tr w:rsidR="00FD5443" w:rsidRPr="00A10A95" w:rsidTr="00981497">
        <w:trPr>
          <w:trHeight w:val="826"/>
        </w:trPr>
        <w:tc>
          <w:tcPr>
            <w:tcW w:w="1301"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4b - Standard</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PC. QPCV2</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(Hnědá zkumavka)</w:t>
            </w:r>
          </w:p>
        </w:tc>
        <w:tc>
          <w:tcPr>
            <w:tcW w:w="5362"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Kvantifikační standard PCV2:</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DNA z plazmy připravená k naředění pro dosažení standardního kvantifikačního rozsahu. Jeho použití umožňuje dosáhnout absolutní kvantifikace neznámého vzorku.</w:t>
            </w:r>
          </w:p>
        </w:tc>
        <w:tc>
          <w:tcPr>
            <w:tcW w:w="1171"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2 x 50 μl</w:t>
            </w:r>
          </w:p>
        </w:tc>
        <w:tc>
          <w:tcPr>
            <w:tcW w:w="1440" w:type="dxa"/>
            <w:tcBorders>
              <w:top w:val="single" w:sz="4" w:space="0" w:color="auto"/>
              <w:lef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c>
          <w:tcPr>
            <w:tcW w:w="1541"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r>
      <w:tr w:rsidR="00FD5443" w:rsidRPr="00A10A95" w:rsidTr="00981497">
        <w:trPr>
          <w:trHeight w:val="634"/>
        </w:trPr>
        <w:tc>
          <w:tcPr>
            <w:tcW w:w="1301"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5 - IPC</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QPCV2</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(Žlutá zkumavka)</w:t>
            </w:r>
          </w:p>
        </w:tc>
        <w:tc>
          <w:tcPr>
            <w:tcW w:w="5362"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981497">
            <w:pPr>
              <w:spacing w:line="276" w:lineRule="auto"/>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Internal Positive Control (Interní pozitivní kontrola):</w:t>
            </w:r>
          </w:p>
          <w:p w:rsidR="00FD5443" w:rsidRPr="00A10A95" w:rsidRDefault="00395945" w:rsidP="00981497">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Exogenní interní kontrola, která se má přidat ke každému vzorku a ke každé kontrole v lyzačním kroku extrakce.</w:t>
            </w:r>
          </w:p>
        </w:tc>
        <w:tc>
          <w:tcPr>
            <w:tcW w:w="1171"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500 μl</w:t>
            </w:r>
          </w:p>
        </w:tc>
        <w:tc>
          <w:tcPr>
            <w:tcW w:w="1440"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c>
          <w:tcPr>
            <w:tcW w:w="1541"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981497">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 až -10</w:t>
            </w:r>
            <w:r w:rsidR="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lang w:bidi="cs-CZ"/>
              </w:rPr>
              <w:t>°C</w:t>
            </w:r>
          </w:p>
        </w:tc>
      </w:tr>
    </w:tbl>
    <w:p w:rsidR="00FD5443"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b/>
          <w:sz w:val="18"/>
          <w:szCs w:val="18"/>
          <w:lang w:bidi="cs-CZ"/>
        </w:rPr>
        <w:t>POZNÁMKA</w:t>
      </w:r>
      <w:r w:rsidRPr="00A10A95">
        <w:rPr>
          <w:rFonts w:asciiTheme="minorHAnsi" w:eastAsia="Times New Roman" w:hAnsiTheme="minorHAnsi" w:cstheme="minorHAnsi"/>
          <w:sz w:val="18"/>
          <w:szCs w:val="18"/>
          <w:lang w:bidi="cs-CZ"/>
        </w:rPr>
        <w:t xml:space="preserve">: U malých extrakčních sérií se doporučuje rozdělit IPC QPCV2 do alikvotů při prvním použití, aby se zamezilo více než 3 cyklům zmrazování / rozmrazování (v minimálním objemu 50 </w:t>
      </w:r>
      <w:proofErr w:type="spellStart"/>
      <w:r w:rsidRPr="00A10A95">
        <w:rPr>
          <w:rFonts w:asciiTheme="minorHAnsi" w:eastAsia="Times New Roman" w:hAnsiTheme="minorHAnsi" w:cstheme="minorHAnsi"/>
          <w:sz w:val="18"/>
          <w:szCs w:val="18"/>
          <w:lang w:bidi="cs-CZ"/>
        </w:rPr>
        <w:t>μl</w:t>
      </w:r>
      <w:proofErr w:type="spellEnd"/>
      <w:r w:rsidRPr="00A10A95">
        <w:rPr>
          <w:rFonts w:asciiTheme="minorHAnsi" w:eastAsia="Times New Roman" w:hAnsiTheme="minorHAnsi" w:cstheme="minorHAnsi"/>
          <w:sz w:val="18"/>
          <w:szCs w:val="18"/>
          <w:lang w:bidi="cs-CZ"/>
        </w:rPr>
        <w:t>).</w:t>
      </w:r>
    </w:p>
    <w:p w:rsidR="00623CB5" w:rsidRPr="00A10A95" w:rsidRDefault="00623CB5" w:rsidP="00976E86">
      <w:pPr>
        <w:spacing w:line="276" w:lineRule="auto"/>
        <w:rPr>
          <w:rFonts w:asciiTheme="minorHAnsi" w:hAnsiTheme="minorHAnsi" w:cstheme="minorHAnsi"/>
          <w:sz w:val="18"/>
          <w:szCs w:val="18"/>
        </w:rPr>
      </w:pPr>
    </w:p>
    <w:p w:rsidR="00FD5443" w:rsidRPr="00A10A95" w:rsidRDefault="00395945" w:rsidP="00981497">
      <w:pPr>
        <w:spacing w:line="276" w:lineRule="auto"/>
        <w:outlineLvl w:val="3"/>
        <w:rPr>
          <w:rFonts w:asciiTheme="minorHAnsi" w:hAnsiTheme="minorHAnsi" w:cstheme="minorHAnsi"/>
          <w:b/>
          <w:sz w:val="20"/>
          <w:szCs w:val="18"/>
        </w:rPr>
      </w:pPr>
      <w:bookmarkStart w:id="5" w:name="bookmark5"/>
      <w:r w:rsidRPr="00A10A95">
        <w:rPr>
          <w:rFonts w:asciiTheme="minorHAnsi" w:eastAsia="Arial Narrow" w:hAnsiTheme="minorHAnsi" w:cstheme="minorHAnsi"/>
          <w:b/>
          <w:sz w:val="20"/>
          <w:szCs w:val="18"/>
          <w:lang w:bidi="cs-CZ"/>
        </w:rPr>
        <w:t>Extrakční a amplifikační kontroly</w:t>
      </w:r>
      <w:bookmarkEnd w:id="5"/>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 xml:space="preserve">Souprava </w:t>
      </w:r>
      <w:proofErr w:type="spellStart"/>
      <w:r w:rsidRPr="00A10A95">
        <w:rPr>
          <w:rFonts w:asciiTheme="minorHAnsi" w:eastAsia="Times New Roman" w:hAnsiTheme="minorHAnsi" w:cstheme="minorHAnsi"/>
          <w:b/>
          <w:sz w:val="18"/>
          <w:szCs w:val="18"/>
          <w:lang w:bidi="cs-CZ"/>
        </w:rPr>
        <w:t>VetMAX</w:t>
      </w:r>
      <w:proofErr w:type="spellEnd"/>
      <w:r w:rsidRPr="00A10A95">
        <w:rPr>
          <w:rFonts w:asciiTheme="minorHAnsi" w:eastAsia="Times New Roman" w:hAnsiTheme="minorHAnsi" w:cstheme="minorHAnsi"/>
          <w:b/>
          <w:sz w:val="18"/>
          <w:szCs w:val="18"/>
          <w:lang w:bidi="cs-CZ"/>
        </w:rPr>
        <w:t xml:space="preserve"> </w:t>
      </w:r>
      <w:proofErr w:type="spellStart"/>
      <w:r w:rsidRPr="00A10A95">
        <w:rPr>
          <w:rFonts w:asciiTheme="minorHAnsi" w:eastAsia="Times New Roman" w:hAnsiTheme="minorHAnsi" w:cstheme="minorHAnsi"/>
          <w:b/>
          <w:sz w:val="18"/>
          <w:szCs w:val="18"/>
          <w:lang w:bidi="cs-CZ"/>
        </w:rPr>
        <w:t>Porcine</w:t>
      </w:r>
      <w:proofErr w:type="spellEnd"/>
      <w:r w:rsidRPr="00A10A95">
        <w:rPr>
          <w:rFonts w:asciiTheme="minorHAnsi" w:eastAsia="Times New Roman" w:hAnsiTheme="minorHAnsi" w:cstheme="minorHAnsi"/>
          <w:b/>
          <w:sz w:val="18"/>
          <w:szCs w:val="18"/>
          <w:lang w:bidi="cs-CZ"/>
        </w:rPr>
        <w:t xml:space="preserve"> PCV2 </w:t>
      </w:r>
      <w:proofErr w:type="spellStart"/>
      <w:r w:rsidRPr="00A10A95">
        <w:rPr>
          <w:rFonts w:asciiTheme="minorHAnsi" w:eastAsia="Times New Roman" w:hAnsiTheme="minorHAnsi" w:cstheme="minorHAnsi"/>
          <w:b/>
          <w:sz w:val="18"/>
          <w:szCs w:val="18"/>
          <w:lang w:bidi="cs-CZ"/>
        </w:rPr>
        <w:t>Quant</w:t>
      </w:r>
      <w:proofErr w:type="spellEnd"/>
      <w:r w:rsidRPr="00A10A95">
        <w:rPr>
          <w:rFonts w:asciiTheme="minorHAnsi" w:eastAsia="Times New Roman" w:hAnsiTheme="minorHAnsi" w:cstheme="minorHAnsi"/>
          <w:sz w:val="18"/>
          <w:szCs w:val="18"/>
          <w:lang w:bidi="cs-CZ"/>
        </w:rPr>
        <w:t xml:space="preserve"> obsahuje 2 kontroly, které umožňují validovat extrakci a amplifikaci virové DNA:</w:t>
      </w:r>
    </w:p>
    <w:p w:rsidR="00FD5443" w:rsidRPr="00A10A95" w:rsidRDefault="00395945" w:rsidP="00981497">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4b - Standard PC. QPCV2: PCV2 positive control (QPCV2: PCV2 pozitivní kontrola)</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Již extrahovaná</w:t>
      </w:r>
      <w:r w:rsidRPr="00A10A95">
        <w:rPr>
          <w:rFonts w:asciiTheme="minorHAnsi" w:eastAsia="Times New Roman" w:hAnsiTheme="minorHAnsi" w:cstheme="minorHAnsi"/>
          <w:sz w:val="18"/>
          <w:szCs w:val="18"/>
          <w:lang w:bidi="cs-CZ"/>
        </w:rPr>
        <w:t xml:space="preserve"> pozitivní kontrola kvantifikovaná na 1,0 x 10</w:t>
      </w:r>
      <w:r w:rsidRPr="00A10A95">
        <w:rPr>
          <w:rFonts w:asciiTheme="minorHAnsi" w:eastAsia="Times New Roman" w:hAnsiTheme="minorHAnsi" w:cstheme="minorHAnsi"/>
          <w:sz w:val="18"/>
          <w:szCs w:val="18"/>
          <w:vertAlign w:val="superscript"/>
          <w:lang w:bidi="cs-CZ"/>
        </w:rPr>
        <w:t>10</w:t>
      </w:r>
      <w:r w:rsidRPr="00A10A95">
        <w:rPr>
          <w:rFonts w:asciiTheme="minorHAnsi" w:eastAsia="Times New Roman" w:hAnsiTheme="minorHAnsi" w:cstheme="minorHAnsi"/>
          <w:sz w:val="18"/>
          <w:szCs w:val="18"/>
          <w:lang w:bidi="cs-CZ"/>
        </w:rPr>
        <w:t xml:space="preserve"> kopií/ml, pro zředění rozsahu. Naředění standardu rozsahu a následná amplifikace tohoto rozsahu během PCR v reálném čase umožňuje kvantifikaci vzorků. Pro kvalitativní aplikaci amplifikujte pouze koncový bod rozsahu ředění (podle doporučení v protokolu).</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Pozitivní výsledek v rámci specifikovaného rozsahu Ct umožňuje validovat amplifikaci cílové struktury PCV2 pomocí PCR v reálném čase.</w:t>
      </w:r>
    </w:p>
    <w:p w:rsidR="00FD5443" w:rsidRPr="00A10A95" w:rsidRDefault="00395945" w:rsidP="00981497">
      <w:pPr>
        <w:spacing w:line="276" w:lineRule="auto"/>
        <w:outlineLvl w:val="3"/>
        <w:rPr>
          <w:rFonts w:asciiTheme="minorHAnsi" w:hAnsiTheme="minorHAnsi" w:cstheme="minorHAnsi"/>
          <w:b/>
          <w:sz w:val="20"/>
          <w:szCs w:val="18"/>
        </w:rPr>
      </w:pPr>
      <w:bookmarkStart w:id="6" w:name="bookmark6"/>
      <w:r w:rsidRPr="00A10A95">
        <w:rPr>
          <w:rFonts w:asciiTheme="minorHAnsi" w:eastAsia="Arial Narrow" w:hAnsiTheme="minorHAnsi" w:cstheme="minorHAnsi"/>
          <w:b/>
          <w:sz w:val="20"/>
          <w:szCs w:val="18"/>
          <w:lang w:bidi="cs-CZ"/>
        </w:rPr>
        <w:t>5 - IPC QPCV2: internal positive control (interní pozitivní kontrola)</w:t>
      </w:r>
      <w:bookmarkEnd w:id="6"/>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Pozitivní kontrola se </w:t>
      </w:r>
      <w:r w:rsidRPr="00A10A95">
        <w:rPr>
          <w:rFonts w:asciiTheme="minorHAnsi" w:eastAsia="Times New Roman" w:hAnsiTheme="minorHAnsi" w:cstheme="minorHAnsi"/>
          <w:b/>
          <w:sz w:val="18"/>
          <w:szCs w:val="18"/>
          <w:lang w:bidi="cs-CZ"/>
        </w:rPr>
        <w:t>přidává ke každému vzorku v lyzačním kroku</w:t>
      </w:r>
      <w:r w:rsidRPr="00A10A95">
        <w:rPr>
          <w:rFonts w:asciiTheme="minorHAnsi" w:eastAsia="Times New Roman" w:hAnsiTheme="minorHAnsi" w:cstheme="minorHAnsi"/>
          <w:sz w:val="18"/>
          <w:szCs w:val="18"/>
          <w:lang w:bidi="cs-CZ"/>
        </w:rPr>
        <w:t xml:space="preserve"> extrakce nukleové kyseliny.</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Pozitivní výsledek IPC s hodnotou v mezích přijatelného rozsahu Ct u vzorku validuje extrakci tohoto vzorku, ať už pozitivního nebo negativního pro cílový patogen: eliminace falešně negativních výsledků a ověření účinku inhibitoru.</w:t>
      </w:r>
    </w:p>
    <w:p w:rsidR="00314B84" w:rsidRPr="00A10A95" w:rsidRDefault="00314B84">
      <w:pPr>
        <w:rPr>
          <w:rFonts w:asciiTheme="minorHAnsi" w:hAnsiTheme="minorHAnsi" w:cstheme="minorHAnsi"/>
          <w:b/>
          <w:sz w:val="18"/>
          <w:szCs w:val="18"/>
        </w:rPr>
      </w:pPr>
      <w:r w:rsidRPr="00A10A95">
        <w:rPr>
          <w:rFonts w:asciiTheme="minorHAnsi" w:eastAsia="Times New Roman" w:hAnsiTheme="minorHAnsi" w:cstheme="minorHAnsi"/>
          <w:b/>
          <w:sz w:val="18"/>
          <w:szCs w:val="18"/>
          <w:lang w:bidi="cs-CZ"/>
        </w:rPr>
        <w:br w:type="page"/>
      </w:r>
    </w:p>
    <w:p w:rsidR="00FD5443" w:rsidRPr="00A10A95" w:rsidRDefault="00395945" w:rsidP="00976E86">
      <w:pPr>
        <w:spacing w:line="276" w:lineRule="auto"/>
        <w:ind w:left="360" w:hanging="360"/>
        <w:rPr>
          <w:rFonts w:asciiTheme="minorHAnsi" w:hAnsiTheme="minorHAnsi" w:cstheme="minorHAnsi"/>
          <w:b/>
          <w:sz w:val="18"/>
          <w:szCs w:val="18"/>
        </w:rPr>
      </w:pPr>
      <w:r w:rsidRPr="00A10A95">
        <w:rPr>
          <w:rFonts w:asciiTheme="minorHAnsi" w:eastAsia="Times New Roman" w:hAnsiTheme="minorHAnsi" w:cstheme="minorHAnsi"/>
          <w:b/>
          <w:sz w:val="18"/>
          <w:szCs w:val="18"/>
          <w:lang w:bidi="cs-CZ"/>
        </w:rPr>
        <w:lastRenderedPageBreak/>
        <w:t>Pro konfirmaci správné analýzy doporučujeme zahrnout dvě negativní kontroly:</w:t>
      </w:r>
    </w:p>
    <w:p w:rsidR="00FD5443" w:rsidRPr="00A10A95" w:rsidRDefault="00395945" w:rsidP="00976E86">
      <w:pPr>
        <w:spacing w:line="276" w:lineRule="auto"/>
        <w:ind w:left="360" w:hanging="360"/>
        <w:rPr>
          <w:rFonts w:asciiTheme="minorHAnsi" w:hAnsiTheme="minorHAnsi" w:cstheme="minorHAnsi"/>
          <w:b/>
          <w:sz w:val="18"/>
          <w:szCs w:val="18"/>
        </w:rPr>
      </w:pPr>
      <w:bookmarkStart w:id="7" w:name="bookmark7"/>
      <w:r w:rsidRPr="00A10A95">
        <w:rPr>
          <w:rFonts w:asciiTheme="minorHAnsi" w:eastAsia="Arial Narrow" w:hAnsiTheme="minorHAnsi" w:cstheme="minorHAnsi"/>
          <w:b/>
          <w:sz w:val="18"/>
          <w:szCs w:val="18"/>
          <w:lang w:bidi="cs-CZ"/>
        </w:rPr>
        <w:t xml:space="preserve">NCS: negative </w:t>
      </w:r>
      <w:proofErr w:type="spellStart"/>
      <w:r w:rsidRPr="00A10A95">
        <w:rPr>
          <w:rFonts w:asciiTheme="minorHAnsi" w:eastAsia="Arial Narrow" w:hAnsiTheme="minorHAnsi" w:cstheme="minorHAnsi"/>
          <w:b/>
          <w:sz w:val="18"/>
          <w:szCs w:val="18"/>
          <w:lang w:bidi="cs-CZ"/>
        </w:rPr>
        <w:t>control</w:t>
      </w:r>
      <w:proofErr w:type="spellEnd"/>
      <w:r w:rsidRPr="00A10A95">
        <w:rPr>
          <w:rFonts w:asciiTheme="minorHAnsi" w:eastAsia="Arial Narrow" w:hAnsiTheme="minorHAnsi" w:cstheme="minorHAnsi"/>
          <w:b/>
          <w:sz w:val="18"/>
          <w:szCs w:val="18"/>
          <w:lang w:bidi="cs-CZ"/>
        </w:rPr>
        <w:t xml:space="preserve"> sample (NCS: negativní kontrolní vzorek)</w:t>
      </w:r>
      <w:bookmarkEnd w:id="7"/>
    </w:p>
    <w:p w:rsidR="00FD5443" w:rsidRPr="00A10A95" w:rsidRDefault="00395945" w:rsidP="00E9218C">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Tato kontrola je složena z reagencií použitých při extrakci bez přidání vzorku (objem vzorku může být nahrazen pufrem použitým při přípravě vzorku nebo vodou bez DNázy/RNázy), které procházejí stejným zpracováním jako vzorky: extrakcí nukleových kyselin (s přídavkem IPC) a PCR v reálném čase.</w:t>
      </w:r>
      <w:r w:rsidR="00E9218C">
        <w:rPr>
          <w:rFonts w:asciiTheme="minorHAnsi" w:eastAsia="Times New Roman" w:hAnsiTheme="minorHAnsi" w:cstheme="minorHAnsi"/>
          <w:sz w:val="18"/>
          <w:szCs w:val="18"/>
          <w:lang w:bidi="cs-CZ"/>
        </w:rPr>
        <w:t xml:space="preserve"> </w:t>
      </w:r>
      <w:r w:rsidRPr="00A10A95">
        <w:rPr>
          <w:rFonts w:asciiTheme="minorHAnsi" w:eastAsia="Times New Roman" w:hAnsiTheme="minorHAnsi" w:cstheme="minorHAnsi"/>
          <w:sz w:val="18"/>
          <w:szCs w:val="18"/>
          <w:lang w:bidi="cs-CZ"/>
        </w:rPr>
        <w:t>Negativní výsledek pro PCV2 umožňuje validovat nepřítomnost kontaminace během extrakce a PCR v reálném čase.</w:t>
      </w:r>
    </w:p>
    <w:p w:rsidR="00FD5443" w:rsidRPr="00A10A95" w:rsidRDefault="00395945" w:rsidP="00976E86">
      <w:pPr>
        <w:spacing w:line="276" w:lineRule="auto"/>
        <w:ind w:left="360" w:hanging="360"/>
        <w:rPr>
          <w:rFonts w:asciiTheme="minorHAnsi" w:hAnsiTheme="minorHAnsi" w:cstheme="minorHAnsi"/>
          <w:b/>
          <w:sz w:val="18"/>
          <w:szCs w:val="18"/>
        </w:rPr>
      </w:pPr>
      <w:bookmarkStart w:id="8" w:name="bookmark8"/>
      <w:r w:rsidRPr="00A10A95">
        <w:rPr>
          <w:rFonts w:asciiTheme="minorHAnsi" w:eastAsia="Arial Narrow" w:hAnsiTheme="minorHAnsi" w:cstheme="minorHAnsi"/>
          <w:b/>
          <w:sz w:val="18"/>
          <w:szCs w:val="18"/>
          <w:lang w:bidi="cs-CZ"/>
        </w:rPr>
        <w:t>NC: n</w:t>
      </w:r>
      <w:r w:rsidR="005F3247" w:rsidRPr="00A10A95">
        <w:rPr>
          <w:rFonts w:asciiTheme="minorHAnsi" w:eastAsia="Arial Narrow" w:hAnsiTheme="minorHAnsi" w:cstheme="minorHAnsi"/>
          <w:b/>
          <w:sz w:val="18"/>
          <w:szCs w:val="18"/>
          <w:lang w:bidi="cs-CZ"/>
        </w:rPr>
        <w:t>egative amplification control (NC: n</w:t>
      </w:r>
      <w:r w:rsidRPr="00A10A95">
        <w:rPr>
          <w:rFonts w:asciiTheme="minorHAnsi" w:eastAsia="Arial Narrow" w:hAnsiTheme="minorHAnsi" w:cstheme="minorHAnsi"/>
          <w:b/>
          <w:sz w:val="18"/>
          <w:szCs w:val="18"/>
          <w:lang w:bidi="cs-CZ"/>
        </w:rPr>
        <w:t>egativní amplifikační kontrola)</w:t>
      </w:r>
      <w:bookmarkEnd w:id="8"/>
    </w:p>
    <w:p w:rsidR="00FD5443" w:rsidRPr="00A10A95" w:rsidRDefault="00395945" w:rsidP="00E9218C">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Jedná se o amplifikační mix, který se přidává na destičku během přípravy PCR v reálném čase společně s 5 μl vody bez DNázy/RNázy pro doplnění objemu na 25 </w:t>
      </w:r>
      <w:proofErr w:type="spellStart"/>
      <w:r w:rsidRPr="00A10A95">
        <w:rPr>
          <w:rFonts w:asciiTheme="minorHAnsi" w:eastAsia="Times New Roman" w:hAnsiTheme="minorHAnsi" w:cstheme="minorHAnsi"/>
          <w:sz w:val="18"/>
          <w:szCs w:val="18"/>
          <w:lang w:bidi="cs-CZ"/>
        </w:rPr>
        <w:t>μl</w:t>
      </w:r>
      <w:proofErr w:type="spellEnd"/>
      <w:r w:rsidRPr="00A10A95">
        <w:rPr>
          <w:rFonts w:asciiTheme="minorHAnsi" w:eastAsia="Times New Roman" w:hAnsiTheme="minorHAnsi" w:cstheme="minorHAnsi"/>
          <w:sz w:val="18"/>
          <w:szCs w:val="18"/>
          <w:lang w:bidi="cs-CZ"/>
        </w:rPr>
        <w:t>.</w:t>
      </w:r>
      <w:r w:rsidR="00E9218C">
        <w:rPr>
          <w:rFonts w:asciiTheme="minorHAnsi" w:eastAsia="Times New Roman" w:hAnsiTheme="minorHAnsi" w:cstheme="minorHAnsi"/>
          <w:sz w:val="18"/>
          <w:szCs w:val="18"/>
          <w:lang w:bidi="cs-CZ"/>
        </w:rPr>
        <w:t xml:space="preserve"> </w:t>
      </w:r>
      <w:r w:rsidRPr="00A10A95">
        <w:rPr>
          <w:rFonts w:asciiTheme="minorHAnsi" w:eastAsia="Times New Roman" w:hAnsiTheme="minorHAnsi" w:cstheme="minorHAnsi"/>
          <w:sz w:val="18"/>
          <w:szCs w:val="18"/>
          <w:lang w:bidi="cs-CZ"/>
        </w:rPr>
        <w:t>Negativní výsledek pro PCV2 a IPC potvrzuje absenci kontaminace během přípravy PCR reakce v reálném čase.</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B5E0E">
      <w:pPr>
        <w:spacing w:line="276" w:lineRule="auto"/>
        <w:outlineLvl w:val="3"/>
        <w:rPr>
          <w:rFonts w:asciiTheme="minorHAnsi" w:hAnsiTheme="minorHAnsi" w:cstheme="minorHAnsi"/>
          <w:b/>
          <w:sz w:val="20"/>
          <w:szCs w:val="18"/>
        </w:rPr>
      </w:pPr>
      <w:bookmarkStart w:id="9" w:name="bookmark9"/>
      <w:r w:rsidRPr="00A10A95">
        <w:rPr>
          <w:rFonts w:asciiTheme="minorHAnsi" w:eastAsia="Arial Narrow" w:hAnsiTheme="minorHAnsi" w:cstheme="minorHAnsi"/>
          <w:b/>
          <w:sz w:val="20"/>
          <w:szCs w:val="18"/>
          <w:lang w:bidi="cs-CZ"/>
        </w:rPr>
        <w:t>Požadované materiály, které nejsou součástí dodávky</w:t>
      </w:r>
      <w:bookmarkEnd w:id="9"/>
    </w:p>
    <w:p w:rsidR="00FD5443" w:rsidRPr="00A10A95" w:rsidRDefault="00395945" w:rsidP="00976E86">
      <w:pPr>
        <w:spacing w:line="276" w:lineRule="auto"/>
        <w:ind w:left="360" w:hanging="360"/>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Pokud není uvedeno jinak, jsou všechny materiály k dispozici na stránce </w:t>
      </w:r>
      <w:r w:rsidRPr="00A10A95">
        <w:rPr>
          <w:rFonts w:asciiTheme="minorHAnsi" w:eastAsia="Times New Roman" w:hAnsiTheme="minorHAnsi" w:cstheme="minorHAnsi"/>
          <w:b/>
          <w:sz w:val="18"/>
          <w:szCs w:val="18"/>
          <w:lang w:bidi="cs-CZ"/>
        </w:rPr>
        <w:t>thermofisher.com</w:t>
      </w:r>
      <w:r w:rsidRPr="00A10A95">
        <w:rPr>
          <w:rFonts w:asciiTheme="minorHAnsi" w:eastAsia="Times New Roman" w:hAnsiTheme="minorHAnsi" w:cstheme="minorHAnsi"/>
          <w:sz w:val="18"/>
          <w:szCs w:val="18"/>
          <w:lang w:bidi="cs-CZ"/>
        </w:rPr>
        <w:t>.</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Vysoce přesné mikropipety (rozmezí od 1 μl do 1000 μl) s filtrovanými špičkami</w:t>
      </w:r>
      <w:r w:rsidRPr="00A10A95">
        <w:rPr>
          <w:rFonts w:asciiTheme="minorHAnsi" w:eastAsia="Times New Roman" w:hAnsiTheme="minorHAnsi" w:cstheme="minorHAnsi"/>
          <w:b/>
          <w:sz w:val="18"/>
          <w:szCs w:val="18"/>
          <w:lang w:bidi="cs-CZ"/>
        </w:rPr>
        <w:t xml:space="preserve"> </w:t>
      </w:r>
      <w:r w:rsidRPr="00A10A95">
        <w:rPr>
          <w:rFonts w:asciiTheme="minorHAnsi" w:eastAsia="Times New Roman" w:hAnsiTheme="minorHAnsi" w:cstheme="minorHAnsi"/>
          <w:sz w:val="18"/>
          <w:szCs w:val="18"/>
          <w:lang w:bidi="cs-CZ"/>
        </w:rPr>
        <w:t>bez DNázy/RNázy.</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DNase/RNase-free water (Voda bez DNázy/RNázy)</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1X TE pufr</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1X PBS pufr</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Termocykler pro PCR v reálném čase schopný detekovat následující fluorofory:</w:t>
      </w:r>
    </w:p>
    <w:p w:rsidR="00FD5443" w:rsidRPr="00A10A95" w:rsidRDefault="00395945" w:rsidP="008B5E0E">
      <w:pPr>
        <w:pStyle w:val="Odstavecseseznamem"/>
        <w:numPr>
          <w:ilvl w:val="1"/>
          <w:numId w:val="4"/>
        </w:numPr>
        <w:spacing w:line="276" w:lineRule="auto"/>
        <w:ind w:left="709" w:hanging="425"/>
        <w:rPr>
          <w:rFonts w:asciiTheme="minorHAnsi" w:hAnsiTheme="minorHAnsi" w:cstheme="minorHAnsi"/>
          <w:sz w:val="18"/>
          <w:szCs w:val="18"/>
        </w:rPr>
      </w:pPr>
      <w:r w:rsidRPr="00A10A95">
        <w:rPr>
          <w:rFonts w:asciiTheme="minorHAnsi" w:eastAsia="Times New Roman" w:hAnsiTheme="minorHAnsi" w:cstheme="minorHAnsi"/>
          <w:sz w:val="18"/>
          <w:szCs w:val="18"/>
          <w:lang w:bidi="cs-CZ"/>
        </w:rPr>
        <w:t>FAM (maximální emise: A515 nm)</w:t>
      </w:r>
    </w:p>
    <w:p w:rsidR="00FD5443" w:rsidRPr="00A10A95" w:rsidRDefault="00395945" w:rsidP="008B5E0E">
      <w:pPr>
        <w:pStyle w:val="Odstavecseseznamem"/>
        <w:numPr>
          <w:ilvl w:val="1"/>
          <w:numId w:val="4"/>
        </w:numPr>
        <w:spacing w:line="276" w:lineRule="auto"/>
        <w:ind w:left="709" w:hanging="425"/>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VIC (maximální emise: λ554 nm)</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Spotřební materiál potřebné optické kvality kompatibilní s termocyklerem: 96-jamkové PCR destičky, PCR stripy (8 nebo 12 jamek), mikrozkumavky nebo kapiláry; vhodné kryty destiček nebo víčka pro zakrytí</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B5E0E">
      <w:pPr>
        <w:spacing w:line="276" w:lineRule="auto"/>
        <w:outlineLvl w:val="2"/>
        <w:rPr>
          <w:rFonts w:asciiTheme="minorHAnsi" w:hAnsiTheme="minorHAnsi" w:cstheme="minorHAnsi"/>
          <w:b/>
          <w:szCs w:val="18"/>
        </w:rPr>
      </w:pPr>
      <w:bookmarkStart w:id="10" w:name="bookmark10"/>
      <w:r w:rsidRPr="00A10A95">
        <w:rPr>
          <w:rFonts w:asciiTheme="minorHAnsi" w:eastAsia="Arial Narrow" w:hAnsiTheme="minorHAnsi" w:cstheme="minorHAnsi"/>
          <w:b/>
          <w:sz w:val="18"/>
          <w:szCs w:val="18"/>
          <w:lang w:bidi="cs-CZ"/>
        </w:rPr>
        <w:t>Postup analýzy</w:t>
      </w:r>
      <w:bookmarkEnd w:id="10"/>
    </w:p>
    <w:p w:rsidR="00FD5443" w:rsidRPr="00A10A95" w:rsidRDefault="00395945" w:rsidP="00976E86">
      <w:pPr>
        <w:spacing w:line="276" w:lineRule="auto"/>
        <w:ind w:left="360" w:hanging="360"/>
        <w:rPr>
          <w:rFonts w:asciiTheme="minorHAnsi" w:hAnsiTheme="minorHAnsi" w:cstheme="minorHAnsi"/>
          <w:sz w:val="18"/>
          <w:szCs w:val="18"/>
        </w:rPr>
      </w:pPr>
      <w:r w:rsidRPr="00A10A95">
        <w:rPr>
          <w:rFonts w:asciiTheme="minorHAnsi" w:eastAsia="Times New Roman" w:hAnsiTheme="minorHAnsi" w:cstheme="minorHAnsi"/>
          <w:sz w:val="18"/>
          <w:szCs w:val="18"/>
          <w:lang w:bidi="cs-CZ"/>
        </w:rPr>
        <w:t>Reakční objem PCR v reálném čase je 25 μl:</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3 - Mix QPCV2</w:t>
      </w:r>
      <w:r w:rsidRPr="00A10A95">
        <w:rPr>
          <w:rFonts w:asciiTheme="minorHAnsi" w:eastAsia="Times New Roman" w:hAnsiTheme="minorHAnsi" w:cstheme="minorHAnsi"/>
          <w:sz w:val="18"/>
          <w:szCs w:val="18"/>
          <w:lang w:bidi="cs-CZ"/>
        </w:rPr>
        <w:t>: 20 μl na analýzu</w:t>
      </w:r>
    </w:p>
    <w:p w:rsidR="00FD5443" w:rsidRPr="00A10A95" w:rsidRDefault="00395945" w:rsidP="008B5E0E">
      <w:pPr>
        <w:pStyle w:val="Odstavecseseznamem"/>
        <w:numPr>
          <w:ilvl w:val="0"/>
          <w:numId w:val="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Extrahovaná DNA</w:t>
      </w:r>
      <w:r w:rsidRPr="00A10A95">
        <w:rPr>
          <w:rFonts w:asciiTheme="minorHAnsi" w:eastAsia="Times New Roman" w:hAnsiTheme="minorHAnsi" w:cstheme="minorHAnsi"/>
          <w:sz w:val="18"/>
          <w:szCs w:val="18"/>
          <w:lang w:bidi="cs-CZ"/>
        </w:rPr>
        <w:t>: 5 μl na analýzu</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B5E0E">
      <w:pPr>
        <w:spacing w:line="276" w:lineRule="auto"/>
        <w:outlineLvl w:val="3"/>
        <w:rPr>
          <w:rFonts w:asciiTheme="minorHAnsi" w:hAnsiTheme="minorHAnsi" w:cstheme="minorHAnsi"/>
          <w:b/>
          <w:sz w:val="20"/>
          <w:szCs w:val="18"/>
        </w:rPr>
      </w:pPr>
      <w:bookmarkStart w:id="11" w:name="bookmark11"/>
      <w:r w:rsidRPr="00A10A95">
        <w:rPr>
          <w:rFonts w:asciiTheme="minorHAnsi" w:eastAsia="Arial Narrow" w:hAnsiTheme="minorHAnsi" w:cstheme="minorHAnsi"/>
          <w:b/>
          <w:sz w:val="20"/>
          <w:szCs w:val="18"/>
          <w:lang w:bidi="cs-CZ"/>
        </w:rPr>
        <w:t>Extrakce virové DNA</w:t>
      </w:r>
      <w:bookmarkEnd w:id="11"/>
    </w:p>
    <w:p w:rsidR="00FD5443" w:rsidRPr="00A10A95" w:rsidRDefault="00395945" w:rsidP="00976E86">
      <w:pPr>
        <w:spacing w:line="276" w:lineRule="auto"/>
        <w:ind w:left="360" w:hanging="360"/>
        <w:rPr>
          <w:rFonts w:asciiTheme="minorHAnsi" w:hAnsiTheme="minorHAnsi" w:cstheme="minorHAnsi"/>
          <w:sz w:val="18"/>
          <w:szCs w:val="18"/>
        </w:rPr>
      </w:pPr>
      <w:r w:rsidRPr="00A10A95">
        <w:rPr>
          <w:rFonts w:asciiTheme="minorHAnsi" w:eastAsia="Times New Roman" w:hAnsiTheme="minorHAnsi" w:cstheme="minorHAnsi"/>
          <w:sz w:val="18"/>
          <w:szCs w:val="18"/>
          <w:lang w:bidi="cs-CZ"/>
        </w:rPr>
        <w:t>DNA musí být izolována ze vzorků pro analýzu PCR v reálném čase.</w:t>
      </w:r>
    </w:p>
    <w:p w:rsidR="00FD5443" w:rsidRPr="00A10A95" w:rsidRDefault="00395945" w:rsidP="00976E86">
      <w:pPr>
        <w:spacing w:line="276" w:lineRule="auto"/>
        <w:ind w:left="360" w:hanging="360"/>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Přidejte </w:t>
      </w:r>
      <w:r w:rsidRPr="00A10A95">
        <w:rPr>
          <w:rFonts w:asciiTheme="minorHAnsi" w:eastAsia="Times New Roman" w:hAnsiTheme="minorHAnsi" w:cstheme="minorHAnsi"/>
          <w:b/>
          <w:sz w:val="18"/>
          <w:szCs w:val="18"/>
          <w:lang w:bidi="cs-CZ"/>
        </w:rPr>
        <w:t>5 μl</w:t>
      </w:r>
      <w:r w:rsidRPr="00A10A95">
        <w:rPr>
          <w:rFonts w:asciiTheme="minorHAnsi" w:eastAsia="Times New Roman" w:hAnsiTheme="minorHAnsi" w:cstheme="minorHAnsi"/>
          <w:sz w:val="18"/>
          <w:szCs w:val="18"/>
          <w:lang w:bidi="cs-CZ"/>
        </w:rPr>
        <w:t xml:space="preserve"> reagencie 5 - </w:t>
      </w:r>
      <w:r w:rsidRPr="00A10A95">
        <w:rPr>
          <w:rFonts w:asciiTheme="minorHAnsi" w:eastAsia="Times New Roman" w:hAnsiTheme="minorHAnsi" w:cstheme="minorHAnsi"/>
          <w:b/>
          <w:sz w:val="18"/>
          <w:szCs w:val="18"/>
          <w:lang w:bidi="cs-CZ"/>
        </w:rPr>
        <w:t>IPC QPCV2</w:t>
      </w:r>
      <w:r w:rsidRPr="00A10A95">
        <w:rPr>
          <w:rFonts w:asciiTheme="minorHAnsi" w:eastAsia="Times New Roman" w:hAnsiTheme="minorHAnsi" w:cstheme="minorHAnsi"/>
          <w:sz w:val="18"/>
          <w:szCs w:val="18"/>
          <w:lang w:bidi="cs-CZ"/>
        </w:rPr>
        <w:t xml:space="preserve"> ke každému vzorku, který má být extrahován, a do NCS, v lyzačním kroku extrakce nukleové kyseliny.</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b/>
          <w:sz w:val="18"/>
          <w:szCs w:val="18"/>
          <w:lang w:bidi="cs-CZ"/>
        </w:rPr>
        <w:t>POZNÁMKA</w:t>
      </w:r>
      <w:r w:rsidRPr="00A10A95">
        <w:rPr>
          <w:rFonts w:asciiTheme="minorHAnsi" w:eastAsia="Times New Roman" w:hAnsiTheme="minorHAnsi" w:cstheme="minorHAnsi"/>
          <w:sz w:val="18"/>
          <w:szCs w:val="18"/>
          <w:lang w:bidi="cs-CZ"/>
        </w:rPr>
        <w:t xml:space="preserve">: Pro informace o metodách extrakce, které jsou kompatibilní se soupravou </w:t>
      </w:r>
      <w:proofErr w:type="spellStart"/>
      <w:r w:rsidRPr="00A10A95">
        <w:rPr>
          <w:rFonts w:asciiTheme="minorHAnsi" w:eastAsia="Times New Roman" w:hAnsiTheme="minorHAnsi" w:cstheme="minorHAnsi"/>
          <w:sz w:val="18"/>
          <w:szCs w:val="18"/>
          <w:lang w:bidi="cs-CZ"/>
        </w:rPr>
        <w:t>VetMAX</w:t>
      </w:r>
      <w:proofErr w:type="spellEnd"/>
      <w:r w:rsidRPr="00A10A95">
        <w:rPr>
          <w:rFonts w:asciiTheme="minorHAnsi" w:eastAsia="Times New Roman" w:hAnsiTheme="minorHAnsi" w:cstheme="minorHAnsi"/>
          <w:sz w:val="18"/>
          <w:szCs w:val="18"/>
          <w:lang w:bidi="cs-CZ"/>
        </w:rPr>
        <w:t xml:space="preserve"> </w:t>
      </w:r>
      <w:proofErr w:type="spellStart"/>
      <w:r w:rsidRPr="00A10A95">
        <w:rPr>
          <w:rFonts w:asciiTheme="minorHAnsi" w:eastAsia="Times New Roman" w:hAnsiTheme="minorHAnsi" w:cstheme="minorHAnsi"/>
          <w:sz w:val="18"/>
          <w:szCs w:val="18"/>
          <w:lang w:bidi="cs-CZ"/>
        </w:rPr>
        <w:t>Porcine</w:t>
      </w:r>
      <w:proofErr w:type="spellEnd"/>
      <w:r w:rsidRPr="00A10A95">
        <w:rPr>
          <w:rFonts w:asciiTheme="minorHAnsi" w:eastAsia="Times New Roman" w:hAnsiTheme="minorHAnsi" w:cstheme="minorHAnsi"/>
          <w:sz w:val="18"/>
          <w:szCs w:val="18"/>
          <w:lang w:bidi="cs-CZ"/>
        </w:rPr>
        <w:t xml:space="preserve"> PCV2 </w:t>
      </w:r>
      <w:proofErr w:type="spellStart"/>
      <w:r w:rsidRPr="00A10A95">
        <w:rPr>
          <w:rFonts w:asciiTheme="minorHAnsi" w:eastAsia="Times New Roman" w:hAnsiTheme="minorHAnsi" w:cstheme="minorHAnsi"/>
          <w:sz w:val="18"/>
          <w:szCs w:val="18"/>
          <w:lang w:bidi="cs-CZ"/>
        </w:rPr>
        <w:t>Quant</w:t>
      </w:r>
      <w:proofErr w:type="spellEnd"/>
      <w:r w:rsidRPr="00A10A95">
        <w:rPr>
          <w:rFonts w:asciiTheme="minorHAnsi" w:eastAsia="Times New Roman" w:hAnsiTheme="minorHAnsi" w:cstheme="minorHAnsi"/>
          <w:sz w:val="18"/>
          <w:szCs w:val="18"/>
          <w:lang w:bidi="cs-CZ"/>
        </w:rPr>
        <w:t xml:space="preserve"> a které jsou pro ni validovány, kontaktujte naše pracoviště na adrese </w:t>
      </w:r>
      <w:r w:rsidRPr="00A10A95">
        <w:rPr>
          <w:rFonts w:asciiTheme="minorHAnsi" w:eastAsia="Times New Roman" w:hAnsiTheme="minorHAnsi" w:cstheme="minorHAnsi"/>
          <w:b/>
          <w:sz w:val="18"/>
          <w:szCs w:val="18"/>
          <w:lang w:bidi="cs-CZ"/>
        </w:rPr>
        <w:t>thermofisher.com/askaquestion</w:t>
      </w:r>
      <w:r w:rsidRPr="00A10A95">
        <w:rPr>
          <w:rFonts w:asciiTheme="minorHAnsi" w:eastAsia="Times New Roman" w:hAnsiTheme="minorHAnsi" w:cstheme="minorHAnsi"/>
          <w:sz w:val="18"/>
          <w:szCs w:val="18"/>
          <w:lang w:bidi="cs-CZ"/>
        </w:rPr>
        <w:t>.</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B5E0E">
      <w:pPr>
        <w:spacing w:line="276" w:lineRule="auto"/>
        <w:outlineLvl w:val="3"/>
        <w:rPr>
          <w:rFonts w:asciiTheme="minorHAnsi" w:hAnsiTheme="minorHAnsi" w:cstheme="minorHAnsi"/>
          <w:b/>
          <w:sz w:val="20"/>
          <w:szCs w:val="18"/>
        </w:rPr>
      </w:pPr>
      <w:bookmarkStart w:id="12" w:name="bookmark12"/>
      <w:r w:rsidRPr="00A10A95">
        <w:rPr>
          <w:rFonts w:asciiTheme="minorHAnsi" w:eastAsia="Arial Narrow" w:hAnsiTheme="minorHAnsi" w:cstheme="minorHAnsi"/>
          <w:b/>
          <w:sz w:val="20"/>
          <w:szCs w:val="18"/>
          <w:lang w:bidi="cs-CZ"/>
        </w:rPr>
        <w:t>Příprava standardní křivky</w:t>
      </w:r>
      <w:bookmarkEnd w:id="12"/>
    </w:p>
    <w:p w:rsidR="00FD5443" w:rsidRPr="00A10A95" w:rsidRDefault="00395945" w:rsidP="00976E86">
      <w:pPr>
        <w:spacing w:line="276" w:lineRule="auto"/>
        <w:ind w:left="360" w:hanging="360"/>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Při provádění tohoto kroku přijměte příslušná bezpečnostní opatření, aby nedošlo ke kontaminaci PCR 3 v reálném čase - Mixu QPCV2.</w:t>
      </w:r>
    </w:p>
    <w:p w:rsidR="00FD5443" w:rsidRPr="00A10A95" w:rsidRDefault="00395945" w:rsidP="008B5E0E">
      <w:pPr>
        <w:pStyle w:val="Odstavecseseznamem"/>
        <w:numPr>
          <w:ilvl w:val="0"/>
          <w:numId w:val="2"/>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Sériově nařeďte DNA ze </w:t>
      </w:r>
      <w:r w:rsidRPr="00A10A95">
        <w:rPr>
          <w:rFonts w:asciiTheme="minorHAnsi" w:eastAsia="Times New Roman" w:hAnsiTheme="minorHAnsi" w:cstheme="minorHAnsi"/>
          <w:b/>
          <w:sz w:val="18"/>
          <w:szCs w:val="18"/>
          <w:lang w:bidi="cs-CZ"/>
        </w:rPr>
        <w:t>4b - Standard PC. QPCV2</w:t>
      </w:r>
      <w:r w:rsidRPr="00A10A95">
        <w:rPr>
          <w:rFonts w:asciiTheme="minorHAnsi" w:eastAsia="Times New Roman" w:hAnsiTheme="minorHAnsi" w:cstheme="minorHAnsi"/>
          <w:sz w:val="18"/>
          <w:szCs w:val="18"/>
          <w:lang w:bidi="cs-CZ"/>
        </w:rPr>
        <w:t xml:space="preserve"> na 1 : 10, přednostně v 1X TE pufru pro lepší skladování (nebo s vodou bez DNázy / RNázy) pro vytvoření 7 bodů dosahu na standardní křivce: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98"/>
        <w:gridCol w:w="1912"/>
        <w:gridCol w:w="4664"/>
      </w:tblGrid>
      <w:tr w:rsidR="008B5E0E" w:rsidRPr="00A10A95" w:rsidTr="00540A31">
        <w:trPr>
          <w:trHeight w:val="57"/>
        </w:trPr>
        <w:tc>
          <w:tcPr>
            <w:tcW w:w="3898" w:type="dxa"/>
            <w:tcBorders>
              <w:top w:val="single" w:sz="4" w:space="0" w:color="auto"/>
              <w:left w:val="single" w:sz="4" w:space="0" w:color="auto"/>
              <w:bottom w:val="single" w:sz="4" w:space="0" w:color="auto"/>
            </w:tcBorders>
            <w:shd w:val="clear" w:color="auto" w:fill="D9D9D9" w:themeFill="background1" w:themeFillShade="D9"/>
            <w:vAlign w:val="center"/>
          </w:tcPr>
          <w:p w:rsidR="008B5E0E" w:rsidRPr="00A10A95" w:rsidRDefault="008B5E0E"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Bod dosahu</w:t>
            </w:r>
          </w:p>
        </w:tc>
        <w:tc>
          <w:tcPr>
            <w:tcW w:w="1912" w:type="dxa"/>
            <w:tcBorders>
              <w:top w:val="single" w:sz="4" w:space="0" w:color="auto"/>
              <w:left w:val="single" w:sz="4" w:space="0" w:color="auto"/>
              <w:bottom w:val="single" w:sz="4" w:space="0" w:color="auto"/>
            </w:tcBorders>
            <w:shd w:val="clear" w:color="auto" w:fill="D9D9D9" w:themeFill="background1" w:themeFillShade="D9"/>
            <w:vAlign w:val="center"/>
          </w:tcPr>
          <w:p w:rsidR="008B5E0E" w:rsidRPr="00A10A95" w:rsidRDefault="008B5E0E"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Koncentrace</w:t>
            </w:r>
          </w:p>
        </w:tc>
        <w:tc>
          <w:tcPr>
            <w:tcW w:w="4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B5E0E" w:rsidRPr="00A10A95" w:rsidRDefault="008B5E0E"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Nastavení bodů dosahu</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1 (Standard PC. QPCV2)</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10</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4b - Standard PC. QPCV2</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Body 2 (Standard PC. QPCV2 10</w:t>
            </w: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9</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 xml:space="preserve">10 μl </w:t>
            </w:r>
            <w:r w:rsidRPr="00A10A95">
              <w:rPr>
                <w:rFonts w:asciiTheme="minorHAnsi" w:eastAsia="Arial Narrow" w:hAnsiTheme="minorHAnsi" w:cstheme="minorHAnsi"/>
                <w:b/>
                <w:sz w:val="16"/>
                <w:szCs w:val="18"/>
                <w:lang w:bidi="cs-CZ"/>
              </w:rPr>
              <w:t>4b - Standard PC. QPCV2</w:t>
            </w:r>
            <w:r w:rsidRPr="00A10A95">
              <w:rPr>
                <w:rFonts w:asciiTheme="minorHAnsi" w:eastAsia="Arial Narrow" w:hAnsiTheme="minorHAnsi" w:cstheme="minorHAnsi"/>
                <w:sz w:val="16"/>
                <w:szCs w:val="18"/>
                <w:lang w:bidi="cs-CZ"/>
              </w:rPr>
              <w:t xml:space="preserve"> + 90 μl 1X TE</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3 (Standard PC. QPCV2 10</w:t>
            </w:r>
            <w:r w:rsidRPr="00A10A95">
              <w:rPr>
                <w:rFonts w:asciiTheme="minorHAnsi" w:eastAsia="Arial Narrow" w:hAnsiTheme="minorHAnsi" w:cstheme="minorHAnsi"/>
                <w:sz w:val="16"/>
                <w:szCs w:val="18"/>
                <w:vertAlign w:val="superscript"/>
                <w:lang w:bidi="cs-CZ"/>
              </w:rPr>
              <w:t>-2</w:t>
            </w:r>
            <w:r w:rsidRPr="00A10A95">
              <w:rPr>
                <w:rFonts w:asciiTheme="minorHAnsi" w:eastAsia="Arial Narrow" w:hAnsiTheme="minorHAnsi" w:cstheme="minorHAnsi"/>
                <w:sz w:val="16"/>
                <w:szCs w:val="18"/>
                <w:lang w:bidi="cs-CZ"/>
              </w:rPr>
              <w:t>)</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8</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μl Standard PC. QPCV2 10</w:t>
            </w: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+ 90 μl 1X TE</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4 (Standard PC. QPCV2 10</w:t>
            </w:r>
            <w:r w:rsidRPr="00A10A95">
              <w:rPr>
                <w:rFonts w:asciiTheme="minorHAnsi" w:eastAsia="Arial Narrow" w:hAnsiTheme="minorHAnsi" w:cstheme="minorHAnsi"/>
                <w:sz w:val="16"/>
                <w:szCs w:val="18"/>
                <w:vertAlign w:val="superscript"/>
                <w:lang w:bidi="cs-CZ"/>
              </w:rPr>
              <w:t>-3</w:t>
            </w:r>
            <w:r w:rsidRPr="00A10A95">
              <w:rPr>
                <w:rFonts w:asciiTheme="minorHAnsi" w:eastAsia="Arial Narrow" w:hAnsiTheme="minorHAnsi" w:cstheme="minorHAnsi"/>
                <w:sz w:val="16"/>
                <w:szCs w:val="18"/>
                <w:lang w:bidi="cs-CZ"/>
              </w:rPr>
              <w:t>)</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7</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μl Standard PC. QPCV2 10</w:t>
            </w:r>
            <w:r w:rsidRPr="00A10A95">
              <w:rPr>
                <w:rFonts w:asciiTheme="minorHAnsi" w:eastAsia="Arial Narrow" w:hAnsiTheme="minorHAnsi" w:cstheme="minorHAnsi"/>
                <w:sz w:val="16"/>
                <w:szCs w:val="18"/>
                <w:vertAlign w:val="superscript"/>
                <w:lang w:bidi="cs-CZ"/>
              </w:rPr>
              <w:t>-2</w:t>
            </w:r>
            <w:r w:rsidRPr="00A10A95">
              <w:rPr>
                <w:rFonts w:asciiTheme="minorHAnsi" w:eastAsia="Arial Narrow" w:hAnsiTheme="minorHAnsi" w:cstheme="minorHAnsi"/>
                <w:sz w:val="16"/>
                <w:szCs w:val="18"/>
                <w:lang w:bidi="cs-CZ"/>
              </w:rPr>
              <w:t xml:space="preserve"> + 90 μl 1X TE</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5 (Standard PC. QPCV2 10</w:t>
            </w:r>
            <w:r w:rsidRPr="00A10A95">
              <w:rPr>
                <w:rFonts w:asciiTheme="minorHAnsi" w:eastAsia="Arial Narrow" w:hAnsiTheme="minorHAnsi" w:cstheme="minorHAnsi"/>
                <w:sz w:val="16"/>
                <w:szCs w:val="18"/>
                <w:vertAlign w:val="superscript"/>
                <w:lang w:bidi="cs-CZ"/>
              </w:rPr>
              <w:t>-4</w:t>
            </w:r>
            <w:r w:rsidRPr="00A10A95">
              <w:rPr>
                <w:rFonts w:asciiTheme="minorHAnsi" w:eastAsia="Arial Narrow" w:hAnsiTheme="minorHAnsi" w:cstheme="minorHAnsi"/>
                <w:sz w:val="16"/>
                <w:szCs w:val="18"/>
                <w:lang w:bidi="cs-CZ"/>
              </w:rPr>
              <w:t>) = PC QPCV2</w:t>
            </w:r>
            <w:r w:rsidRPr="00A10A95">
              <w:rPr>
                <w:rFonts w:asciiTheme="minorHAnsi" w:eastAsia="Arial Narrow" w:hAnsiTheme="minorHAnsi" w:cstheme="minorHAnsi"/>
                <w:sz w:val="16"/>
                <w:szCs w:val="18"/>
                <w:vertAlign w:val="superscript"/>
                <w:lang w:bidi="cs-CZ"/>
              </w:rPr>
              <w:t>(1)</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6</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μl Standard PC. QPCV2 10</w:t>
            </w:r>
            <w:r w:rsidRPr="00A10A95">
              <w:rPr>
                <w:rFonts w:asciiTheme="minorHAnsi" w:eastAsia="Arial Narrow" w:hAnsiTheme="minorHAnsi" w:cstheme="minorHAnsi"/>
                <w:sz w:val="16"/>
                <w:szCs w:val="18"/>
                <w:vertAlign w:val="superscript"/>
                <w:lang w:bidi="cs-CZ"/>
              </w:rPr>
              <w:t>-3</w:t>
            </w:r>
            <w:r w:rsidRPr="00A10A95">
              <w:rPr>
                <w:rFonts w:asciiTheme="minorHAnsi" w:eastAsia="Arial Narrow" w:hAnsiTheme="minorHAnsi" w:cstheme="minorHAnsi"/>
                <w:sz w:val="16"/>
                <w:szCs w:val="18"/>
                <w:lang w:bidi="cs-CZ"/>
              </w:rPr>
              <w:t xml:space="preserve"> + 90 μl 1X TE</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6 (Standard PC. QPCV2 10</w:t>
            </w:r>
            <w:r w:rsidRPr="00A10A95">
              <w:rPr>
                <w:rFonts w:asciiTheme="minorHAnsi" w:eastAsia="Arial Narrow" w:hAnsiTheme="minorHAnsi" w:cstheme="minorHAnsi"/>
                <w:sz w:val="16"/>
                <w:szCs w:val="18"/>
                <w:vertAlign w:val="superscript"/>
                <w:lang w:bidi="cs-CZ"/>
              </w:rPr>
              <w:t>-5</w:t>
            </w:r>
            <w:r w:rsidRPr="00A10A95">
              <w:rPr>
                <w:rFonts w:asciiTheme="minorHAnsi" w:eastAsia="Arial Narrow" w:hAnsiTheme="minorHAnsi" w:cstheme="minorHAnsi"/>
                <w:sz w:val="16"/>
                <w:szCs w:val="18"/>
                <w:lang w:bidi="cs-CZ"/>
              </w:rPr>
              <w:t>)</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5</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μl Standard PC. QPCV2 10</w:t>
            </w:r>
            <w:r w:rsidRPr="00A10A95">
              <w:rPr>
                <w:rFonts w:asciiTheme="minorHAnsi" w:eastAsia="Arial Narrow" w:hAnsiTheme="minorHAnsi" w:cstheme="minorHAnsi"/>
                <w:sz w:val="16"/>
                <w:szCs w:val="18"/>
                <w:vertAlign w:val="superscript"/>
                <w:lang w:bidi="cs-CZ"/>
              </w:rPr>
              <w:t>-4</w:t>
            </w:r>
            <w:r w:rsidRPr="00A10A95">
              <w:rPr>
                <w:rFonts w:asciiTheme="minorHAnsi" w:eastAsia="Arial Narrow" w:hAnsiTheme="minorHAnsi" w:cstheme="minorHAnsi"/>
                <w:sz w:val="16"/>
                <w:szCs w:val="18"/>
                <w:lang w:bidi="cs-CZ"/>
              </w:rPr>
              <w:t xml:space="preserve"> + 90 μl of 1X TE</w:t>
            </w:r>
          </w:p>
        </w:tc>
      </w:tr>
      <w:tr w:rsidR="00FD5443" w:rsidRPr="00A10A95" w:rsidTr="00540A31">
        <w:trPr>
          <w:trHeight w:val="57"/>
        </w:trPr>
        <w:tc>
          <w:tcPr>
            <w:tcW w:w="3898" w:type="dxa"/>
            <w:tcBorders>
              <w:top w:val="single" w:sz="4" w:space="0" w:color="auto"/>
              <w:lef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Bod 7 (Standard PC. QPCV2 10</w:t>
            </w:r>
            <w:r w:rsidRPr="00A10A95">
              <w:rPr>
                <w:rFonts w:asciiTheme="minorHAnsi" w:eastAsia="Arial Narrow" w:hAnsiTheme="minorHAnsi" w:cstheme="minorHAnsi"/>
                <w:sz w:val="16"/>
                <w:szCs w:val="18"/>
                <w:vertAlign w:val="superscript"/>
                <w:lang w:bidi="cs-CZ"/>
              </w:rPr>
              <w:t>-6</w:t>
            </w:r>
            <w:r w:rsidRPr="00A10A95">
              <w:rPr>
                <w:rFonts w:asciiTheme="minorHAnsi" w:eastAsia="Arial Narrow" w:hAnsiTheme="minorHAnsi" w:cstheme="minorHAnsi"/>
                <w:sz w:val="16"/>
                <w:szCs w:val="18"/>
                <w:lang w:bidi="cs-CZ"/>
              </w:rPr>
              <w:t>)</w:t>
            </w:r>
          </w:p>
        </w:tc>
        <w:tc>
          <w:tcPr>
            <w:tcW w:w="1912"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x 10</w:t>
            </w:r>
            <w:r w:rsidRPr="00A10A95">
              <w:rPr>
                <w:rFonts w:asciiTheme="minorHAnsi" w:eastAsia="Arial Narrow" w:hAnsiTheme="minorHAnsi" w:cstheme="minorHAnsi"/>
                <w:sz w:val="16"/>
                <w:szCs w:val="18"/>
                <w:vertAlign w:val="superscript"/>
                <w:lang w:bidi="cs-CZ"/>
              </w:rPr>
              <w:t>4</w:t>
            </w:r>
            <w:r w:rsidRPr="00A10A95">
              <w:rPr>
                <w:rFonts w:asciiTheme="minorHAnsi" w:eastAsia="Arial Narrow" w:hAnsiTheme="minorHAnsi" w:cstheme="minorHAnsi"/>
                <w:sz w:val="16"/>
                <w:szCs w:val="18"/>
                <w:lang w:bidi="cs-CZ"/>
              </w:rPr>
              <w:t xml:space="preserve"> kopií/ml</w:t>
            </w:r>
          </w:p>
        </w:tc>
        <w:tc>
          <w:tcPr>
            <w:tcW w:w="4664"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μl Standard PC. QPCV2 10</w:t>
            </w:r>
            <w:r w:rsidRPr="00A10A95">
              <w:rPr>
                <w:rFonts w:asciiTheme="minorHAnsi" w:eastAsia="Arial Narrow" w:hAnsiTheme="minorHAnsi" w:cstheme="minorHAnsi"/>
                <w:sz w:val="16"/>
                <w:szCs w:val="18"/>
                <w:vertAlign w:val="superscript"/>
                <w:lang w:bidi="cs-CZ"/>
              </w:rPr>
              <w:t>-5</w:t>
            </w:r>
            <w:r w:rsidRPr="00A10A95">
              <w:rPr>
                <w:rFonts w:asciiTheme="minorHAnsi" w:eastAsia="Arial Narrow" w:hAnsiTheme="minorHAnsi" w:cstheme="minorHAnsi"/>
                <w:sz w:val="16"/>
                <w:szCs w:val="18"/>
                <w:lang w:bidi="cs-CZ"/>
              </w:rPr>
              <w:t xml:space="preserve"> + 90 μl 1X TE</w:t>
            </w:r>
          </w:p>
        </w:tc>
      </w:tr>
      <w:tr w:rsidR="00FD5443" w:rsidRPr="00A10A95" w:rsidTr="00540A31">
        <w:trPr>
          <w:trHeight w:val="57"/>
        </w:trPr>
        <w:tc>
          <w:tcPr>
            <w:tcW w:w="1047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540A31">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Faktor sériového ředění: 1:10</w:t>
            </w:r>
          </w:p>
        </w:tc>
      </w:tr>
    </w:tbl>
    <w:p w:rsidR="00FD5443" w:rsidRPr="00A10A95" w:rsidRDefault="00395945" w:rsidP="00314B84">
      <w:pPr>
        <w:spacing w:line="276" w:lineRule="auto"/>
        <w:ind w:left="142" w:hanging="142"/>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Pro kvalitativní aplikaci není nutné přidávat celý rozsah kvantifikace. Použijte jeden koncový bod ředění pro tento rozsah jako kontrolu amplifikace: </w:t>
      </w:r>
      <w:r w:rsidR="00D47D18">
        <w:rPr>
          <w:rFonts w:asciiTheme="minorHAnsi" w:eastAsia="Arial Narrow" w:hAnsiTheme="minorHAnsi" w:cstheme="minorHAnsi"/>
          <w:sz w:val="16"/>
          <w:szCs w:val="18"/>
          <w:lang w:bidi="cs-CZ"/>
        </w:rPr>
        <w:tab/>
      </w:r>
      <w:r w:rsidR="00D47D18">
        <w:rPr>
          <w:rFonts w:asciiTheme="minorHAnsi" w:eastAsia="Arial Narrow" w:hAnsiTheme="minorHAnsi" w:cstheme="minorHAnsi"/>
          <w:sz w:val="16"/>
          <w:szCs w:val="18"/>
          <w:lang w:bidi="cs-CZ"/>
        </w:rPr>
        <w:tab/>
      </w:r>
      <w:r w:rsidRPr="00A10A95">
        <w:rPr>
          <w:rFonts w:asciiTheme="minorHAnsi" w:eastAsia="Arial Narrow" w:hAnsiTheme="minorHAnsi" w:cstheme="minorHAnsi"/>
          <w:sz w:val="16"/>
          <w:szCs w:val="18"/>
          <w:lang w:bidi="cs-CZ"/>
        </w:rPr>
        <w:t>PC QPCV2 (= Standard PC. QPCV2 10-4 kvantifikovaný na 1,0 x 10</w:t>
      </w:r>
      <w:r w:rsidRPr="00623CB5">
        <w:rPr>
          <w:rFonts w:asciiTheme="minorHAnsi" w:eastAsia="Arial Narrow" w:hAnsiTheme="minorHAnsi" w:cstheme="minorHAnsi"/>
          <w:sz w:val="16"/>
          <w:szCs w:val="18"/>
          <w:vertAlign w:val="superscript"/>
          <w:lang w:bidi="cs-CZ"/>
        </w:rPr>
        <w:t>6</w:t>
      </w:r>
      <w:r w:rsidRPr="00A10A95">
        <w:rPr>
          <w:rFonts w:asciiTheme="minorHAnsi" w:eastAsia="Arial Narrow" w:hAnsiTheme="minorHAnsi" w:cstheme="minorHAnsi"/>
          <w:sz w:val="16"/>
          <w:szCs w:val="18"/>
          <w:lang w:bidi="cs-CZ"/>
        </w:rPr>
        <w:t xml:space="preserve"> kopií/ml).</w:t>
      </w:r>
    </w:p>
    <w:p w:rsidR="00FD5443" w:rsidRPr="00A10A95" w:rsidRDefault="00395945" w:rsidP="00314B84">
      <w:pPr>
        <w:pStyle w:val="Odstavecseseznamem"/>
        <w:numPr>
          <w:ilvl w:val="0"/>
          <w:numId w:val="2"/>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Uchovávejte standardy DNA při teplotě nižší než -16 °C v alikvotech alespoň po 30 μl po </w:t>
      </w:r>
      <w:r w:rsidRPr="00A10A95">
        <w:rPr>
          <w:rFonts w:asciiTheme="minorHAnsi" w:eastAsia="Times New Roman" w:hAnsiTheme="minorHAnsi" w:cstheme="minorHAnsi"/>
          <w:b/>
          <w:sz w:val="18"/>
          <w:szCs w:val="18"/>
          <w:lang w:bidi="cs-CZ"/>
        </w:rPr>
        <w:t>celou dobu použitelnosti soupravy</w:t>
      </w:r>
      <w:r w:rsidRPr="00A10A95">
        <w:rPr>
          <w:rFonts w:asciiTheme="minorHAnsi" w:eastAsia="Times New Roman" w:hAnsiTheme="minorHAnsi" w:cstheme="minorHAnsi"/>
          <w:sz w:val="18"/>
          <w:szCs w:val="18"/>
          <w:lang w:bidi="cs-CZ"/>
        </w:rPr>
        <w:t>. U standardů DNA se nedoporučuje používat více než 3 cykly zmrazení/rozmrazení.</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3D1902">
      <w:pPr>
        <w:spacing w:line="276" w:lineRule="auto"/>
        <w:outlineLvl w:val="3"/>
        <w:rPr>
          <w:rFonts w:asciiTheme="minorHAnsi" w:hAnsiTheme="minorHAnsi" w:cstheme="minorHAnsi"/>
          <w:b/>
          <w:sz w:val="20"/>
          <w:szCs w:val="18"/>
        </w:rPr>
      </w:pPr>
      <w:bookmarkStart w:id="13" w:name="bookmark13"/>
      <w:r w:rsidRPr="00A10A95">
        <w:rPr>
          <w:rFonts w:asciiTheme="minorHAnsi" w:eastAsia="Arial Narrow" w:hAnsiTheme="minorHAnsi" w:cstheme="minorHAnsi"/>
          <w:b/>
          <w:sz w:val="20"/>
          <w:szCs w:val="18"/>
          <w:lang w:bidi="cs-CZ"/>
        </w:rPr>
        <w:t>Příprava PCR v reálném čase</w:t>
      </w:r>
      <w:bookmarkEnd w:id="13"/>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Vytvořte plán analýzy pro distribuci mixů a vzorků. Je-li to možné, uchovávejte pozitivní kontrolu odděleně od ostatních vzorků.</w:t>
      </w:r>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Rozmrazte zkumavku </w:t>
      </w:r>
      <w:r w:rsidRPr="00A10A95">
        <w:rPr>
          <w:rFonts w:asciiTheme="minorHAnsi" w:eastAsia="Times New Roman" w:hAnsiTheme="minorHAnsi" w:cstheme="minorHAnsi"/>
          <w:b/>
          <w:sz w:val="18"/>
          <w:szCs w:val="18"/>
          <w:lang w:bidi="cs-CZ"/>
        </w:rPr>
        <w:t>3 - Mix QPCV2</w:t>
      </w:r>
      <w:r w:rsidRPr="00A10A95">
        <w:rPr>
          <w:rFonts w:asciiTheme="minorHAnsi" w:eastAsia="Times New Roman" w:hAnsiTheme="minorHAnsi" w:cstheme="minorHAnsi"/>
          <w:sz w:val="18"/>
          <w:szCs w:val="18"/>
          <w:lang w:bidi="cs-CZ"/>
        </w:rPr>
        <w:t xml:space="preserve"> při teplotě </w:t>
      </w:r>
      <w:r w:rsidRPr="00A10A95">
        <w:rPr>
          <w:rFonts w:asciiTheme="minorHAnsi" w:eastAsia="Times New Roman" w:hAnsiTheme="minorHAnsi" w:cstheme="minorHAnsi"/>
          <w:b/>
          <w:sz w:val="18"/>
          <w:szCs w:val="18"/>
          <w:lang w:bidi="cs-CZ"/>
        </w:rPr>
        <w:t xml:space="preserve">2 °C až + 8 °C </w:t>
      </w:r>
      <w:r w:rsidRPr="00A10A95">
        <w:rPr>
          <w:rFonts w:asciiTheme="minorHAnsi" w:eastAsia="Times New Roman" w:hAnsiTheme="minorHAnsi" w:cstheme="minorHAnsi"/>
          <w:sz w:val="18"/>
          <w:szCs w:val="18"/>
          <w:lang w:bidi="cs-CZ"/>
        </w:rPr>
        <w:t>na ledě nebo v chlazeném stojanu.</w:t>
      </w:r>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Promíchejte </w:t>
      </w:r>
      <w:r w:rsidRPr="00A10A95">
        <w:rPr>
          <w:rFonts w:asciiTheme="minorHAnsi" w:eastAsia="Times New Roman" w:hAnsiTheme="minorHAnsi" w:cstheme="minorHAnsi"/>
          <w:b/>
          <w:sz w:val="18"/>
          <w:szCs w:val="18"/>
          <w:lang w:bidi="cs-CZ"/>
        </w:rPr>
        <w:t>3 - Mix QPCV2</w:t>
      </w:r>
      <w:r w:rsidRPr="00A10A95">
        <w:rPr>
          <w:rFonts w:asciiTheme="minorHAnsi" w:eastAsia="Times New Roman" w:hAnsiTheme="minorHAnsi" w:cstheme="minorHAnsi"/>
          <w:sz w:val="18"/>
          <w:szCs w:val="18"/>
          <w:lang w:bidi="cs-CZ"/>
        </w:rPr>
        <w:t xml:space="preserve"> opatrným mícháním zkumavky a poté krátce centrifugujte.</w:t>
      </w:r>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 xml:space="preserve">Přidejte po </w:t>
      </w:r>
      <w:r w:rsidRPr="00A10A95">
        <w:rPr>
          <w:rFonts w:asciiTheme="minorHAnsi" w:eastAsia="Times New Roman" w:hAnsiTheme="minorHAnsi" w:cstheme="minorHAnsi"/>
          <w:b/>
          <w:sz w:val="18"/>
          <w:szCs w:val="18"/>
          <w:lang w:bidi="cs-CZ"/>
        </w:rPr>
        <w:t xml:space="preserve">20 μl mixu 3 - Mix QPCV2 </w:t>
      </w:r>
      <w:r w:rsidRPr="00A10A95">
        <w:rPr>
          <w:rFonts w:asciiTheme="minorHAnsi" w:eastAsia="Times New Roman" w:hAnsiTheme="minorHAnsi" w:cstheme="minorHAnsi"/>
          <w:sz w:val="18"/>
          <w:szCs w:val="18"/>
          <w:lang w:bidi="cs-CZ"/>
        </w:rPr>
        <w:t>do každé použité jamky PCR destičky, PCR stripu nebo kapiláry.</w:t>
      </w:r>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Přidejte DNA ze vzorků a kontrol do reakčního mixu podle následujícího předem nastaveného plánu analýzy: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115"/>
        <w:gridCol w:w="4070"/>
        <w:gridCol w:w="3307"/>
      </w:tblGrid>
      <w:tr w:rsidR="00FD5443" w:rsidRPr="00A10A95" w:rsidTr="00540A31">
        <w:trPr>
          <w:trHeight w:val="57"/>
        </w:trPr>
        <w:tc>
          <w:tcPr>
            <w:tcW w:w="3115"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Typ analýzy</w:t>
            </w:r>
          </w:p>
        </w:tc>
        <w:tc>
          <w:tcPr>
            <w:tcW w:w="4070"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Složka</w:t>
            </w:r>
          </w:p>
        </w:tc>
        <w:tc>
          <w:tcPr>
            <w:tcW w:w="3307"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540A31">
            <w:pPr>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Objem vzorku</w:t>
            </w:r>
          </w:p>
        </w:tc>
      </w:tr>
      <w:tr w:rsidR="00FD5443" w:rsidRPr="00A10A95" w:rsidTr="00540A31">
        <w:trPr>
          <w:trHeight w:val="57"/>
        </w:trPr>
        <w:tc>
          <w:tcPr>
            <w:tcW w:w="3115" w:type="dxa"/>
            <w:tcBorders>
              <w:top w:val="single" w:sz="4" w:space="0" w:color="auto"/>
              <w:left w:val="single" w:sz="4" w:space="0" w:color="auto"/>
            </w:tcBorders>
            <w:shd w:val="clear" w:color="auto" w:fill="FFFFFF"/>
            <w:vAlign w:val="center"/>
          </w:tcPr>
          <w:p w:rsidR="00FD5443" w:rsidRPr="00A10A95" w:rsidRDefault="00395945" w:rsidP="0010365B">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Vzorek pro analýzu</w:t>
            </w:r>
          </w:p>
        </w:tc>
        <w:tc>
          <w:tcPr>
            <w:tcW w:w="4070"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DNA extrahovaná ze vzorku</w:t>
            </w:r>
          </w:p>
        </w:tc>
        <w:tc>
          <w:tcPr>
            <w:tcW w:w="3307"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 μl</w:t>
            </w:r>
          </w:p>
        </w:tc>
      </w:tr>
      <w:tr w:rsidR="00FD5443" w:rsidRPr="00A10A95" w:rsidTr="00540A31">
        <w:trPr>
          <w:trHeight w:val="57"/>
        </w:trPr>
        <w:tc>
          <w:tcPr>
            <w:tcW w:w="3115" w:type="dxa"/>
            <w:tcBorders>
              <w:top w:val="single" w:sz="4" w:space="0" w:color="auto"/>
              <w:left w:val="single" w:sz="4" w:space="0" w:color="auto"/>
            </w:tcBorders>
            <w:shd w:val="clear" w:color="auto" w:fill="FFFFFF"/>
            <w:vAlign w:val="center"/>
          </w:tcPr>
          <w:p w:rsidR="00FD5443" w:rsidRPr="00A10A95" w:rsidRDefault="00395945" w:rsidP="0010365B">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Rozsah kvantifikace</w:t>
            </w:r>
          </w:p>
        </w:tc>
        <w:tc>
          <w:tcPr>
            <w:tcW w:w="4070"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 xml:space="preserve">Ředicí rozsah </w:t>
            </w:r>
            <w:r w:rsidRPr="00A10A95">
              <w:rPr>
                <w:rFonts w:asciiTheme="minorHAnsi" w:eastAsia="Arial Narrow" w:hAnsiTheme="minorHAnsi" w:cstheme="minorHAnsi"/>
                <w:b/>
                <w:sz w:val="16"/>
                <w:szCs w:val="18"/>
                <w:lang w:bidi="cs-CZ"/>
              </w:rPr>
              <w:t>4b - Standard PC QPCV2</w:t>
            </w:r>
          </w:p>
        </w:tc>
        <w:tc>
          <w:tcPr>
            <w:tcW w:w="3307"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 μl</w:t>
            </w:r>
          </w:p>
        </w:tc>
      </w:tr>
      <w:tr w:rsidR="00FD5443" w:rsidRPr="00A10A95" w:rsidTr="00540A31">
        <w:trPr>
          <w:trHeight w:val="57"/>
        </w:trPr>
        <w:tc>
          <w:tcPr>
            <w:tcW w:w="3115" w:type="dxa"/>
            <w:tcBorders>
              <w:top w:val="single" w:sz="4" w:space="0" w:color="auto"/>
              <w:left w:val="single" w:sz="4" w:space="0" w:color="auto"/>
            </w:tcBorders>
            <w:shd w:val="clear" w:color="auto" w:fill="FFFFFF"/>
            <w:vAlign w:val="center"/>
          </w:tcPr>
          <w:p w:rsidR="00FD5443" w:rsidRPr="00A10A95" w:rsidRDefault="00395945" w:rsidP="0010365B">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Pozitivní kontrola</w:t>
            </w:r>
            <w:r w:rsidRPr="00A10A95">
              <w:rPr>
                <w:rFonts w:asciiTheme="minorHAnsi" w:eastAsia="Arial Narrow" w:hAnsiTheme="minorHAnsi" w:cstheme="minorHAnsi"/>
                <w:sz w:val="16"/>
                <w:szCs w:val="18"/>
                <w:vertAlign w:val="superscript"/>
                <w:lang w:bidi="cs-CZ"/>
              </w:rPr>
              <w:t>(1)</w:t>
            </w:r>
          </w:p>
        </w:tc>
        <w:tc>
          <w:tcPr>
            <w:tcW w:w="4070"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 QPCV2 (= Standard PC. QPCV2 10</w:t>
            </w:r>
            <w:r w:rsidRPr="00A10A95">
              <w:rPr>
                <w:rFonts w:asciiTheme="minorHAnsi" w:eastAsia="Arial Narrow" w:hAnsiTheme="minorHAnsi" w:cstheme="minorHAnsi"/>
                <w:sz w:val="16"/>
                <w:szCs w:val="18"/>
                <w:vertAlign w:val="superscript"/>
                <w:lang w:bidi="cs-CZ"/>
              </w:rPr>
              <w:t>-4</w:t>
            </w:r>
            <w:r w:rsidRPr="00A10A95">
              <w:rPr>
                <w:rFonts w:asciiTheme="minorHAnsi" w:eastAsia="Arial Narrow" w:hAnsiTheme="minorHAnsi" w:cstheme="minorHAnsi"/>
                <w:sz w:val="16"/>
                <w:szCs w:val="18"/>
                <w:lang w:bidi="cs-CZ"/>
              </w:rPr>
              <w:t>)</w:t>
            </w:r>
          </w:p>
        </w:tc>
        <w:tc>
          <w:tcPr>
            <w:tcW w:w="3307"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 μl</w:t>
            </w:r>
          </w:p>
        </w:tc>
      </w:tr>
      <w:tr w:rsidR="00FD5443" w:rsidRPr="00A10A95" w:rsidTr="00540A31">
        <w:trPr>
          <w:trHeight w:val="57"/>
        </w:trPr>
        <w:tc>
          <w:tcPr>
            <w:tcW w:w="3115" w:type="dxa"/>
            <w:tcBorders>
              <w:top w:val="single" w:sz="4" w:space="0" w:color="auto"/>
              <w:left w:val="single" w:sz="4" w:space="0" w:color="auto"/>
            </w:tcBorders>
            <w:shd w:val="clear" w:color="auto" w:fill="FFFFFF"/>
            <w:vAlign w:val="center"/>
          </w:tcPr>
          <w:p w:rsidR="00FD5443" w:rsidRPr="00A10A95" w:rsidRDefault="00395945" w:rsidP="0010365B">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Negativní kontrolní vzorky (NCS)</w:t>
            </w:r>
          </w:p>
        </w:tc>
        <w:tc>
          <w:tcPr>
            <w:tcW w:w="4070" w:type="dxa"/>
            <w:tcBorders>
              <w:top w:val="single" w:sz="4" w:space="0" w:color="auto"/>
              <w:lef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Extrahovaná NCS</w:t>
            </w:r>
          </w:p>
        </w:tc>
        <w:tc>
          <w:tcPr>
            <w:tcW w:w="3307"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 μl</w:t>
            </w:r>
          </w:p>
        </w:tc>
      </w:tr>
      <w:tr w:rsidR="00FD5443" w:rsidRPr="00A10A95" w:rsidTr="00540A31">
        <w:trPr>
          <w:trHeight w:val="57"/>
        </w:trPr>
        <w:tc>
          <w:tcPr>
            <w:tcW w:w="3115"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10365B">
            <w:pPr>
              <w:rPr>
                <w:rFonts w:asciiTheme="minorHAnsi" w:hAnsiTheme="minorHAnsi" w:cstheme="minorHAnsi"/>
                <w:sz w:val="16"/>
                <w:szCs w:val="18"/>
              </w:rPr>
            </w:pPr>
            <w:r w:rsidRPr="00A10A95">
              <w:rPr>
                <w:rFonts w:asciiTheme="minorHAnsi" w:eastAsia="Arial Narrow" w:hAnsiTheme="minorHAnsi" w:cstheme="minorHAnsi"/>
                <w:sz w:val="16"/>
                <w:szCs w:val="18"/>
                <w:lang w:bidi="cs-CZ"/>
              </w:rPr>
              <w:t>Negative amplification control Negativní amplifikační kontrola (NC)</w:t>
            </w:r>
          </w:p>
        </w:tc>
        <w:tc>
          <w:tcPr>
            <w:tcW w:w="4070"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DNase/RNase-free water (Voda bez DNázy/RNázy)</w:t>
            </w:r>
          </w:p>
        </w:tc>
        <w:tc>
          <w:tcPr>
            <w:tcW w:w="3307"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540A31">
            <w:pPr>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 μl</w:t>
            </w:r>
          </w:p>
        </w:tc>
      </w:tr>
    </w:tbl>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Tento bod nahrazuje rozsah kvantifikace pro kvalitativní aplikace.</w:t>
      </w:r>
    </w:p>
    <w:p w:rsidR="00FD5443" w:rsidRPr="00A10A95" w:rsidRDefault="00395945" w:rsidP="00653872">
      <w:pPr>
        <w:pStyle w:val="Odstavecseseznamem"/>
        <w:numPr>
          <w:ilvl w:val="0"/>
          <w:numId w:val="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Zakryjte PCR destičku, PCR stripy nebo kapiláry adhezivním víčkem destičky nebo vhodnými uzávěry.</w:t>
      </w:r>
    </w:p>
    <w:p w:rsidR="0010365B" w:rsidRPr="00A10A95" w:rsidRDefault="0010365B">
      <w:pPr>
        <w:rPr>
          <w:rFonts w:asciiTheme="minorHAnsi" w:hAnsiTheme="minorHAnsi" w:cstheme="minorHAnsi"/>
          <w:b/>
          <w:sz w:val="20"/>
          <w:szCs w:val="18"/>
        </w:rPr>
      </w:pPr>
    </w:p>
    <w:p w:rsidR="00FD5443" w:rsidRPr="00A10A95" w:rsidRDefault="00395945" w:rsidP="003D1902">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Amplifikace pomocí PCR v reálném čase</w:t>
      </w:r>
    </w:p>
    <w:p w:rsidR="00FD5443" w:rsidRPr="00A10A95" w:rsidRDefault="00395945" w:rsidP="0010365B">
      <w:pPr>
        <w:pStyle w:val="Odstavecseseznamem"/>
        <w:numPr>
          <w:ilvl w:val="0"/>
          <w:numId w:val="9"/>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Na termocykleru nastavte následující detektory: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490"/>
        <w:gridCol w:w="3475"/>
        <w:gridCol w:w="3523"/>
      </w:tblGrid>
      <w:tr w:rsidR="00FD5443" w:rsidRPr="00A10A95" w:rsidTr="00CA09C9">
        <w:trPr>
          <w:trHeight w:val="57"/>
        </w:trPr>
        <w:tc>
          <w:tcPr>
            <w:tcW w:w="3490"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Cílová struktura</w:t>
            </w:r>
          </w:p>
        </w:tc>
        <w:tc>
          <w:tcPr>
            <w:tcW w:w="3475"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Reportér</w:t>
            </w:r>
          </w:p>
        </w:tc>
        <w:tc>
          <w:tcPr>
            <w:tcW w:w="3523"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Quencher</w:t>
            </w:r>
          </w:p>
        </w:tc>
      </w:tr>
      <w:tr w:rsidR="00FD5443" w:rsidRPr="00A10A95" w:rsidTr="00CA09C9">
        <w:trPr>
          <w:trHeight w:val="57"/>
        </w:trPr>
        <w:tc>
          <w:tcPr>
            <w:tcW w:w="3490" w:type="dxa"/>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QPCV2</w:t>
            </w:r>
          </w:p>
        </w:tc>
        <w:tc>
          <w:tcPr>
            <w:tcW w:w="3475"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FAM</w:t>
            </w:r>
          </w:p>
        </w:tc>
        <w:tc>
          <w:tcPr>
            <w:tcW w:w="352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NFQ (nefluorescenční zhášeč)</w:t>
            </w:r>
          </w:p>
        </w:tc>
      </w:tr>
      <w:tr w:rsidR="00FD5443" w:rsidRPr="00A10A95" w:rsidTr="00CA09C9">
        <w:trPr>
          <w:trHeight w:val="57"/>
        </w:trPr>
        <w:tc>
          <w:tcPr>
            <w:tcW w:w="3490" w:type="dxa"/>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IPC</w:t>
            </w:r>
          </w:p>
        </w:tc>
        <w:tc>
          <w:tcPr>
            <w:tcW w:w="3475"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VIC</w:t>
            </w:r>
          </w:p>
        </w:tc>
        <w:tc>
          <w:tcPr>
            <w:tcW w:w="352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TAMRA</w:t>
            </w:r>
            <w:r w:rsidR="00D47D18" w:rsidRPr="00A10A95" w:rsidDel="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perscript"/>
                <w:lang w:bidi="cs-CZ"/>
              </w:rPr>
              <w:t>(1)</w:t>
            </w:r>
          </w:p>
        </w:tc>
      </w:tr>
      <w:tr w:rsidR="00FD5443" w:rsidRPr="00A10A95" w:rsidTr="00CA09C9">
        <w:trPr>
          <w:trHeight w:val="57"/>
        </w:trPr>
        <w:tc>
          <w:tcPr>
            <w:tcW w:w="104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Pasivní reference: ROX</w:t>
            </w:r>
            <w:r w:rsidR="00D47D18" w:rsidRPr="00A10A95" w:rsidDel="00D47D18">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perscript"/>
                <w:lang w:bidi="cs-CZ"/>
              </w:rPr>
              <w:t>(1)</w:t>
            </w:r>
          </w:p>
        </w:tc>
      </w:tr>
    </w:tbl>
    <w:p w:rsidR="00FD5443" w:rsidRPr="00A10A95" w:rsidRDefault="00395945" w:rsidP="003D1902">
      <w:pPr>
        <w:spacing w:line="276" w:lineRule="auto"/>
        <w:ind w:left="142" w:hanging="142"/>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w:t>
      </w:r>
      <w:proofErr w:type="spellStart"/>
      <w:r w:rsidRPr="00A10A95">
        <w:rPr>
          <w:rFonts w:asciiTheme="minorHAnsi" w:eastAsia="Arial Narrow" w:hAnsiTheme="minorHAnsi" w:cstheme="minorHAnsi"/>
          <w:sz w:val="16"/>
          <w:szCs w:val="18"/>
          <w:lang w:bidi="cs-CZ"/>
        </w:rPr>
        <w:t>Fluorofory</w:t>
      </w:r>
      <w:proofErr w:type="spellEnd"/>
      <w:r w:rsidRPr="00A10A95">
        <w:rPr>
          <w:rFonts w:asciiTheme="minorHAnsi" w:eastAsia="Arial Narrow" w:hAnsiTheme="minorHAnsi" w:cstheme="minorHAnsi"/>
          <w:sz w:val="16"/>
          <w:szCs w:val="18"/>
          <w:lang w:bidi="cs-CZ"/>
        </w:rPr>
        <w:t xml:space="preserve"> TAMRA a ROX musí být zadány pro analýzu PCR v reálném čase, pokud je termocykler schopen je detekovat. U ostatních termocyklerů absence schopnosti detekovat tyto fluorofory nezhoršuje analýzu PCR v reálném čase.</w:t>
      </w:r>
    </w:p>
    <w:p w:rsidR="00FD5443" w:rsidRPr="00A10A95" w:rsidRDefault="00395945" w:rsidP="0010365B">
      <w:pPr>
        <w:pStyle w:val="Odstavecseseznamem"/>
        <w:numPr>
          <w:ilvl w:val="0"/>
          <w:numId w:val="9"/>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Nastavte QPCV2 detektor a IPC detektor ke každé jamce se vzorkem použité v analýze.</w:t>
      </w:r>
    </w:p>
    <w:p w:rsidR="00FD5443" w:rsidRPr="00A10A95" w:rsidRDefault="00395945" w:rsidP="0010365B">
      <w:pPr>
        <w:pStyle w:val="Odstavecseseznamem"/>
        <w:numPr>
          <w:ilvl w:val="0"/>
          <w:numId w:val="9"/>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Pro analýzu nastavte následující program PCR v reálném čase: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630"/>
        <w:gridCol w:w="2626"/>
        <w:gridCol w:w="2630"/>
        <w:gridCol w:w="2635"/>
      </w:tblGrid>
      <w:tr w:rsidR="00FD5443" w:rsidRPr="00A10A95" w:rsidTr="00CA09C9">
        <w:trPr>
          <w:trHeight w:val="57"/>
        </w:trPr>
        <w:tc>
          <w:tcPr>
            <w:tcW w:w="2630" w:type="dxa"/>
            <w:tcBorders>
              <w:top w:val="single" w:sz="4" w:space="0" w:color="auto"/>
              <w:left w:val="single" w:sz="4" w:space="0" w:color="auto"/>
            </w:tcBorders>
            <w:shd w:val="clear" w:color="auto" w:fill="D9D9D9" w:themeFill="background1" w:themeFillShade="D9"/>
            <w:vAlign w:val="center"/>
          </w:tcPr>
          <w:p w:rsidR="00FD5443" w:rsidRPr="00A10A95" w:rsidRDefault="00FD5443" w:rsidP="003D1902">
            <w:pPr>
              <w:spacing w:line="276" w:lineRule="auto"/>
              <w:jc w:val="center"/>
              <w:rPr>
                <w:rFonts w:asciiTheme="minorHAnsi" w:hAnsiTheme="minorHAnsi" w:cstheme="minorHAnsi"/>
                <w:b/>
                <w:sz w:val="16"/>
                <w:szCs w:val="18"/>
              </w:rPr>
            </w:pPr>
          </w:p>
        </w:tc>
        <w:tc>
          <w:tcPr>
            <w:tcW w:w="2626"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Opakování kroků</w:t>
            </w:r>
          </w:p>
        </w:tc>
        <w:tc>
          <w:tcPr>
            <w:tcW w:w="2630"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Teplota</w:t>
            </w:r>
          </w:p>
        </w:tc>
        <w:tc>
          <w:tcPr>
            <w:tcW w:w="2635"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Doba trvání</w:t>
            </w:r>
          </w:p>
        </w:tc>
      </w:tr>
      <w:tr w:rsidR="00FD5443" w:rsidRPr="00A10A95" w:rsidTr="00CA09C9">
        <w:trPr>
          <w:trHeight w:val="57"/>
        </w:trPr>
        <w:tc>
          <w:tcPr>
            <w:tcW w:w="2630" w:type="dxa"/>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Krok 1</w:t>
            </w:r>
          </w:p>
        </w:tc>
        <w:tc>
          <w:tcPr>
            <w:tcW w:w="2626"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x1</w:t>
            </w:r>
          </w:p>
        </w:tc>
        <w:tc>
          <w:tcPr>
            <w:tcW w:w="2630"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50 °C</w:t>
            </w:r>
          </w:p>
        </w:tc>
        <w:tc>
          <w:tcPr>
            <w:tcW w:w="2635"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2 minuty</w:t>
            </w:r>
          </w:p>
        </w:tc>
      </w:tr>
      <w:tr w:rsidR="00FD5443" w:rsidRPr="00A10A95" w:rsidTr="00CA09C9">
        <w:trPr>
          <w:trHeight w:val="57"/>
        </w:trPr>
        <w:tc>
          <w:tcPr>
            <w:tcW w:w="2630" w:type="dxa"/>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Krok 2</w:t>
            </w:r>
          </w:p>
        </w:tc>
        <w:tc>
          <w:tcPr>
            <w:tcW w:w="2626"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x1</w:t>
            </w:r>
          </w:p>
        </w:tc>
        <w:tc>
          <w:tcPr>
            <w:tcW w:w="2630"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95 °C</w:t>
            </w:r>
          </w:p>
        </w:tc>
        <w:tc>
          <w:tcPr>
            <w:tcW w:w="2635"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10 minut</w:t>
            </w:r>
          </w:p>
        </w:tc>
      </w:tr>
      <w:tr w:rsidR="00FD5443" w:rsidRPr="00A10A95" w:rsidTr="00CA09C9">
        <w:trPr>
          <w:trHeight w:val="57"/>
        </w:trPr>
        <w:tc>
          <w:tcPr>
            <w:tcW w:w="2630" w:type="dxa"/>
            <w:vMerge w:val="restart"/>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Krok 3</w:t>
            </w:r>
          </w:p>
        </w:tc>
        <w:tc>
          <w:tcPr>
            <w:tcW w:w="2626" w:type="dxa"/>
            <w:vMerge w:val="restart"/>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x40</w:t>
            </w:r>
          </w:p>
        </w:tc>
        <w:tc>
          <w:tcPr>
            <w:tcW w:w="2630"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95 °C</w:t>
            </w:r>
          </w:p>
        </w:tc>
        <w:tc>
          <w:tcPr>
            <w:tcW w:w="2635"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15 sekund</w:t>
            </w:r>
          </w:p>
        </w:tc>
      </w:tr>
      <w:tr w:rsidR="00FD5443" w:rsidRPr="00A10A95" w:rsidTr="00CA09C9">
        <w:trPr>
          <w:trHeight w:val="57"/>
        </w:trPr>
        <w:tc>
          <w:tcPr>
            <w:tcW w:w="2630" w:type="dxa"/>
            <w:vMerge/>
            <w:tcBorders>
              <w:left w:val="single" w:sz="4" w:space="0" w:color="auto"/>
              <w:bottom w:val="single" w:sz="4" w:space="0" w:color="auto"/>
            </w:tcBorders>
            <w:shd w:val="clear" w:color="auto" w:fill="FFFFFF"/>
            <w:vAlign w:val="center"/>
          </w:tcPr>
          <w:p w:rsidR="00FD5443" w:rsidRPr="00A10A95" w:rsidRDefault="00FD5443" w:rsidP="003D1902">
            <w:pPr>
              <w:spacing w:line="276" w:lineRule="auto"/>
              <w:jc w:val="center"/>
              <w:rPr>
                <w:rFonts w:asciiTheme="minorHAnsi" w:hAnsiTheme="minorHAnsi" w:cstheme="minorHAnsi"/>
                <w:sz w:val="16"/>
                <w:szCs w:val="18"/>
              </w:rPr>
            </w:pPr>
          </w:p>
        </w:tc>
        <w:tc>
          <w:tcPr>
            <w:tcW w:w="2626" w:type="dxa"/>
            <w:vMerge/>
            <w:tcBorders>
              <w:left w:val="single" w:sz="4" w:space="0" w:color="auto"/>
              <w:bottom w:val="single" w:sz="4" w:space="0" w:color="auto"/>
            </w:tcBorders>
            <w:shd w:val="clear" w:color="auto" w:fill="FFFFFF"/>
            <w:vAlign w:val="center"/>
          </w:tcPr>
          <w:p w:rsidR="00FD5443" w:rsidRPr="00A10A95" w:rsidRDefault="00FD5443" w:rsidP="003D1902">
            <w:pPr>
              <w:spacing w:line="276" w:lineRule="auto"/>
              <w:jc w:val="center"/>
              <w:rPr>
                <w:rFonts w:asciiTheme="minorHAnsi" w:hAnsiTheme="minorHAnsi" w:cstheme="minorHAnsi"/>
                <w:sz w:val="16"/>
                <w:szCs w:val="18"/>
              </w:rPr>
            </w:pPr>
          </w:p>
        </w:tc>
        <w:tc>
          <w:tcPr>
            <w:tcW w:w="2630"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60 °C</w:t>
            </w:r>
            <w:r w:rsidRPr="00A10A95">
              <w:rPr>
                <w:rFonts w:asciiTheme="minorHAnsi" w:eastAsia="Arial Narrow" w:hAnsiTheme="minorHAnsi" w:cstheme="minorHAnsi"/>
                <w:sz w:val="16"/>
                <w:szCs w:val="18"/>
                <w:vertAlign w:val="superscript"/>
                <w:lang w:bidi="cs-CZ"/>
              </w:rPr>
              <w:t>(1)</w:t>
            </w:r>
          </w:p>
        </w:tc>
        <w:tc>
          <w:tcPr>
            <w:tcW w:w="2635"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1 minuta</w:t>
            </w:r>
          </w:p>
        </w:tc>
      </w:tr>
    </w:tbl>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Sběr dat fluorescence během jednominutové fáze při teplotě 60 °C.</w:t>
      </w:r>
    </w:p>
    <w:p w:rsidR="00FD5443" w:rsidRPr="00A10A95" w:rsidRDefault="00395945" w:rsidP="0010365B">
      <w:pPr>
        <w:pStyle w:val="Odstavecseseznamem"/>
        <w:numPr>
          <w:ilvl w:val="0"/>
          <w:numId w:val="9"/>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Vložte PCR destičku, PCR stripy nebo kapiláry do termocykleru a spusťte PCR v reálném čase.</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3D1902">
      <w:pPr>
        <w:spacing w:line="276" w:lineRule="auto"/>
        <w:outlineLvl w:val="2"/>
        <w:rPr>
          <w:rFonts w:asciiTheme="minorHAnsi" w:hAnsiTheme="minorHAnsi" w:cstheme="minorHAnsi"/>
          <w:b/>
          <w:szCs w:val="18"/>
        </w:rPr>
      </w:pPr>
      <w:bookmarkStart w:id="14" w:name="bookmark14"/>
      <w:r w:rsidRPr="00A10A95">
        <w:rPr>
          <w:rFonts w:asciiTheme="minorHAnsi" w:eastAsia="Arial Narrow" w:hAnsiTheme="minorHAnsi" w:cstheme="minorHAnsi"/>
          <w:b/>
          <w:sz w:val="18"/>
          <w:szCs w:val="18"/>
          <w:lang w:bidi="cs-CZ"/>
        </w:rPr>
        <w:t>Analýza výsledků</w:t>
      </w:r>
      <w:bookmarkEnd w:id="14"/>
    </w:p>
    <w:p w:rsidR="00FD5443" w:rsidRPr="00A10A95" w:rsidRDefault="00395945" w:rsidP="003D1902">
      <w:pPr>
        <w:spacing w:line="276" w:lineRule="auto"/>
        <w:outlineLvl w:val="3"/>
        <w:rPr>
          <w:rFonts w:asciiTheme="minorHAnsi" w:hAnsiTheme="minorHAnsi" w:cstheme="minorHAnsi"/>
          <w:b/>
          <w:sz w:val="20"/>
          <w:szCs w:val="18"/>
        </w:rPr>
      </w:pPr>
      <w:bookmarkStart w:id="15" w:name="bookmark15"/>
      <w:r w:rsidRPr="00A10A95">
        <w:rPr>
          <w:rFonts w:asciiTheme="minorHAnsi" w:eastAsia="Arial Narrow" w:hAnsiTheme="minorHAnsi" w:cstheme="minorHAnsi"/>
          <w:b/>
          <w:sz w:val="20"/>
          <w:szCs w:val="18"/>
          <w:lang w:bidi="cs-CZ"/>
        </w:rPr>
        <w:t>Analýza surových dat</w:t>
      </w:r>
      <w:bookmarkEnd w:id="15"/>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Pro analýzu surových dat postupujte podle doporučení výrobce termocykléru.</w:t>
      </w:r>
    </w:p>
    <w:p w:rsidR="00FD5443" w:rsidRPr="00A10A95" w:rsidRDefault="00395945" w:rsidP="0010365B">
      <w:pPr>
        <w:pStyle w:val="Odstavecseseznamem"/>
        <w:numPr>
          <w:ilvl w:val="0"/>
          <w:numId w:val="10"/>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Vzhledem k vysoké hodnotě Ct standardu PC. QPCV2, může být automatické nastavení základní hodnoty nesprávné. Pokud je to nutné, nastavte základní linii manuálně na 2-3 Ct před první amplifikací.</w:t>
      </w:r>
    </w:p>
    <w:p w:rsidR="00FD5443" w:rsidRPr="00A10A95" w:rsidRDefault="00395945" w:rsidP="0010365B">
      <w:pPr>
        <w:pStyle w:val="Odstavecseseznamem"/>
        <w:numPr>
          <w:ilvl w:val="0"/>
          <w:numId w:val="10"/>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Prahové limity nastavte odděleně pro každý cíl PCR v reálném čase.</w:t>
      </w:r>
    </w:p>
    <w:p w:rsidR="00FD5443" w:rsidRPr="00A10A95" w:rsidRDefault="00395945" w:rsidP="0010365B">
      <w:pPr>
        <w:pStyle w:val="Odstavecseseznamem"/>
        <w:numPr>
          <w:ilvl w:val="0"/>
          <w:numId w:val="10"/>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Pro každý detektor interpretujte výsledky podle hodnot Ct vzorku získaných podle doporučení níže.</w:t>
      </w:r>
    </w:p>
    <w:p w:rsidR="00FD5443" w:rsidRPr="00A10A95" w:rsidRDefault="00FD5443" w:rsidP="00976E86">
      <w:pPr>
        <w:spacing w:line="276" w:lineRule="auto"/>
        <w:rPr>
          <w:rFonts w:asciiTheme="minorHAnsi" w:hAnsiTheme="minorHAnsi" w:cstheme="minorHAnsi"/>
          <w:sz w:val="18"/>
          <w:szCs w:val="18"/>
        </w:rPr>
      </w:pPr>
    </w:p>
    <w:p w:rsidR="00FD5443" w:rsidRPr="00A10A95" w:rsidRDefault="00395945" w:rsidP="00976E86">
      <w:pPr>
        <w:spacing w:line="276" w:lineRule="auto"/>
        <w:outlineLvl w:val="2"/>
        <w:rPr>
          <w:rFonts w:asciiTheme="minorHAnsi" w:hAnsiTheme="minorHAnsi" w:cstheme="minorHAnsi"/>
          <w:b/>
          <w:szCs w:val="18"/>
        </w:rPr>
      </w:pPr>
      <w:bookmarkStart w:id="16" w:name="bookmark16"/>
      <w:r w:rsidRPr="00A10A95">
        <w:rPr>
          <w:rFonts w:asciiTheme="minorHAnsi" w:eastAsia="Arial Narrow" w:hAnsiTheme="minorHAnsi" w:cstheme="minorHAnsi"/>
          <w:b/>
          <w:sz w:val="18"/>
          <w:szCs w:val="18"/>
          <w:lang w:bidi="cs-CZ"/>
        </w:rPr>
        <w:t>Validace</w:t>
      </w:r>
      <w:bookmarkEnd w:id="16"/>
    </w:p>
    <w:p w:rsidR="00FD5443" w:rsidRPr="00A10A95" w:rsidRDefault="00395945" w:rsidP="003D1902">
      <w:pPr>
        <w:spacing w:line="276" w:lineRule="auto"/>
        <w:outlineLvl w:val="3"/>
        <w:rPr>
          <w:rFonts w:asciiTheme="minorHAnsi" w:hAnsiTheme="minorHAnsi" w:cstheme="minorHAnsi"/>
          <w:b/>
          <w:sz w:val="20"/>
          <w:szCs w:val="18"/>
        </w:rPr>
      </w:pPr>
      <w:bookmarkStart w:id="17" w:name="bookmark17"/>
      <w:r w:rsidRPr="00A10A95">
        <w:rPr>
          <w:rFonts w:asciiTheme="minorHAnsi" w:eastAsia="Arial Narrow" w:hAnsiTheme="minorHAnsi" w:cstheme="minorHAnsi"/>
          <w:b/>
          <w:sz w:val="20"/>
          <w:szCs w:val="18"/>
          <w:lang w:bidi="cs-CZ"/>
        </w:rPr>
        <w:t>Validace kvalitativních testů</w:t>
      </w:r>
      <w:bookmarkEnd w:id="17"/>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Test je validován, pokud jsou splněna následující akceptační kritéria:</w:t>
      </w:r>
    </w:p>
    <w:p w:rsidR="00FD5443" w:rsidRPr="00A10A95" w:rsidRDefault="00395945" w:rsidP="0010365B">
      <w:pPr>
        <w:pStyle w:val="Odstavecseseznamem"/>
        <w:numPr>
          <w:ilvl w:val="0"/>
          <w:numId w:val="12"/>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Hodnota Ct pro cíl QPCV2 v pozitivní kontrole (PC QPCV2) musí být v certifikátu o analýze ± 3 Ct hodnoty Ct pozitivní kontroly.</w:t>
      </w:r>
    </w:p>
    <w:p w:rsidR="00FD5443" w:rsidRPr="00A10A95" w:rsidRDefault="00395945" w:rsidP="0010365B">
      <w:pPr>
        <w:pStyle w:val="Odstavecseseznamem"/>
        <w:numPr>
          <w:ilvl w:val="0"/>
          <w:numId w:val="12"/>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Hodnota Ct pro IPC v negativním kontrolním vzorku (NCS) musí být ± 3 Ct hodnoty Ct IPC v certifikátu o analýze.</w:t>
      </w:r>
    </w:p>
    <w:p w:rsidR="00FD5443" w:rsidRPr="00A10A95" w:rsidRDefault="00395945" w:rsidP="0010365B">
      <w:pPr>
        <w:pStyle w:val="Odstavecseseznamem"/>
        <w:numPr>
          <w:ilvl w:val="0"/>
          <w:numId w:val="12"/>
        </w:numPr>
        <w:tabs>
          <w:tab w:val="left" w:leader="underscore" w:pos="8021"/>
          <w:tab w:val="left" w:leader="underscore" w:pos="10550"/>
        </w:tabs>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 negativní amplifikační kontrole (NC) není vidět žádná amplifikace.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869"/>
        <w:gridCol w:w="1392"/>
        <w:gridCol w:w="2750"/>
        <w:gridCol w:w="2755"/>
        <w:gridCol w:w="2765"/>
      </w:tblGrid>
      <w:tr w:rsidR="00FD5443" w:rsidRPr="00A10A95" w:rsidTr="00CA09C9">
        <w:trPr>
          <w:trHeight w:val="57"/>
        </w:trPr>
        <w:tc>
          <w:tcPr>
            <w:tcW w:w="869"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Kritéria</w:t>
            </w:r>
          </w:p>
        </w:tc>
        <w:tc>
          <w:tcPr>
            <w:tcW w:w="1392"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Kontrolní sérum</w:t>
            </w:r>
          </w:p>
        </w:tc>
        <w:tc>
          <w:tcPr>
            <w:tcW w:w="2750"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QPCV2 detektor</w:t>
            </w:r>
          </w:p>
        </w:tc>
        <w:tc>
          <w:tcPr>
            <w:tcW w:w="2755"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IPC detektor</w:t>
            </w:r>
          </w:p>
        </w:tc>
        <w:tc>
          <w:tcPr>
            <w:tcW w:w="2765"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Validace</w:t>
            </w:r>
          </w:p>
        </w:tc>
      </w:tr>
      <w:tr w:rsidR="00FD5443" w:rsidRPr="00A10A95" w:rsidTr="00CA09C9">
        <w:trPr>
          <w:trHeight w:val="57"/>
        </w:trPr>
        <w:tc>
          <w:tcPr>
            <w:tcW w:w="869"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a</w:t>
            </w:r>
          </w:p>
        </w:tc>
        <w:tc>
          <w:tcPr>
            <w:tcW w:w="1392" w:type="dxa"/>
            <w:tcBorders>
              <w:top w:val="single" w:sz="4" w:space="0" w:color="auto"/>
              <w:left w:val="single" w:sz="4" w:space="0" w:color="auto"/>
            </w:tcBorders>
            <w:shd w:val="clear" w:color="auto" w:fill="FFFFFF"/>
            <w:vAlign w:val="center"/>
          </w:tcPr>
          <w:p w:rsidR="0010365B"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 QPCV2</w:t>
            </w:r>
          </w:p>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(pozitivní kontrola)</w:t>
            </w:r>
          </w:p>
        </w:tc>
        <w:tc>
          <w:tcPr>
            <w:tcW w:w="2750"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bscript"/>
                <w:lang w:bidi="cs-CZ"/>
              </w:rPr>
              <w:t>QC</w:t>
            </w:r>
            <w:r w:rsidRPr="00A10A95">
              <w:rPr>
                <w:rFonts w:asciiTheme="minorHAnsi" w:eastAsia="Arial Narrow" w:hAnsiTheme="minorHAnsi" w:cstheme="minorHAnsi"/>
                <w:sz w:val="16"/>
                <w:szCs w:val="18"/>
                <w:lang w:bidi="cs-CZ"/>
              </w:rPr>
              <w:t xml:space="preserve"> QPCV2</w:t>
            </w:r>
          </w:p>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Standard PC. QPCV2 10</w:t>
            </w:r>
            <w:r w:rsidRPr="00A10A95">
              <w:rPr>
                <w:rFonts w:asciiTheme="minorHAnsi" w:eastAsia="Arial Narrow" w:hAnsiTheme="minorHAnsi" w:cstheme="minorHAnsi"/>
                <w:sz w:val="16"/>
                <w:szCs w:val="18"/>
                <w:vertAlign w:val="superscript"/>
                <w:lang w:bidi="cs-CZ"/>
              </w:rPr>
              <w:t>-4</w:t>
            </w:r>
            <w:r w:rsidRPr="00A10A95">
              <w:rPr>
                <w:rFonts w:asciiTheme="minorHAnsi" w:eastAsia="Arial Narrow" w:hAnsiTheme="minorHAnsi" w:cstheme="minorHAnsi"/>
                <w:sz w:val="16"/>
                <w:szCs w:val="18"/>
                <w:lang w:bidi="cs-CZ"/>
              </w:rPr>
              <w:t xml:space="preserve"> ± 3 Ct</w:t>
            </w:r>
            <w:r w:rsidRPr="00A10A95">
              <w:rPr>
                <w:rFonts w:asciiTheme="minorHAnsi" w:eastAsia="Arial Narrow" w:hAnsiTheme="minorHAnsi" w:cstheme="minorHAnsi"/>
                <w:sz w:val="16"/>
                <w:szCs w:val="18"/>
                <w:vertAlign w:val="superscript"/>
                <w:lang w:bidi="cs-CZ"/>
              </w:rPr>
              <w:t>(1)</w:t>
            </w:r>
          </w:p>
        </w:tc>
        <w:tc>
          <w:tcPr>
            <w:tcW w:w="2755"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&lt; 40 nebo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r w:rsidRPr="00A10A95">
              <w:rPr>
                <w:rFonts w:asciiTheme="minorHAnsi" w:eastAsia="Arial Narrow" w:hAnsiTheme="minorHAnsi" w:cstheme="minorHAnsi"/>
                <w:sz w:val="16"/>
                <w:szCs w:val="18"/>
                <w:vertAlign w:val="superscript"/>
                <w:lang w:bidi="cs-CZ"/>
              </w:rPr>
              <w:t>(2)</w:t>
            </w:r>
          </w:p>
        </w:tc>
        <w:tc>
          <w:tcPr>
            <w:tcW w:w="2765"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Validováno pro PCR</w:t>
            </w:r>
          </w:p>
        </w:tc>
      </w:tr>
      <w:tr w:rsidR="00FD5443" w:rsidRPr="00A10A95" w:rsidTr="00CA09C9">
        <w:trPr>
          <w:trHeight w:val="57"/>
        </w:trPr>
        <w:tc>
          <w:tcPr>
            <w:tcW w:w="869"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b</w:t>
            </w:r>
          </w:p>
        </w:tc>
        <w:tc>
          <w:tcPr>
            <w:tcW w:w="1392"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NCS</w:t>
            </w:r>
          </w:p>
        </w:tc>
        <w:tc>
          <w:tcPr>
            <w:tcW w:w="2750"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p>
        </w:tc>
        <w:tc>
          <w:tcPr>
            <w:tcW w:w="2755" w:type="dxa"/>
            <w:tcBorders>
              <w:top w:val="single" w:sz="4" w:space="0" w:color="auto"/>
              <w:left w:val="single" w:sz="4" w:space="0" w:color="auto"/>
            </w:tcBorders>
            <w:shd w:val="clear" w:color="auto" w:fill="FFFFFF"/>
            <w:vAlign w:val="center"/>
          </w:tcPr>
          <w:p w:rsidR="0010365B" w:rsidRPr="00A10A95" w:rsidRDefault="0010365B" w:rsidP="0010365B">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bscript"/>
                <w:lang w:bidi="cs-CZ"/>
              </w:rPr>
              <w:t>QC</w:t>
            </w:r>
            <w:r w:rsidRPr="00A10A95">
              <w:rPr>
                <w:rFonts w:asciiTheme="minorHAnsi" w:eastAsia="Arial Narrow" w:hAnsiTheme="minorHAnsi" w:cstheme="minorHAnsi"/>
                <w:sz w:val="16"/>
                <w:szCs w:val="18"/>
                <w:lang w:bidi="cs-CZ"/>
              </w:rPr>
              <w:t xml:space="preserve"> IPC</w:t>
            </w:r>
          </w:p>
          <w:p w:rsidR="00FD5443" w:rsidRPr="00A10A95" w:rsidRDefault="00395945" w:rsidP="0010365B">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b/>
                <w:sz w:val="16"/>
                <w:szCs w:val="18"/>
                <w:lang w:bidi="cs-CZ"/>
              </w:rPr>
              <w:t>5 - IPC QPCV2</w:t>
            </w:r>
            <w:r w:rsidRPr="00A10A95">
              <w:rPr>
                <w:rFonts w:asciiTheme="minorHAnsi" w:eastAsia="Arial Narrow" w:hAnsiTheme="minorHAnsi" w:cstheme="minorHAnsi"/>
                <w:sz w:val="16"/>
                <w:szCs w:val="18"/>
                <w:lang w:bidi="cs-CZ"/>
              </w:rPr>
              <w:t xml:space="preserve"> ± 3 Ct</w:t>
            </w:r>
            <w:r w:rsidRPr="00A10A95">
              <w:rPr>
                <w:rFonts w:asciiTheme="minorHAnsi" w:eastAsia="Arial Narrow" w:hAnsiTheme="minorHAnsi" w:cstheme="minorHAnsi"/>
                <w:sz w:val="16"/>
                <w:szCs w:val="18"/>
                <w:vertAlign w:val="superscript"/>
                <w:lang w:bidi="cs-CZ"/>
              </w:rPr>
              <w:t>(3)</w:t>
            </w:r>
          </w:p>
        </w:tc>
        <w:tc>
          <w:tcPr>
            <w:tcW w:w="2765"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Validováno pro extrakci</w:t>
            </w:r>
          </w:p>
        </w:tc>
      </w:tr>
      <w:tr w:rsidR="00FD5443" w:rsidRPr="00A10A95" w:rsidTr="00CA09C9">
        <w:trPr>
          <w:trHeight w:val="57"/>
        </w:trPr>
        <w:tc>
          <w:tcPr>
            <w:tcW w:w="869"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p>
        </w:tc>
        <w:tc>
          <w:tcPr>
            <w:tcW w:w="1392"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NC</w:t>
            </w:r>
          </w:p>
        </w:tc>
        <w:tc>
          <w:tcPr>
            <w:tcW w:w="2750"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p>
        </w:tc>
        <w:tc>
          <w:tcPr>
            <w:tcW w:w="2755" w:type="dxa"/>
            <w:tcBorders>
              <w:top w:val="single" w:sz="4" w:space="0" w:color="auto"/>
              <w:left w:val="single" w:sz="4" w:space="0" w:color="auto"/>
              <w:bottom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p>
        </w:tc>
        <w:tc>
          <w:tcPr>
            <w:tcW w:w="2765"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Validované PCR složky</w:t>
            </w:r>
          </w:p>
        </w:tc>
      </w:tr>
    </w:tbl>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Viz hodnoty uvedené v oddílu 2.1 „Standardu“, certifikátu o analýze šarže použité pro daný test.</w:t>
      </w:r>
    </w:p>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2)</w:t>
      </w:r>
      <w:r w:rsidRPr="00A10A95">
        <w:rPr>
          <w:rFonts w:asciiTheme="minorHAnsi" w:eastAsia="Arial Narrow" w:hAnsiTheme="minorHAnsi" w:cstheme="minorHAnsi"/>
          <w:sz w:val="16"/>
          <w:szCs w:val="18"/>
          <w:lang w:bidi="cs-CZ"/>
        </w:rPr>
        <w:t xml:space="preserve"> Hodnota IPC v PC by se neměla použít k validaci testu.</w:t>
      </w:r>
    </w:p>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(3)</w:t>
      </w:r>
      <w:r w:rsidRPr="00A10A95">
        <w:rPr>
          <w:rFonts w:asciiTheme="minorHAnsi" w:eastAsia="Arial Narrow" w:hAnsiTheme="minorHAnsi" w:cstheme="minorHAnsi"/>
          <w:sz w:val="16"/>
          <w:szCs w:val="18"/>
          <w:lang w:bidi="cs-CZ"/>
        </w:rPr>
        <w:t xml:space="preserve"> Viz hodnoty uvedené v oddílu 2.2 „IPC“, certifikátu o analýze šarže použité pro daný test.</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83E4C">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Další validační kritéria pro kvantitativní testy</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Pomocí programu PCR v reálném čase nastavte kvantifikační hodnoty (kopie/ml) pro každý bod dosahu na standardní křivce. Kromě kvalitativní validace testu je standardní křivka validována, jsou-li splněna následující kritéria: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2"/>
        <w:gridCol w:w="8563"/>
      </w:tblGrid>
      <w:tr w:rsidR="00FD5443" w:rsidRPr="00A10A95" w:rsidTr="00CA09C9">
        <w:trPr>
          <w:trHeight w:val="57"/>
        </w:trPr>
        <w:tc>
          <w:tcPr>
            <w:tcW w:w="2222"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Parametr</w:t>
            </w:r>
          </w:p>
        </w:tc>
        <w:tc>
          <w:tcPr>
            <w:tcW w:w="8563"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Validační kritéria</w:t>
            </w:r>
          </w:p>
        </w:tc>
      </w:tr>
      <w:tr w:rsidR="00FD5443" w:rsidRPr="00A10A95" w:rsidTr="00CA09C9">
        <w:trPr>
          <w:trHeight w:val="57"/>
        </w:trPr>
        <w:tc>
          <w:tcPr>
            <w:tcW w:w="2222" w:type="dxa"/>
            <w:tcBorders>
              <w:top w:val="single" w:sz="4" w:space="0" w:color="auto"/>
              <w:lef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Standardní křivka</w:t>
            </w:r>
          </w:p>
        </w:tc>
        <w:tc>
          <w:tcPr>
            <w:tcW w:w="856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 xml:space="preserve">Hodnota Ct pro cíl QPCV2 každém bodu dosahu: Ct = Ct QC QPCV2 </w:t>
            </w:r>
            <w:r w:rsidRPr="00A10A95">
              <w:rPr>
                <w:rFonts w:asciiTheme="minorHAnsi" w:eastAsia="Arial Narrow" w:hAnsiTheme="minorHAnsi" w:cstheme="minorHAnsi"/>
                <w:b/>
                <w:sz w:val="16"/>
                <w:szCs w:val="18"/>
                <w:lang w:bidi="cs-CZ"/>
              </w:rPr>
              <w:t>4b - Standard PC. QPCV2</w:t>
            </w:r>
            <w:r w:rsidRPr="00A10A95">
              <w:rPr>
                <w:rFonts w:asciiTheme="minorHAnsi" w:eastAsia="Arial Narrow" w:hAnsiTheme="minorHAnsi" w:cstheme="minorHAnsi"/>
                <w:sz w:val="16"/>
                <w:szCs w:val="18"/>
                <w:lang w:bidi="cs-CZ"/>
              </w:rPr>
              <w:t xml:space="preserve"> ±3 Ct</w:t>
            </w:r>
            <w:r w:rsidRPr="00A10A95">
              <w:rPr>
                <w:rFonts w:asciiTheme="minorHAnsi" w:eastAsia="Arial Narrow" w:hAnsiTheme="minorHAnsi" w:cstheme="minorHAnsi"/>
                <w:sz w:val="16"/>
                <w:szCs w:val="18"/>
                <w:vertAlign w:val="superscript"/>
                <w:lang w:bidi="cs-CZ"/>
              </w:rPr>
              <w:t>(1)</w:t>
            </w:r>
          </w:p>
        </w:tc>
      </w:tr>
      <w:tr w:rsidR="00FD5443" w:rsidRPr="00A10A95" w:rsidTr="00CA09C9">
        <w:trPr>
          <w:trHeight w:val="57"/>
        </w:trPr>
        <w:tc>
          <w:tcPr>
            <w:tcW w:w="2222"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Účinnost PCR</w:t>
            </w:r>
          </w:p>
        </w:tc>
        <w:tc>
          <w:tcPr>
            <w:tcW w:w="8563"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10365B">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85-115 % (sklon -3.743 až -3.008)</w:t>
            </w:r>
          </w:p>
        </w:tc>
      </w:tr>
    </w:tbl>
    <w:p w:rsidR="00FD5443" w:rsidRPr="00A10A95" w:rsidRDefault="00395945" w:rsidP="00976E86">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Viz odpovídající bod dosahu uvedený v oddílu 2.1 „Standardu“, certifikátu o analýze šarže použité pro daný test.</w:t>
      </w:r>
    </w:p>
    <w:p w:rsidR="00FD5443" w:rsidRPr="00A10A95" w:rsidRDefault="00FD5443" w:rsidP="00976E86">
      <w:pPr>
        <w:spacing w:line="276" w:lineRule="auto"/>
        <w:rPr>
          <w:rFonts w:asciiTheme="minorHAnsi" w:hAnsiTheme="minorHAnsi" w:cstheme="minorHAnsi"/>
          <w:sz w:val="12"/>
          <w:szCs w:val="18"/>
        </w:rPr>
      </w:pPr>
    </w:p>
    <w:p w:rsidR="00FD5443" w:rsidRPr="00A10A95" w:rsidRDefault="00395945" w:rsidP="00883E4C">
      <w:pPr>
        <w:spacing w:line="276" w:lineRule="auto"/>
        <w:outlineLvl w:val="3"/>
        <w:rPr>
          <w:rFonts w:asciiTheme="minorHAnsi" w:hAnsiTheme="minorHAnsi" w:cstheme="minorHAnsi"/>
          <w:b/>
          <w:szCs w:val="18"/>
        </w:rPr>
      </w:pPr>
      <w:r w:rsidRPr="00A10A95">
        <w:rPr>
          <w:rFonts w:asciiTheme="minorHAnsi" w:eastAsia="Arial Narrow" w:hAnsiTheme="minorHAnsi" w:cstheme="minorHAnsi"/>
          <w:b/>
          <w:sz w:val="18"/>
          <w:szCs w:val="18"/>
          <w:lang w:bidi="cs-CZ"/>
        </w:rPr>
        <w:t>Interpretace výsledků</w:t>
      </w:r>
    </w:p>
    <w:p w:rsidR="00FD5443" w:rsidRPr="00A10A95" w:rsidRDefault="00395945" w:rsidP="00883E4C">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Kvalitativní aplikace</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U každého analyzovaného vzorku interpretujte výsledky podle pokynu:</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07"/>
        <w:gridCol w:w="2074"/>
        <w:gridCol w:w="3418"/>
        <w:gridCol w:w="3763"/>
      </w:tblGrid>
      <w:tr w:rsidR="00FD5443" w:rsidRPr="00A10A95" w:rsidTr="00CA09C9">
        <w:trPr>
          <w:trHeight w:val="57"/>
        </w:trPr>
        <w:tc>
          <w:tcPr>
            <w:tcW w:w="1507"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QPCV2 detektor</w:t>
            </w:r>
          </w:p>
        </w:tc>
        <w:tc>
          <w:tcPr>
            <w:tcW w:w="2074"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IPC detektor</w:t>
            </w:r>
          </w:p>
        </w:tc>
        <w:tc>
          <w:tcPr>
            <w:tcW w:w="3418"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Interpretace pro krev, sérum, orgány</w:t>
            </w:r>
          </w:p>
        </w:tc>
        <w:tc>
          <w:tcPr>
            <w:tcW w:w="3763"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Interpretace pro orální tekutiny, nosní výtěry</w:t>
            </w:r>
          </w:p>
        </w:tc>
      </w:tr>
      <w:tr w:rsidR="00FD5443" w:rsidRPr="00A10A95" w:rsidTr="00CA09C9">
        <w:trPr>
          <w:trHeight w:val="57"/>
        </w:trPr>
        <w:tc>
          <w:tcPr>
            <w:tcW w:w="1507"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&lt; 37</w:t>
            </w:r>
          </w:p>
        </w:tc>
        <w:tc>
          <w:tcPr>
            <w:tcW w:w="2074"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&lt; 40 nebo Ct &gt; 40</w:t>
            </w:r>
          </w:p>
        </w:tc>
        <w:tc>
          <w:tcPr>
            <w:tcW w:w="3418"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PCV2 detekován</w:t>
            </w:r>
          </w:p>
        </w:tc>
        <w:tc>
          <w:tcPr>
            <w:tcW w:w="376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PCV2 detekován</w:t>
            </w:r>
          </w:p>
        </w:tc>
      </w:tr>
      <w:tr w:rsidR="00FD5443" w:rsidRPr="00A10A95" w:rsidTr="00CA09C9">
        <w:trPr>
          <w:trHeight w:val="57"/>
        </w:trPr>
        <w:tc>
          <w:tcPr>
            <w:tcW w:w="1507"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37 &lt;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&lt; 40</w:t>
            </w:r>
          </w:p>
        </w:tc>
        <w:tc>
          <w:tcPr>
            <w:tcW w:w="2074"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&lt;40 nebo Ct &gt; 40</w:t>
            </w:r>
          </w:p>
        </w:tc>
        <w:tc>
          <w:tcPr>
            <w:tcW w:w="3418"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PCV2 detekován</w:t>
            </w:r>
          </w:p>
        </w:tc>
        <w:tc>
          <w:tcPr>
            <w:tcW w:w="376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Suspektní výsledek</w:t>
            </w:r>
            <w:r w:rsidRPr="00A10A95">
              <w:rPr>
                <w:rFonts w:asciiTheme="minorHAnsi" w:eastAsia="Arial Narrow" w:hAnsiTheme="minorHAnsi" w:cstheme="minorHAnsi"/>
                <w:sz w:val="16"/>
                <w:szCs w:val="18"/>
                <w:vertAlign w:val="superscript"/>
                <w:lang w:bidi="cs-CZ"/>
              </w:rPr>
              <w:t>(1)</w:t>
            </w:r>
          </w:p>
        </w:tc>
      </w:tr>
      <w:tr w:rsidR="00FD5443" w:rsidRPr="00A10A95" w:rsidTr="00CA09C9">
        <w:trPr>
          <w:trHeight w:val="57"/>
        </w:trPr>
        <w:tc>
          <w:tcPr>
            <w:tcW w:w="1507"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p>
        </w:tc>
        <w:tc>
          <w:tcPr>
            <w:tcW w:w="2074" w:type="dxa"/>
            <w:tcBorders>
              <w:top w:val="single" w:sz="4" w:space="0" w:color="auto"/>
              <w:left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IPC NCS + 3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perscript"/>
                <w:lang w:bidi="cs-CZ"/>
              </w:rPr>
              <w:t>(2)</w:t>
            </w:r>
          </w:p>
        </w:tc>
        <w:tc>
          <w:tcPr>
            <w:tcW w:w="3418" w:type="dxa"/>
            <w:tcBorders>
              <w:top w:val="single" w:sz="4" w:space="0" w:color="auto"/>
              <w:lef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PCV2 nedetekován</w:t>
            </w:r>
          </w:p>
        </w:tc>
        <w:tc>
          <w:tcPr>
            <w:tcW w:w="3763"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PCV2 nedetekován</w:t>
            </w:r>
          </w:p>
        </w:tc>
      </w:tr>
      <w:tr w:rsidR="00FD5443" w:rsidRPr="00A10A95" w:rsidTr="00CA09C9">
        <w:trPr>
          <w:trHeight w:val="57"/>
        </w:trPr>
        <w:tc>
          <w:tcPr>
            <w:tcW w:w="1507" w:type="dxa"/>
            <w:tcBorders>
              <w:top w:val="single" w:sz="4" w:space="0" w:color="auto"/>
              <w:left w:val="single" w:sz="4" w:space="0" w:color="auto"/>
              <w:bottom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40</w:t>
            </w:r>
          </w:p>
        </w:tc>
        <w:tc>
          <w:tcPr>
            <w:tcW w:w="2074" w:type="dxa"/>
            <w:tcBorders>
              <w:top w:val="single" w:sz="4" w:space="0" w:color="auto"/>
              <w:left w:val="single" w:sz="4" w:space="0" w:color="auto"/>
              <w:bottom w:val="single" w:sz="4" w:space="0" w:color="auto"/>
            </w:tcBorders>
            <w:shd w:val="clear" w:color="auto" w:fill="FFFFFF"/>
            <w:vAlign w:val="center"/>
          </w:tcPr>
          <w:p w:rsidR="00FD5443" w:rsidRPr="00A10A95" w:rsidRDefault="0010365B"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IPC NCS + 3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w:t>
            </w:r>
            <w:r w:rsidRPr="00A10A95">
              <w:rPr>
                <w:rFonts w:asciiTheme="minorHAnsi" w:eastAsia="Arial Narrow" w:hAnsiTheme="minorHAnsi" w:cstheme="minorHAnsi"/>
                <w:sz w:val="16"/>
                <w:szCs w:val="18"/>
                <w:vertAlign w:val="superscript"/>
                <w:lang w:bidi="cs-CZ"/>
              </w:rPr>
              <w:t>(2)</w:t>
            </w:r>
          </w:p>
        </w:tc>
        <w:tc>
          <w:tcPr>
            <w:tcW w:w="3418"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Neplatný výsledek</w:t>
            </w:r>
            <w:r w:rsidRPr="00A10A95">
              <w:rPr>
                <w:rFonts w:asciiTheme="minorHAnsi" w:eastAsia="Arial Narrow" w:hAnsiTheme="minorHAnsi" w:cstheme="minorHAnsi"/>
                <w:sz w:val="16"/>
                <w:szCs w:val="18"/>
                <w:vertAlign w:val="superscript"/>
                <w:lang w:bidi="cs-CZ"/>
              </w:rPr>
              <w:t>(3)</w:t>
            </w:r>
          </w:p>
        </w:tc>
        <w:tc>
          <w:tcPr>
            <w:tcW w:w="3763"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3D1902">
            <w:pPr>
              <w:spacing w:line="276" w:lineRule="auto"/>
              <w:jc w:val="center"/>
              <w:rPr>
                <w:rFonts w:asciiTheme="minorHAnsi" w:hAnsiTheme="minorHAnsi" w:cstheme="minorHAnsi"/>
                <w:sz w:val="16"/>
                <w:szCs w:val="18"/>
              </w:rPr>
            </w:pPr>
            <w:r w:rsidRPr="00A10A95">
              <w:rPr>
                <w:rFonts w:asciiTheme="minorHAnsi" w:eastAsia="Arial Narrow" w:hAnsiTheme="minorHAnsi" w:cstheme="minorHAnsi"/>
                <w:sz w:val="16"/>
                <w:szCs w:val="18"/>
                <w:lang w:bidi="cs-CZ"/>
              </w:rPr>
              <w:t>Neplatný výsledek</w:t>
            </w:r>
            <w:r w:rsidRPr="00A10A95">
              <w:rPr>
                <w:rFonts w:asciiTheme="minorHAnsi" w:eastAsia="Arial Narrow" w:hAnsiTheme="minorHAnsi" w:cstheme="minorHAnsi"/>
                <w:sz w:val="16"/>
                <w:szCs w:val="18"/>
                <w:vertAlign w:val="superscript"/>
                <w:lang w:bidi="cs-CZ"/>
              </w:rPr>
              <w:t>(3)</w:t>
            </w:r>
          </w:p>
        </w:tc>
      </w:tr>
    </w:tbl>
    <w:p w:rsidR="00FD5443" w:rsidRPr="00A10A95" w:rsidRDefault="00395945" w:rsidP="003D1902">
      <w:pPr>
        <w:spacing w:line="276" w:lineRule="auto"/>
        <w:ind w:left="142" w:hanging="142"/>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(1)</w:t>
      </w:r>
      <w:r w:rsidRPr="00A10A95">
        <w:rPr>
          <w:rFonts w:asciiTheme="minorHAnsi" w:eastAsia="Arial Narrow" w:hAnsiTheme="minorHAnsi" w:cstheme="minorHAnsi"/>
          <w:sz w:val="16"/>
          <w:szCs w:val="18"/>
          <w:lang w:bidi="cs-CZ"/>
        </w:rPr>
        <w:t xml:space="preserve"> U orálních tekutin a nosních výtěrů se za suspektní výsledek považuje hodnota Ct &gt; 37, která odpovídá limitu detekce PCR. Doporučujeme zopakovat PCR v reálném čase.</w:t>
      </w:r>
    </w:p>
    <w:p w:rsidR="00FD5443" w:rsidRPr="00A10A95" w:rsidRDefault="00395945" w:rsidP="003D1902">
      <w:pPr>
        <w:spacing w:line="276" w:lineRule="auto"/>
        <w:ind w:left="142" w:hanging="142"/>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(2)</w:t>
      </w:r>
      <w:r w:rsidRPr="00A10A95">
        <w:rPr>
          <w:rFonts w:asciiTheme="minorHAnsi" w:eastAsia="Arial Narrow" w:hAnsiTheme="minorHAnsi" w:cstheme="minorHAnsi"/>
          <w:sz w:val="16"/>
          <w:szCs w:val="18"/>
          <w:lang w:bidi="cs-CZ"/>
        </w:rPr>
        <w:t xml:space="preserve"> Viz hodnota IPC Ct získaná pro NCS připravený během stejné extrakční série jako vzorky, které mají být analyzovány. Hodnota IPC Ct získaná pro tento NCS musí být nejprve validována, jak je popsáno výše.</w:t>
      </w:r>
    </w:p>
    <w:p w:rsidR="00FD5443" w:rsidRPr="00A10A95" w:rsidRDefault="00395945" w:rsidP="003D1902">
      <w:pPr>
        <w:spacing w:line="276" w:lineRule="auto"/>
        <w:ind w:left="142" w:hanging="142"/>
        <w:rPr>
          <w:rFonts w:asciiTheme="minorHAnsi" w:hAnsiTheme="minorHAnsi" w:cstheme="minorHAnsi"/>
          <w:sz w:val="16"/>
          <w:szCs w:val="18"/>
        </w:rPr>
      </w:pPr>
      <w:r w:rsidRPr="00A10A95">
        <w:rPr>
          <w:rFonts w:asciiTheme="minorHAnsi" w:eastAsia="Arial Narrow" w:hAnsiTheme="minorHAnsi" w:cstheme="minorHAnsi"/>
          <w:sz w:val="16"/>
          <w:szCs w:val="18"/>
          <w:vertAlign w:val="superscript"/>
          <w:lang w:bidi="cs-CZ"/>
        </w:rPr>
        <w:t>(3)</w:t>
      </w:r>
      <w:r w:rsidRPr="00A10A95">
        <w:rPr>
          <w:rFonts w:asciiTheme="minorHAnsi" w:eastAsia="Arial Narrow" w:hAnsiTheme="minorHAnsi" w:cstheme="minorHAnsi"/>
          <w:sz w:val="16"/>
          <w:szCs w:val="18"/>
          <w:lang w:bidi="cs-CZ"/>
        </w:rPr>
        <w:t xml:space="preserve"> Výsledek bude považován za neplatný z důvodu nevyhovující hodnoty IPC.</w:t>
      </w:r>
    </w:p>
    <w:p w:rsidR="00CA09C9" w:rsidRPr="00A10A95" w:rsidRDefault="00CA09C9" w:rsidP="001126FE">
      <w:pPr>
        <w:spacing w:line="276" w:lineRule="auto"/>
        <w:outlineLvl w:val="3"/>
        <w:rPr>
          <w:rFonts w:asciiTheme="minorHAnsi" w:hAnsiTheme="minorHAnsi" w:cstheme="minorHAnsi"/>
          <w:b/>
          <w:sz w:val="20"/>
          <w:szCs w:val="18"/>
        </w:rPr>
        <w:sectPr w:rsidR="00CA09C9" w:rsidRPr="00A10A95" w:rsidSect="003D1902">
          <w:headerReference w:type="even" r:id="rId8"/>
          <w:headerReference w:type="default" r:id="rId9"/>
          <w:footerReference w:type="even" r:id="rId10"/>
          <w:footerReference w:type="default" r:id="rId11"/>
          <w:headerReference w:type="first" r:id="rId12"/>
          <w:footerReference w:type="first" r:id="rId13"/>
          <w:type w:val="continuous"/>
          <w:pgSz w:w="11909" w:h="16834"/>
          <w:pgMar w:top="567" w:right="569" w:bottom="851" w:left="709" w:header="0" w:footer="3" w:gutter="0"/>
          <w:cols w:space="720"/>
          <w:noEndnote/>
          <w:titlePg/>
          <w:docGrid w:linePitch="360"/>
        </w:sectPr>
      </w:pPr>
    </w:p>
    <w:p w:rsidR="00FD5443" w:rsidRPr="00A10A95" w:rsidRDefault="00395945" w:rsidP="001126FE">
      <w:pPr>
        <w:spacing w:line="276" w:lineRule="auto"/>
        <w:outlineLvl w:val="3"/>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lastRenderedPageBreak/>
        <w:t>Kvantitativní aplikace</w:t>
      </w:r>
    </w:p>
    <w:p w:rsidR="00FD5443" w:rsidRPr="00A10A95" w:rsidRDefault="00FD5443" w:rsidP="00976E86">
      <w:pPr>
        <w:spacing w:line="276" w:lineRule="auto"/>
        <w:rPr>
          <w:rFonts w:asciiTheme="minorHAnsi" w:hAnsiTheme="minorHAnsi" w:cstheme="minorHAnsi"/>
          <w:sz w:val="18"/>
          <w:szCs w:val="18"/>
        </w:rPr>
      </w:pPr>
    </w:p>
    <w:p w:rsidR="00FD5443" w:rsidRPr="00A10A95" w:rsidRDefault="00395945" w:rsidP="00976E86">
      <w:pPr>
        <w:spacing w:line="276" w:lineRule="auto"/>
        <w:rPr>
          <w:rFonts w:asciiTheme="minorHAnsi" w:hAnsiTheme="minorHAnsi" w:cstheme="minorHAnsi"/>
          <w:b/>
          <w:sz w:val="18"/>
          <w:szCs w:val="18"/>
        </w:rPr>
      </w:pPr>
      <w:r w:rsidRPr="00A10A95">
        <w:rPr>
          <w:rFonts w:asciiTheme="minorHAnsi" w:eastAsia="Arial Narrow" w:hAnsiTheme="minorHAnsi" w:cstheme="minorHAnsi"/>
          <w:b/>
          <w:sz w:val="18"/>
          <w:szCs w:val="18"/>
          <w:lang w:bidi="cs-CZ"/>
        </w:rPr>
        <w:t>Výpočet koncentrace extraktu DNA</w:t>
      </w:r>
    </w:p>
    <w:p w:rsidR="00FD5443" w:rsidRPr="00A10A95" w:rsidRDefault="00395945" w:rsidP="000423E9">
      <w:pPr>
        <w:pStyle w:val="Odstavecseseznamem"/>
        <w:numPr>
          <w:ilvl w:val="0"/>
          <w:numId w:val="1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Ověřte, zda jsou validovány NCS, NC a standardní křivka.</w:t>
      </w:r>
    </w:p>
    <w:p w:rsidR="00FD5443" w:rsidRPr="00A10A95" w:rsidRDefault="00395945" w:rsidP="000423E9">
      <w:pPr>
        <w:pStyle w:val="Odstavecseseznamem"/>
        <w:numPr>
          <w:ilvl w:val="0"/>
          <w:numId w:val="1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Zjistěte, zda jsou neznámé vzorky kvantifikovatelné:</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2702"/>
        <w:gridCol w:w="2155"/>
        <w:gridCol w:w="3667"/>
      </w:tblGrid>
      <w:tr w:rsidR="00FD5443" w:rsidRPr="00A10A95" w:rsidTr="003D1902">
        <w:trPr>
          <w:trHeight w:val="269"/>
        </w:trPr>
        <w:tc>
          <w:tcPr>
            <w:tcW w:w="1987"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IPC detektor</w:t>
            </w:r>
          </w:p>
        </w:tc>
        <w:tc>
          <w:tcPr>
            <w:tcW w:w="2702"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QPCV2 detektor</w:t>
            </w:r>
          </w:p>
        </w:tc>
        <w:tc>
          <w:tcPr>
            <w:tcW w:w="2155" w:type="dxa"/>
            <w:tcBorders>
              <w:top w:val="single" w:sz="4" w:space="0" w:color="auto"/>
              <w:lef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Interpretace</w:t>
            </w:r>
          </w:p>
        </w:tc>
        <w:tc>
          <w:tcPr>
            <w:tcW w:w="3667" w:type="dxa"/>
            <w:tcBorders>
              <w:top w:val="single" w:sz="4" w:space="0" w:color="auto"/>
              <w:left w:val="single" w:sz="4" w:space="0" w:color="auto"/>
              <w:right w:val="single" w:sz="4" w:space="0" w:color="auto"/>
            </w:tcBorders>
            <w:shd w:val="clear" w:color="auto" w:fill="D9D9D9" w:themeFill="background1" w:themeFillShade="D9"/>
            <w:vAlign w:val="center"/>
          </w:tcPr>
          <w:p w:rsidR="00FD5443" w:rsidRPr="00A10A95" w:rsidRDefault="00395945" w:rsidP="003D1902">
            <w:pPr>
              <w:spacing w:line="276" w:lineRule="auto"/>
              <w:jc w:val="center"/>
              <w:rPr>
                <w:rFonts w:asciiTheme="minorHAnsi" w:hAnsiTheme="minorHAnsi" w:cstheme="minorHAnsi"/>
                <w:b/>
                <w:sz w:val="16"/>
                <w:szCs w:val="18"/>
              </w:rPr>
            </w:pPr>
            <w:r w:rsidRPr="00A10A95">
              <w:rPr>
                <w:rFonts w:asciiTheme="minorHAnsi" w:eastAsia="Arial Narrow" w:hAnsiTheme="minorHAnsi" w:cstheme="minorHAnsi"/>
                <w:b/>
                <w:sz w:val="16"/>
                <w:szCs w:val="18"/>
                <w:lang w:bidi="cs-CZ"/>
              </w:rPr>
              <w:t>Opatření</w:t>
            </w:r>
          </w:p>
        </w:tc>
      </w:tr>
      <w:tr w:rsidR="00FD5443" w:rsidRPr="00A10A95" w:rsidTr="003D1902">
        <w:trPr>
          <w:trHeight w:val="446"/>
        </w:trPr>
        <w:tc>
          <w:tcPr>
            <w:tcW w:w="1987" w:type="dxa"/>
            <w:vMerge w:val="restart"/>
            <w:tcBorders>
              <w:top w:val="single" w:sz="4" w:space="0" w:color="auto"/>
              <w:left w:val="single" w:sz="4" w:space="0" w:color="auto"/>
            </w:tcBorders>
            <w:shd w:val="clear" w:color="auto" w:fill="FFFFFF"/>
            <w:vAlign w:val="center"/>
          </w:tcPr>
          <w:p w:rsidR="00FD5443" w:rsidRPr="00A10A95" w:rsidRDefault="0010365B"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IPC NCS + 3 C</w:t>
            </w:r>
            <w:r w:rsidRPr="00A10A95">
              <w:rPr>
                <w:rFonts w:asciiTheme="minorHAnsi" w:eastAsia="Arial Narrow" w:hAnsiTheme="minorHAnsi" w:cstheme="minorHAnsi"/>
                <w:sz w:val="16"/>
                <w:szCs w:val="18"/>
                <w:vertAlign w:val="subscript"/>
                <w:lang w:bidi="cs-CZ"/>
              </w:rPr>
              <w:t>t</w:t>
            </w:r>
          </w:p>
        </w:tc>
        <w:tc>
          <w:tcPr>
            <w:tcW w:w="2702" w:type="dxa"/>
            <w:tcBorders>
              <w:top w:val="single" w:sz="4" w:space="0" w:color="auto"/>
              <w:left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spadá mezi 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bodu 1 a 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bodu 7 na standardní křivce</w:t>
            </w:r>
          </w:p>
        </w:tc>
        <w:tc>
          <w:tcPr>
            <w:tcW w:w="2155" w:type="dxa"/>
            <w:tcBorders>
              <w:top w:val="single" w:sz="4" w:space="0" w:color="auto"/>
              <w:left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Kvantifikovatelný vzorek</w:t>
            </w:r>
          </w:p>
        </w:tc>
        <w:tc>
          <w:tcPr>
            <w:tcW w:w="3667" w:type="dxa"/>
            <w:tcBorders>
              <w:top w:val="single" w:sz="4" w:space="0" w:color="auto"/>
              <w:left w:val="single" w:sz="4" w:space="0" w:color="auto"/>
              <w:right w:val="single" w:sz="4" w:space="0" w:color="auto"/>
            </w:tcBorders>
            <w:shd w:val="clear" w:color="auto" w:fill="FFFFFF"/>
            <w:vAlign w:val="center"/>
          </w:tcPr>
          <w:p w:rsidR="00FD5443" w:rsidRPr="00A10A95" w:rsidRDefault="00395945" w:rsidP="000423E9">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Přejděte ke kroku 4.</w:t>
            </w:r>
          </w:p>
        </w:tc>
      </w:tr>
      <w:tr w:rsidR="00FD5443" w:rsidRPr="00A10A95" w:rsidTr="003D1902">
        <w:trPr>
          <w:trHeight w:val="446"/>
        </w:trPr>
        <w:tc>
          <w:tcPr>
            <w:tcW w:w="1987" w:type="dxa"/>
            <w:vMerge/>
            <w:tcBorders>
              <w:left w:val="single" w:sz="4" w:space="0" w:color="auto"/>
            </w:tcBorders>
            <w:shd w:val="clear" w:color="auto" w:fill="FFFFFF"/>
            <w:vAlign w:val="center"/>
          </w:tcPr>
          <w:p w:rsidR="00FD5443" w:rsidRPr="00A10A95" w:rsidRDefault="00FD5443" w:rsidP="00EB0772">
            <w:pPr>
              <w:spacing w:line="276" w:lineRule="auto"/>
              <w:rPr>
                <w:rFonts w:asciiTheme="minorHAnsi" w:hAnsiTheme="minorHAnsi" w:cstheme="minorHAnsi"/>
                <w:sz w:val="16"/>
                <w:szCs w:val="18"/>
              </w:rPr>
            </w:pPr>
          </w:p>
        </w:tc>
        <w:tc>
          <w:tcPr>
            <w:tcW w:w="2702" w:type="dxa"/>
            <w:tcBorders>
              <w:top w:val="single" w:sz="4" w:space="0" w:color="auto"/>
              <w:left w:val="single" w:sz="4" w:space="0" w:color="auto"/>
            </w:tcBorders>
            <w:shd w:val="clear" w:color="auto" w:fill="FFFFFF"/>
            <w:vAlign w:val="center"/>
          </w:tcPr>
          <w:p w:rsidR="00FD5443" w:rsidRPr="00A10A95" w:rsidRDefault="003A68B0"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je nižší než 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bodu 1 standardní křivky</w:t>
            </w:r>
          </w:p>
        </w:tc>
        <w:tc>
          <w:tcPr>
            <w:tcW w:w="2155" w:type="dxa"/>
            <w:tcBorders>
              <w:top w:val="single" w:sz="4" w:space="0" w:color="auto"/>
              <w:left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Nekvantifikovatelný vzorek</w:t>
            </w:r>
          </w:p>
        </w:tc>
        <w:tc>
          <w:tcPr>
            <w:tcW w:w="3667" w:type="dxa"/>
            <w:vMerge w:val="restart"/>
            <w:tcBorders>
              <w:top w:val="single" w:sz="4" w:space="0" w:color="auto"/>
              <w:left w:val="single" w:sz="4" w:space="0" w:color="auto"/>
              <w:right w:val="single" w:sz="4" w:space="0" w:color="auto"/>
            </w:tcBorders>
            <w:shd w:val="clear" w:color="auto" w:fill="FFFFFF"/>
            <w:vAlign w:val="center"/>
          </w:tcPr>
          <w:p w:rsidR="00FD5443" w:rsidRPr="00A10A95" w:rsidRDefault="00395945" w:rsidP="000423E9">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Vykažte jako detekovatelný, ale mimo rozsah kvantifikace.</w:t>
            </w:r>
          </w:p>
        </w:tc>
      </w:tr>
      <w:tr w:rsidR="00FD5443" w:rsidRPr="00A10A95" w:rsidTr="003D1902">
        <w:trPr>
          <w:trHeight w:val="446"/>
        </w:trPr>
        <w:tc>
          <w:tcPr>
            <w:tcW w:w="1987" w:type="dxa"/>
            <w:vMerge/>
            <w:tcBorders>
              <w:left w:val="single" w:sz="4" w:space="0" w:color="auto"/>
            </w:tcBorders>
            <w:shd w:val="clear" w:color="auto" w:fill="FFFFFF"/>
            <w:vAlign w:val="center"/>
          </w:tcPr>
          <w:p w:rsidR="00FD5443" w:rsidRPr="00A10A95" w:rsidRDefault="00FD5443" w:rsidP="00EB0772">
            <w:pPr>
              <w:spacing w:line="276" w:lineRule="auto"/>
              <w:rPr>
                <w:rFonts w:asciiTheme="minorHAnsi" w:hAnsiTheme="minorHAnsi" w:cstheme="minorHAnsi"/>
                <w:sz w:val="16"/>
                <w:szCs w:val="18"/>
              </w:rPr>
            </w:pPr>
          </w:p>
        </w:tc>
        <w:tc>
          <w:tcPr>
            <w:tcW w:w="2702" w:type="dxa"/>
            <w:tcBorders>
              <w:top w:val="single" w:sz="4" w:space="0" w:color="auto"/>
              <w:left w:val="single" w:sz="4" w:space="0" w:color="auto"/>
            </w:tcBorders>
            <w:shd w:val="clear" w:color="auto" w:fill="FFFFFF"/>
            <w:vAlign w:val="center"/>
          </w:tcPr>
          <w:p w:rsidR="00FD5443" w:rsidRPr="00A10A95" w:rsidRDefault="003A68B0"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je vyšší než C</w:t>
            </w:r>
            <w:r w:rsidRPr="00A10A95">
              <w:rPr>
                <w:rFonts w:asciiTheme="minorHAnsi" w:eastAsia="Arial Narrow" w:hAnsiTheme="minorHAnsi" w:cstheme="minorHAnsi"/>
                <w:sz w:val="16"/>
                <w:szCs w:val="18"/>
                <w:vertAlign w:val="subscript"/>
                <w:lang w:bidi="cs-CZ"/>
              </w:rPr>
              <w:t xml:space="preserve">t </w:t>
            </w:r>
            <w:r w:rsidRPr="00A10A95">
              <w:rPr>
                <w:rFonts w:asciiTheme="minorHAnsi" w:eastAsia="Arial Narrow" w:hAnsiTheme="minorHAnsi" w:cstheme="minorHAnsi"/>
                <w:sz w:val="16"/>
                <w:szCs w:val="18"/>
                <w:lang w:bidi="cs-CZ"/>
              </w:rPr>
              <w:t>bodu 7 standardní křivky</w:t>
            </w:r>
          </w:p>
        </w:tc>
        <w:tc>
          <w:tcPr>
            <w:tcW w:w="2155" w:type="dxa"/>
            <w:tcBorders>
              <w:top w:val="single" w:sz="4" w:space="0" w:color="auto"/>
              <w:left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Nekvantifikovatelný vzorek</w:t>
            </w:r>
          </w:p>
        </w:tc>
        <w:tc>
          <w:tcPr>
            <w:tcW w:w="3667" w:type="dxa"/>
            <w:vMerge/>
            <w:tcBorders>
              <w:left w:val="single" w:sz="4" w:space="0" w:color="auto"/>
              <w:right w:val="single" w:sz="4" w:space="0" w:color="auto"/>
            </w:tcBorders>
            <w:shd w:val="clear" w:color="auto" w:fill="FFFFFF"/>
            <w:vAlign w:val="center"/>
          </w:tcPr>
          <w:p w:rsidR="00FD5443" w:rsidRPr="00A10A95" w:rsidRDefault="00FD5443" w:rsidP="000423E9">
            <w:pPr>
              <w:spacing w:line="276" w:lineRule="auto"/>
              <w:rPr>
                <w:rFonts w:asciiTheme="minorHAnsi" w:hAnsiTheme="minorHAnsi" w:cstheme="minorHAnsi"/>
                <w:sz w:val="16"/>
                <w:szCs w:val="18"/>
              </w:rPr>
            </w:pPr>
          </w:p>
        </w:tc>
      </w:tr>
      <w:tr w:rsidR="00FD5443" w:rsidRPr="00A10A95" w:rsidTr="003D1902">
        <w:trPr>
          <w:trHeight w:val="864"/>
        </w:trPr>
        <w:tc>
          <w:tcPr>
            <w:tcW w:w="1987" w:type="dxa"/>
            <w:tcBorders>
              <w:top w:val="single" w:sz="4" w:space="0" w:color="auto"/>
              <w:left w:val="single" w:sz="4" w:space="0" w:color="auto"/>
              <w:bottom w:val="single" w:sz="4" w:space="0" w:color="auto"/>
            </w:tcBorders>
            <w:shd w:val="clear" w:color="auto" w:fill="FFFFFF"/>
            <w:vAlign w:val="center"/>
          </w:tcPr>
          <w:p w:rsidR="00FD5443" w:rsidRPr="00A10A95" w:rsidRDefault="0010365B"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&gt;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IPC NCS + 3 C</w:t>
            </w:r>
            <w:r w:rsidRPr="00A10A95">
              <w:rPr>
                <w:rFonts w:asciiTheme="minorHAnsi" w:eastAsia="Arial Narrow" w:hAnsiTheme="minorHAnsi" w:cstheme="minorHAnsi"/>
                <w:sz w:val="16"/>
                <w:szCs w:val="18"/>
                <w:vertAlign w:val="subscript"/>
                <w:lang w:bidi="cs-CZ"/>
              </w:rPr>
              <w:t>t</w:t>
            </w:r>
          </w:p>
        </w:tc>
        <w:tc>
          <w:tcPr>
            <w:tcW w:w="2702"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Libovolná hodnota</w:t>
            </w:r>
          </w:p>
        </w:tc>
        <w:tc>
          <w:tcPr>
            <w:tcW w:w="2155" w:type="dxa"/>
            <w:tcBorders>
              <w:top w:val="single" w:sz="4" w:space="0" w:color="auto"/>
              <w:left w:val="single" w:sz="4" w:space="0" w:color="auto"/>
              <w:bottom w:val="single" w:sz="4" w:space="0" w:color="auto"/>
            </w:tcBorders>
            <w:shd w:val="clear" w:color="auto" w:fill="FFFFFF"/>
            <w:vAlign w:val="center"/>
          </w:tcPr>
          <w:p w:rsidR="00FD5443" w:rsidRPr="00A10A95" w:rsidRDefault="00395945" w:rsidP="00EB0772">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Neplatný výsledek</w:t>
            </w:r>
          </w:p>
        </w:tc>
        <w:tc>
          <w:tcPr>
            <w:tcW w:w="3667" w:type="dxa"/>
            <w:tcBorders>
              <w:top w:val="single" w:sz="4" w:space="0" w:color="auto"/>
              <w:left w:val="single" w:sz="4" w:space="0" w:color="auto"/>
              <w:bottom w:val="single" w:sz="4" w:space="0" w:color="auto"/>
              <w:right w:val="single" w:sz="4" w:space="0" w:color="auto"/>
            </w:tcBorders>
            <w:shd w:val="clear" w:color="auto" w:fill="FFFFFF"/>
            <w:vAlign w:val="center"/>
          </w:tcPr>
          <w:p w:rsidR="00FD5443" w:rsidRPr="00A10A95" w:rsidRDefault="00395945" w:rsidP="000423E9">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Zřeďte vzorek DNA v poměru 1 : 10 v 1X TE a proveďte novou analýzu PCR na 5 μl tohoto ředění.</w:t>
            </w:r>
          </w:p>
          <w:p w:rsidR="00FD5443" w:rsidRPr="00A10A95" w:rsidRDefault="00395945" w:rsidP="000423E9">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Vzorek je kvantifikovatelný, pokud:</w:t>
            </w:r>
          </w:p>
          <w:p w:rsidR="00FD5443" w:rsidRPr="00A10A95" w:rsidRDefault="000423E9" w:rsidP="000423E9">
            <w:pPr>
              <w:spacing w:line="276" w:lineRule="auto"/>
              <w:rPr>
                <w:rFonts w:asciiTheme="minorHAnsi" w:hAnsiTheme="minorHAnsi" w:cstheme="minorHAnsi"/>
                <w:sz w:val="16"/>
                <w:szCs w:val="18"/>
              </w:rPr>
            </w:pPr>
            <w:r w:rsidRPr="00A10A95">
              <w:rPr>
                <w:rFonts w:asciiTheme="minorHAnsi" w:eastAsia="Arial Narrow" w:hAnsiTheme="minorHAnsi" w:cstheme="minorHAnsi"/>
                <w:sz w:val="16"/>
                <w:szCs w:val="18"/>
                <w:lang w:bidi="cs-CZ"/>
              </w:rPr>
              <w:t>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 C</w:t>
            </w:r>
            <w:r w:rsidRPr="00A10A95">
              <w:rPr>
                <w:rFonts w:asciiTheme="minorHAnsi" w:eastAsia="Arial Narrow" w:hAnsiTheme="minorHAnsi" w:cstheme="minorHAnsi"/>
                <w:sz w:val="16"/>
                <w:szCs w:val="18"/>
                <w:vertAlign w:val="subscript"/>
                <w:lang w:bidi="cs-CZ"/>
              </w:rPr>
              <w:t>t</w:t>
            </w:r>
            <w:r w:rsidRPr="00A10A95">
              <w:rPr>
                <w:rFonts w:asciiTheme="minorHAnsi" w:eastAsia="Arial Narrow" w:hAnsiTheme="minorHAnsi" w:cstheme="minorHAnsi"/>
                <w:sz w:val="16"/>
                <w:szCs w:val="18"/>
                <w:lang w:bidi="cs-CZ"/>
              </w:rPr>
              <w:t xml:space="preserve"> IPC NCS + 6 C</w:t>
            </w:r>
            <w:r w:rsidRPr="00A10A95">
              <w:rPr>
                <w:rFonts w:asciiTheme="minorHAnsi" w:eastAsia="Arial Narrow" w:hAnsiTheme="minorHAnsi" w:cstheme="minorHAnsi"/>
                <w:sz w:val="16"/>
                <w:szCs w:val="18"/>
                <w:vertAlign w:val="subscript"/>
                <w:lang w:bidi="cs-CZ"/>
              </w:rPr>
              <w:t>t</w:t>
            </w:r>
          </w:p>
        </w:tc>
      </w:tr>
    </w:tbl>
    <w:p w:rsidR="00FD5443" w:rsidRPr="00A10A95" w:rsidRDefault="00395945" w:rsidP="000423E9">
      <w:pPr>
        <w:pStyle w:val="Odstavecseseznamem"/>
        <w:numPr>
          <w:ilvl w:val="0"/>
          <w:numId w:val="1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U kvantifikovatelných vzorků použijte program PCR v reálném čase pro výpočet cílového množství DNA PCV2 pro každou extrakci za použití standardní křivky.</w:t>
      </w:r>
    </w:p>
    <w:p w:rsidR="00FD5443" w:rsidRPr="00A10A95" w:rsidRDefault="00395945" w:rsidP="000423E9">
      <w:pPr>
        <w:pStyle w:val="Odstavecseseznamem"/>
        <w:numPr>
          <w:ilvl w:val="0"/>
          <w:numId w:val="14"/>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Vypočítejte množství PCV2 na vzorek.</w:t>
      </w:r>
    </w:p>
    <w:p w:rsidR="00FD5443" w:rsidRPr="00A10A95" w:rsidRDefault="00395945" w:rsidP="000423E9">
      <w:pPr>
        <w:spacing w:line="276" w:lineRule="auto"/>
        <w:ind w:left="284"/>
        <w:rPr>
          <w:rFonts w:asciiTheme="minorHAnsi" w:hAnsiTheme="minorHAnsi" w:cstheme="minorHAnsi"/>
          <w:sz w:val="18"/>
          <w:szCs w:val="18"/>
        </w:rPr>
      </w:pPr>
      <w:r w:rsidRPr="00A10A95">
        <w:rPr>
          <w:rFonts w:asciiTheme="minorHAnsi" w:eastAsia="Times New Roman" w:hAnsiTheme="minorHAnsi" w:cstheme="minorHAnsi"/>
          <w:b/>
          <w:sz w:val="18"/>
          <w:szCs w:val="18"/>
          <w:lang w:bidi="cs-CZ"/>
        </w:rPr>
        <w:t>Kopie PCV2/ml</w:t>
      </w:r>
      <w:r w:rsidRPr="00A10A95">
        <w:rPr>
          <w:rFonts w:asciiTheme="minorHAnsi" w:eastAsia="Times New Roman" w:hAnsiTheme="minorHAnsi" w:cstheme="minorHAnsi"/>
          <w:sz w:val="18"/>
          <w:szCs w:val="18"/>
          <w:lang w:bidi="cs-CZ"/>
        </w:rPr>
        <w:t xml:space="preserve"> = kvantifikace PCR (kopie/ml) x [(EV (μl) / TS (μl)]</w:t>
      </w:r>
    </w:p>
    <w:p w:rsidR="00FD5443" w:rsidRPr="00A10A95" w:rsidRDefault="00395945" w:rsidP="000423E9">
      <w:pPr>
        <w:pStyle w:val="Odstavecseseznamem"/>
        <w:numPr>
          <w:ilvl w:val="0"/>
          <w:numId w:val="4"/>
        </w:num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EV je eluční objem extrakční metody v μl.</w:t>
      </w:r>
    </w:p>
    <w:p w:rsidR="00FD5443" w:rsidRPr="00A10A95" w:rsidRDefault="00395945" w:rsidP="000423E9">
      <w:pPr>
        <w:pStyle w:val="Odstavecseseznamem"/>
        <w:numPr>
          <w:ilvl w:val="0"/>
          <w:numId w:val="4"/>
        </w:numPr>
        <w:spacing w:line="276" w:lineRule="auto"/>
        <w:rPr>
          <w:rFonts w:asciiTheme="minorHAnsi" w:hAnsiTheme="minorHAnsi" w:cstheme="minorHAnsi"/>
          <w:sz w:val="18"/>
          <w:szCs w:val="18"/>
        </w:rPr>
      </w:pPr>
      <w:r w:rsidRPr="00A10A95">
        <w:rPr>
          <w:rFonts w:asciiTheme="minorHAnsi" w:eastAsia="Times New Roman" w:hAnsiTheme="minorHAnsi" w:cstheme="minorHAnsi"/>
          <w:sz w:val="18"/>
          <w:szCs w:val="18"/>
          <w:lang w:bidi="cs-CZ"/>
        </w:rPr>
        <w:t>TS je vstupní objem vzorku při extrakci v μl.</w:t>
      </w:r>
    </w:p>
    <w:p w:rsidR="00FD5443" w:rsidRPr="00A10A95" w:rsidRDefault="00395945" w:rsidP="00976E86">
      <w:pPr>
        <w:spacing w:line="276" w:lineRule="auto"/>
        <w:rPr>
          <w:rFonts w:asciiTheme="minorHAnsi" w:hAnsiTheme="minorHAnsi" w:cstheme="minorHAnsi"/>
          <w:sz w:val="18"/>
          <w:szCs w:val="18"/>
        </w:rPr>
      </w:pPr>
      <w:r w:rsidRPr="00A10A95">
        <w:rPr>
          <w:rFonts w:asciiTheme="minorHAnsi" w:eastAsia="Arial Narrow" w:hAnsiTheme="minorHAnsi" w:cstheme="minorHAnsi"/>
          <w:b/>
          <w:sz w:val="18"/>
          <w:szCs w:val="18"/>
          <w:lang w:bidi="cs-CZ"/>
        </w:rPr>
        <w:t>POZNÁMKA</w:t>
      </w:r>
      <w:r w:rsidRPr="00A10A95">
        <w:rPr>
          <w:rFonts w:asciiTheme="minorHAnsi" w:eastAsia="Times New Roman" w:hAnsiTheme="minorHAnsi" w:cstheme="minorHAnsi"/>
          <w:sz w:val="18"/>
          <w:szCs w:val="18"/>
          <w:lang w:bidi="cs-CZ"/>
        </w:rPr>
        <w:t xml:space="preserve">: Je důležité vzít v úvahu ředicí faktory použité v průběhu procesu. U vzorků orgánů se doporučuje semlít orgány v 1 ml 1X PBS a zpracovat pomocí supernatantu po centrifugaci po dobu 2 minut při 1500 x </w:t>
      </w:r>
      <w:r w:rsidRPr="00A10A95">
        <w:rPr>
          <w:rFonts w:asciiTheme="minorHAnsi" w:eastAsia="Times New Roman" w:hAnsiTheme="minorHAnsi" w:cstheme="minorHAnsi"/>
          <w:i/>
          <w:sz w:val="18"/>
          <w:szCs w:val="18"/>
          <w:lang w:bidi="cs-CZ"/>
        </w:rPr>
        <w:t>g</w:t>
      </w:r>
      <w:r w:rsidRPr="00A10A95">
        <w:rPr>
          <w:rFonts w:asciiTheme="minorHAnsi" w:eastAsia="Times New Roman" w:hAnsiTheme="minorHAnsi" w:cstheme="minorHAnsi"/>
          <w:sz w:val="18"/>
          <w:szCs w:val="18"/>
          <w:lang w:bidi="cs-CZ"/>
        </w:rPr>
        <w:t xml:space="preserve"> . Množství PCV2 v kopiích/ml v supernatantu se proto přímo rovná množství PCV2 obsaženého v celém vzorku mletého orgánu.</w:t>
      </w:r>
    </w:p>
    <w:p w:rsidR="00FD5443" w:rsidRPr="00A10A95" w:rsidRDefault="00FD5443" w:rsidP="00976E86">
      <w:pPr>
        <w:spacing w:line="276" w:lineRule="auto"/>
        <w:rPr>
          <w:rFonts w:asciiTheme="minorHAnsi" w:hAnsiTheme="minorHAnsi" w:cstheme="minorHAnsi"/>
          <w:sz w:val="18"/>
          <w:szCs w:val="18"/>
        </w:rPr>
      </w:pPr>
    </w:p>
    <w:p w:rsidR="00FD5443" w:rsidRPr="00A10A95" w:rsidRDefault="00395945" w:rsidP="00976E86">
      <w:pPr>
        <w:spacing w:line="276" w:lineRule="auto"/>
        <w:rPr>
          <w:rFonts w:asciiTheme="minorHAnsi" w:hAnsiTheme="minorHAnsi" w:cstheme="minorHAnsi"/>
          <w:b/>
          <w:sz w:val="18"/>
          <w:szCs w:val="18"/>
        </w:rPr>
      </w:pPr>
      <w:bookmarkStart w:id="18" w:name="bookmark18"/>
      <w:r w:rsidRPr="00A10A95">
        <w:rPr>
          <w:rFonts w:asciiTheme="minorHAnsi" w:eastAsia="Arial Narrow" w:hAnsiTheme="minorHAnsi" w:cstheme="minorHAnsi"/>
          <w:b/>
          <w:sz w:val="18"/>
          <w:szCs w:val="18"/>
          <w:lang w:bidi="cs-CZ"/>
        </w:rPr>
        <w:t>Postup pro řešení neplatných výsledků</w:t>
      </w:r>
      <w:bookmarkEnd w:id="18"/>
    </w:p>
    <w:p w:rsidR="00FD5443" w:rsidRPr="00A10A95" w:rsidRDefault="00395945" w:rsidP="00FA50DA">
      <w:pPr>
        <w:pStyle w:val="Odstavecseseznamem"/>
        <w:numPr>
          <w:ilvl w:val="0"/>
          <w:numId w:val="1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Nevalidovaný vzorek RNA nařeďte v poměru 1 : 10 v 1X TE pufru.</w:t>
      </w:r>
    </w:p>
    <w:p w:rsidR="00FD5443" w:rsidRPr="00A10A95" w:rsidRDefault="00395945" w:rsidP="00FA50DA">
      <w:pPr>
        <w:pStyle w:val="Odstavecseseznamem"/>
        <w:numPr>
          <w:ilvl w:val="0"/>
          <w:numId w:val="1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Proveďte novou PCR analýzu na 5 μl tohoto ředění.</w:t>
      </w:r>
    </w:p>
    <w:p w:rsidR="00FD5443" w:rsidRPr="00A10A95" w:rsidRDefault="00395945" w:rsidP="00FA50DA">
      <w:pPr>
        <w:pStyle w:val="Odstavecseseznamem"/>
        <w:numPr>
          <w:ilvl w:val="0"/>
          <w:numId w:val="1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Pokud je zředěná DNA pozitivní nebo negativní na PCV2 s vyhovujícím výsledkem IPC, je získaný výsledek validován.</w:t>
      </w:r>
    </w:p>
    <w:p w:rsidR="00FD5443" w:rsidRPr="00A10A95" w:rsidRDefault="00395945" w:rsidP="00FA50DA">
      <w:pPr>
        <w:pStyle w:val="Odstavecseseznamem"/>
        <w:numPr>
          <w:ilvl w:val="0"/>
          <w:numId w:val="1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Pokud je zředěná DNA negativní na PCV2 a současně je nevyhovující výsledek IPC, získaný výsledek stále není validován. V takovém případě opakujte extrakci nukleové kyseliny za použití vzorku, který je před extrakcí předem naředěn 1 : 10 v 1X PBS pufru.</w:t>
      </w:r>
    </w:p>
    <w:p w:rsidR="00FD5443" w:rsidRPr="00A10A95" w:rsidRDefault="00395945" w:rsidP="00FA50DA">
      <w:pPr>
        <w:pStyle w:val="Odstavecseseznamem"/>
        <w:numPr>
          <w:ilvl w:val="0"/>
          <w:numId w:val="18"/>
        </w:numPr>
        <w:spacing w:line="276" w:lineRule="auto"/>
        <w:ind w:left="284" w:hanging="284"/>
        <w:rPr>
          <w:rFonts w:asciiTheme="minorHAnsi" w:hAnsiTheme="minorHAnsi" w:cstheme="minorHAnsi"/>
          <w:sz w:val="18"/>
          <w:szCs w:val="18"/>
        </w:rPr>
      </w:pPr>
      <w:r w:rsidRPr="00A10A95">
        <w:rPr>
          <w:rFonts w:asciiTheme="minorHAnsi" w:eastAsia="Times New Roman" w:hAnsiTheme="minorHAnsi" w:cstheme="minorHAnsi"/>
          <w:sz w:val="18"/>
          <w:szCs w:val="18"/>
          <w:lang w:bidi="cs-CZ"/>
        </w:rPr>
        <w:t>Pokud výsledek stále není validován, opakujte analýzu na novém vzorku.</w:t>
      </w:r>
    </w:p>
    <w:p w:rsidR="00FD5443" w:rsidRPr="00A10A95" w:rsidRDefault="00FD5443" w:rsidP="00976E86">
      <w:pPr>
        <w:spacing w:line="276" w:lineRule="auto"/>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030"/>
        <w:gridCol w:w="744"/>
      </w:tblGrid>
      <w:tr w:rsidR="005D5924" w:rsidRPr="00A10A95" w:rsidTr="00EB0772">
        <w:trPr>
          <w:trHeight w:val="470"/>
        </w:trPr>
        <w:tc>
          <w:tcPr>
            <w:tcW w:w="5030" w:type="dxa"/>
            <w:shd w:val="clear" w:color="auto" w:fill="FFFFFF"/>
          </w:tcPr>
          <w:p w:rsidR="005D5924" w:rsidRPr="00A10A95" w:rsidRDefault="005D5924" w:rsidP="000423E9">
            <w:pPr>
              <w:spacing w:line="276" w:lineRule="auto"/>
              <w:outlineLvl w:val="2"/>
              <w:rPr>
                <w:rFonts w:asciiTheme="minorHAnsi" w:hAnsiTheme="minorHAnsi" w:cstheme="minorHAnsi"/>
                <w:sz w:val="18"/>
                <w:szCs w:val="18"/>
              </w:rPr>
            </w:pPr>
            <w:r w:rsidRPr="00A10A95">
              <w:rPr>
                <w:rFonts w:asciiTheme="minorHAnsi" w:eastAsia="Arial Narrow" w:hAnsiTheme="minorHAnsi" w:cstheme="minorHAnsi"/>
                <w:b/>
                <w:sz w:val="18"/>
                <w:szCs w:val="18"/>
                <w:lang w:bidi="cs-CZ"/>
              </w:rPr>
              <w:t>Dokumentace a podpora</w:t>
            </w:r>
          </w:p>
        </w:tc>
        <w:tc>
          <w:tcPr>
            <w:tcW w:w="744" w:type="dxa"/>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EB0772">
        <w:trPr>
          <w:trHeight w:val="1205"/>
        </w:trPr>
        <w:tc>
          <w:tcPr>
            <w:tcW w:w="5030" w:type="dxa"/>
            <w:vMerge w:val="restart"/>
            <w:shd w:val="clear" w:color="auto" w:fill="FFFFFF"/>
          </w:tcPr>
          <w:p w:rsidR="005D5924" w:rsidRPr="00A10A95" w:rsidRDefault="005D5924" w:rsidP="000423E9">
            <w:pPr>
              <w:spacing w:line="276" w:lineRule="auto"/>
              <w:outlineLvl w:val="2"/>
              <w:rPr>
                <w:rFonts w:asciiTheme="minorHAnsi" w:hAnsiTheme="minorHAnsi" w:cstheme="minorHAnsi"/>
                <w:b/>
                <w:sz w:val="20"/>
                <w:szCs w:val="18"/>
              </w:rPr>
            </w:pPr>
            <w:r w:rsidRPr="00A10A95">
              <w:rPr>
                <w:rFonts w:asciiTheme="minorHAnsi" w:eastAsia="Arial Narrow" w:hAnsiTheme="minorHAnsi" w:cstheme="minorHAnsi"/>
                <w:b/>
                <w:sz w:val="20"/>
                <w:szCs w:val="18"/>
                <w:lang w:bidi="cs-CZ"/>
              </w:rPr>
              <w:t>Zákaznická a technická podpora</w:t>
            </w:r>
          </w:p>
          <w:p w:rsidR="005D5924" w:rsidRPr="00A10A95" w:rsidRDefault="005D5924" w:rsidP="003D1902">
            <w:pPr>
              <w:spacing w:line="276" w:lineRule="auto"/>
              <w:rPr>
                <w:rFonts w:asciiTheme="minorHAnsi" w:hAnsiTheme="minorHAnsi" w:cstheme="minorHAnsi"/>
                <w:sz w:val="18"/>
                <w:szCs w:val="18"/>
              </w:rPr>
            </w:pPr>
            <w:r w:rsidRPr="00A10A95">
              <w:rPr>
                <w:rFonts w:asciiTheme="minorHAnsi" w:eastAsia="Arial Narrow" w:hAnsiTheme="minorHAnsi" w:cstheme="minorHAnsi"/>
                <w:sz w:val="18"/>
                <w:szCs w:val="18"/>
                <w:lang w:bidi="cs-CZ"/>
              </w:rPr>
              <w:t xml:space="preserve">Technická podpora: navštivte </w:t>
            </w:r>
            <w:r w:rsidRPr="00A10A95">
              <w:rPr>
                <w:rFonts w:asciiTheme="minorHAnsi" w:eastAsia="Arial Narrow" w:hAnsiTheme="minorHAnsi" w:cstheme="minorHAnsi"/>
                <w:b/>
                <w:sz w:val="18"/>
                <w:szCs w:val="18"/>
                <w:lang w:bidi="cs-CZ"/>
              </w:rPr>
              <w:t>thermofisher.com/askaquestion</w:t>
            </w:r>
          </w:p>
          <w:p w:rsidR="005D5924" w:rsidRPr="00A10A95" w:rsidRDefault="005D5924" w:rsidP="003D1902">
            <w:pPr>
              <w:spacing w:line="276" w:lineRule="auto"/>
              <w:rPr>
                <w:rFonts w:asciiTheme="minorHAnsi" w:hAnsiTheme="minorHAnsi" w:cstheme="minorHAnsi"/>
                <w:sz w:val="18"/>
                <w:szCs w:val="18"/>
              </w:rPr>
            </w:pPr>
            <w:r w:rsidRPr="00A10A95">
              <w:rPr>
                <w:rFonts w:asciiTheme="minorHAnsi" w:eastAsia="Arial Narrow" w:hAnsiTheme="minorHAnsi" w:cstheme="minorHAnsi"/>
                <w:sz w:val="18"/>
                <w:szCs w:val="18"/>
                <w:lang w:bidi="cs-CZ"/>
              </w:rPr>
              <w:t xml:space="preserve">Nejnovější služby a podporu naleznete na adrese </w:t>
            </w:r>
            <w:r w:rsidRPr="00A10A95">
              <w:rPr>
                <w:rFonts w:asciiTheme="minorHAnsi" w:eastAsia="Arial Narrow" w:hAnsiTheme="minorHAnsi" w:cstheme="minorHAnsi"/>
                <w:b/>
                <w:sz w:val="18"/>
                <w:szCs w:val="18"/>
                <w:lang w:bidi="cs-CZ"/>
              </w:rPr>
              <w:t>thermofisher.com/support</w:t>
            </w:r>
            <w:r w:rsidRPr="00A10A95">
              <w:rPr>
                <w:rFonts w:asciiTheme="minorHAnsi" w:eastAsia="Arial Narrow" w:hAnsiTheme="minorHAnsi" w:cstheme="minorHAnsi"/>
                <w:sz w:val="18"/>
                <w:szCs w:val="18"/>
                <w:lang w:bidi="cs-CZ"/>
              </w:rPr>
              <w:t>:</w:t>
            </w:r>
          </w:p>
          <w:p w:rsidR="005D5924" w:rsidRPr="00A10A95" w:rsidRDefault="005D5924" w:rsidP="000423E9">
            <w:pPr>
              <w:pStyle w:val="Odstavecseseznamem"/>
              <w:numPr>
                <w:ilvl w:val="0"/>
                <w:numId w:val="4"/>
              </w:numPr>
              <w:spacing w:line="276" w:lineRule="auto"/>
              <w:ind w:left="557" w:hanging="283"/>
              <w:rPr>
                <w:rFonts w:asciiTheme="minorHAnsi" w:hAnsiTheme="minorHAnsi" w:cstheme="minorHAnsi"/>
                <w:sz w:val="18"/>
                <w:szCs w:val="18"/>
              </w:rPr>
            </w:pPr>
            <w:r w:rsidRPr="00A10A95">
              <w:rPr>
                <w:rFonts w:asciiTheme="minorHAnsi" w:eastAsia="Arial Narrow" w:hAnsiTheme="minorHAnsi" w:cstheme="minorHAnsi"/>
                <w:sz w:val="18"/>
                <w:szCs w:val="18"/>
                <w:lang w:bidi="cs-CZ"/>
              </w:rPr>
              <w:t>Mezinárodní kontaktní telefonní čísla</w:t>
            </w:r>
          </w:p>
          <w:p w:rsidR="005D5924" w:rsidRPr="00A10A95" w:rsidRDefault="005D5924" w:rsidP="000423E9">
            <w:pPr>
              <w:pStyle w:val="Odstavecseseznamem"/>
              <w:numPr>
                <w:ilvl w:val="0"/>
                <w:numId w:val="4"/>
              </w:numPr>
              <w:spacing w:line="276" w:lineRule="auto"/>
              <w:ind w:left="557" w:hanging="283"/>
              <w:rPr>
                <w:rFonts w:asciiTheme="minorHAnsi" w:hAnsiTheme="minorHAnsi" w:cstheme="minorHAnsi"/>
                <w:sz w:val="18"/>
                <w:szCs w:val="18"/>
              </w:rPr>
            </w:pPr>
            <w:r w:rsidRPr="00A10A95">
              <w:rPr>
                <w:rFonts w:asciiTheme="minorHAnsi" w:eastAsia="Arial Narrow" w:hAnsiTheme="minorHAnsi" w:cstheme="minorHAnsi"/>
                <w:sz w:val="18"/>
                <w:szCs w:val="18"/>
                <w:lang w:bidi="cs-CZ"/>
              </w:rPr>
              <w:t>Objednávková a webová podpora</w:t>
            </w:r>
          </w:p>
          <w:p w:rsidR="005D5924" w:rsidRPr="00A10A95" w:rsidRDefault="005D5924" w:rsidP="000423E9">
            <w:pPr>
              <w:pStyle w:val="Odstavecseseznamem"/>
              <w:numPr>
                <w:ilvl w:val="0"/>
                <w:numId w:val="4"/>
              </w:numPr>
              <w:spacing w:line="276" w:lineRule="auto"/>
              <w:ind w:left="557" w:hanging="283"/>
              <w:rPr>
                <w:rFonts w:asciiTheme="minorHAnsi" w:hAnsiTheme="minorHAnsi" w:cstheme="minorHAnsi"/>
                <w:sz w:val="18"/>
                <w:szCs w:val="18"/>
              </w:rPr>
            </w:pPr>
            <w:r w:rsidRPr="00A10A95">
              <w:rPr>
                <w:rFonts w:asciiTheme="minorHAnsi" w:eastAsia="Arial Narrow" w:hAnsiTheme="minorHAnsi" w:cstheme="minorHAnsi"/>
                <w:sz w:val="18"/>
                <w:szCs w:val="18"/>
                <w:lang w:bidi="cs-CZ"/>
              </w:rPr>
              <w:t>Uživatelské příručky, manuály a protokoly</w:t>
            </w:r>
          </w:p>
          <w:p w:rsidR="005D5924" w:rsidRPr="00A10A95" w:rsidRDefault="005D5924" w:rsidP="000423E9">
            <w:pPr>
              <w:pStyle w:val="Odstavecseseznamem"/>
              <w:numPr>
                <w:ilvl w:val="0"/>
                <w:numId w:val="4"/>
              </w:numPr>
              <w:spacing w:line="276" w:lineRule="auto"/>
              <w:ind w:left="557" w:hanging="283"/>
              <w:rPr>
                <w:rFonts w:asciiTheme="minorHAnsi" w:hAnsiTheme="minorHAnsi" w:cstheme="minorHAnsi"/>
                <w:sz w:val="18"/>
                <w:szCs w:val="18"/>
              </w:rPr>
            </w:pPr>
            <w:r w:rsidRPr="00A10A95">
              <w:rPr>
                <w:rFonts w:asciiTheme="minorHAnsi" w:eastAsia="Arial Narrow" w:hAnsiTheme="minorHAnsi" w:cstheme="minorHAnsi"/>
                <w:sz w:val="18"/>
                <w:szCs w:val="18"/>
                <w:lang w:bidi="cs-CZ"/>
              </w:rPr>
              <w:t>Osvědčení o analýze</w:t>
            </w:r>
          </w:p>
          <w:p w:rsidR="005D5924" w:rsidRPr="00A10A95" w:rsidRDefault="005D5924" w:rsidP="000423E9">
            <w:pPr>
              <w:pStyle w:val="Odstavecseseznamem"/>
              <w:numPr>
                <w:ilvl w:val="0"/>
                <w:numId w:val="4"/>
              </w:numPr>
              <w:spacing w:line="276" w:lineRule="auto"/>
              <w:ind w:left="557" w:hanging="283"/>
              <w:rPr>
                <w:rFonts w:asciiTheme="minorHAnsi" w:hAnsiTheme="minorHAnsi" w:cstheme="minorHAnsi"/>
                <w:sz w:val="18"/>
                <w:szCs w:val="18"/>
              </w:rPr>
            </w:pPr>
            <w:r w:rsidRPr="00A10A95">
              <w:rPr>
                <w:rFonts w:asciiTheme="minorHAnsi" w:eastAsia="Arial Narrow" w:hAnsiTheme="minorHAnsi" w:cstheme="minorHAnsi"/>
                <w:sz w:val="18"/>
                <w:szCs w:val="18"/>
                <w:lang w:bidi="cs-CZ"/>
              </w:rPr>
              <w:t>Bezpečnostní listy (BL; známé také jako MSDS)</w:t>
            </w:r>
          </w:p>
          <w:p w:rsidR="005D5924" w:rsidRPr="00A10A95" w:rsidRDefault="005D5924" w:rsidP="00786BCC">
            <w:pPr>
              <w:spacing w:line="276" w:lineRule="auto"/>
              <w:ind w:left="557"/>
              <w:rPr>
                <w:rFonts w:asciiTheme="minorHAnsi" w:hAnsiTheme="minorHAnsi" w:cstheme="minorHAnsi"/>
                <w:sz w:val="18"/>
                <w:szCs w:val="18"/>
              </w:rPr>
            </w:pPr>
            <w:r w:rsidRPr="00A10A95">
              <w:rPr>
                <w:rFonts w:asciiTheme="minorHAnsi" w:eastAsia="Arial Narrow" w:hAnsiTheme="minorHAnsi" w:cstheme="minorHAnsi"/>
                <w:b/>
                <w:sz w:val="18"/>
                <w:szCs w:val="18"/>
                <w:lang w:bidi="cs-CZ"/>
              </w:rPr>
              <w:t>POZNÁMKA</w:t>
            </w:r>
            <w:r w:rsidRPr="00A10A95">
              <w:rPr>
                <w:rFonts w:asciiTheme="minorHAnsi" w:eastAsia="Arial Narrow" w:hAnsiTheme="minorHAnsi" w:cstheme="minorHAnsi"/>
                <w:sz w:val="18"/>
                <w:szCs w:val="18"/>
                <w:lang w:bidi="cs-CZ"/>
              </w:rPr>
              <w:t>: Pokud chcete získat bezpečnostní listy pro chemické látky jiných výrobců, kontaktujte výrobce.</w:t>
            </w:r>
          </w:p>
          <w:p w:rsidR="005D5924" w:rsidRPr="00A10A95" w:rsidRDefault="005D5924" w:rsidP="003D1902">
            <w:pPr>
              <w:spacing w:line="276" w:lineRule="auto"/>
              <w:rPr>
                <w:rFonts w:asciiTheme="minorHAnsi" w:hAnsiTheme="minorHAnsi" w:cstheme="minorHAnsi"/>
                <w:sz w:val="18"/>
                <w:szCs w:val="18"/>
              </w:rPr>
            </w:pPr>
          </w:p>
          <w:p w:rsidR="005D5924" w:rsidRPr="00A10A95" w:rsidRDefault="005D5924" w:rsidP="003D1902">
            <w:pPr>
              <w:spacing w:line="276" w:lineRule="auto"/>
              <w:rPr>
                <w:rFonts w:asciiTheme="minorHAnsi" w:hAnsiTheme="minorHAnsi" w:cstheme="minorHAnsi"/>
                <w:sz w:val="18"/>
                <w:szCs w:val="18"/>
              </w:rPr>
            </w:pPr>
          </w:p>
        </w:tc>
        <w:tc>
          <w:tcPr>
            <w:tcW w:w="744" w:type="dxa"/>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0423E9">
        <w:trPr>
          <w:trHeight w:val="225"/>
        </w:trPr>
        <w:tc>
          <w:tcPr>
            <w:tcW w:w="5030"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c>
          <w:tcPr>
            <w:tcW w:w="744" w:type="dxa"/>
            <w:vMerge w:val="restart"/>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0423E9">
        <w:trPr>
          <w:trHeight w:val="576"/>
        </w:trPr>
        <w:tc>
          <w:tcPr>
            <w:tcW w:w="5030"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c>
          <w:tcPr>
            <w:tcW w:w="744"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0423E9">
        <w:trPr>
          <w:trHeight w:val="634"/>
        </w:trPr>
        <w:tc>
          <w:tcPr>
            <w:tcW w:w="5030"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c>
          <w:tcPr>
            <w:tcW w:w="744"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0423E9">
        <w:trPr>
          <w:trHeight w:val="274"/>
        </w:trPr>
        <w:tc>
          <w:tcPr>
            <w:tcW w:w="5030"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c>
          <w:tcPr>
            <w:tcW w:w="744"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r>
      <w:tr w:rsidR="005D5924" w:rsidRPr="00A10A95" w:rsidTr="003D1902">
        <w:trPr>
          <w:trHeight w:val="1469"/>
        </w:trPr>
        <w:tc>
          <w:tcPr>
            <w:tcW w:w="5030"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c>
          <w:tcPr>
            <w:tcW w:w="744" w:type="dxa"/>
            <w:vMerge/>
            <w:shd w:val="clear" w:color="auto" w:fill="FFFFFF"/>
          </w:tcPr>
          <w:p w:rsidR="005D5924" w:rsidRPr="00A10A95" w:rsidRDefault="005D5924" w:rsidP="003D1902">
            <w:pPr>
              <w:spacing w:line="276" w:lineRule="auto"/>
              <w:rPr>
                <w:rFonts w:asciiTheme="minorHAnsi" w:hAnsiTheme="minorHAnsi" w:cstheme="minorHAnsi"/>
                <w:sz w:val="16"/>
                <w:szCs w:val="18"/>
              </w:rPr>
            </w:pPr>
          </w:p>
        </w:tc>
      </w:tr>
    </w:tbl>
    <w:p w:rsidR="00FD5443" w:rsidRPr="00A10A95" w:rsidRDefault="00FD5443" w:rsidP="000423E9">
      <w:pPr>
        <w:spacing w:line="276" w:lineRule="auto"/>
        <w:rPr>
          <w:rFonts w:asciiTheme="minorHAnsi" w:hAnsiTheme="minorHAnsi" w:cstheme="minorHAnsi"/>
          <w:sz w:val="18"/>
          <w:szCs w:val="18"/>
        </w:rPr>
      </w:pPr>
    </w:p>
    <w:sectPr w:rsidR="00FD5443" w:rsidRPr="00A10A95" w:rsidSect="00CA09C9">
      <w:footerReference w:type="first" r:id="rId14"/>
      <w:pgSz w:w="11909" w:h="16834"/>
      <w:pgMar w:top="567" w:right="569" w:bottom="851" w:left="70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14C2" w:rsidRDefault="00BB14C2">
      <w:r>
        <w:separator/>
      </w:r>
    </w:p>
  </w:endnote>
  <w:endnote w:type="continuationSeparator" w:id="0">
    <w:p w:rsidR="00BB14C2" w:rsidRDefault="00BB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0" w:type="dxa"/>
      <w:tblLayout w:type="fixed"/>
      <w:tblCellMar>
        <w:left w:w="10" w:type="dxa"/>
        <w:right w:w="10" w:type="dxa"/>
      </w:tblCellMar>
      <w:tblLook w:val="04A0" w:firstRow="1" w:lastRow="0" w:firstColumn="1" w:lastColumn="0" w:noHBand="0" w:noVBand="1"/>
    </w:tblPr>
    <w:tblGrid>
      <w:gridCol w:w="5376"/>
      <w:gridCol w:w="5616"/>
    </w:tblGrid>
    <w:tr w:rsidR="003D1902" w:rsidRPr="00C25380" w:rsidTr="00D10EC2">
      <w:trPr>
        <w:trHeight w:val="298"/>
      </w:trPr>
      <w:tc>
        <w:tcPr>
          <w:tcW w:w="5376" w:type="dxa"/>
          <w:shd w:val="clear" w:color="auto" w:fill="FFFFFF"/>
          <w:vAlign w:val="bottom"/>
        </w:tcPr>
        <w:p w:rsidR="003D1902" w:rsidRPr="00C25380" w:rsidRDefault="003D1902" w:rsidP="00D10EC2">
          <w:pPr>
            <w:spacing w:line="276" w:lineRule="auto"/>
            <w:rPr>
              <w:rFonts w:ascii="Arial Narrow" w:hAnsi="Arial Narrow"/>
              <w:sz w:val="18"/>
              <w:szCs w:val="18"/>
            </w:rPr>
          </w:pPr>
          <w:r w:rsidRPr="009A490E">
            <w:rPr>
              <w:rFonts w:ascii="Arial Narrow" w:eastAsia="Arial Narrow" w:hAnsi="Arial Narrow" w:cs="Arial Narrow"/>
              <w:sz w:val="18"/>
              <w:szCs w:val="18"/>
              <w:lang w:bidi="cs-CZ"/>
            </w:rPr>
            <w:fldChar w:fldCharType="begin"/>
          </w:r>
          <w:r w:rsidRPr="009A490E">
            <w:rPr>
              <w:rFonts w:ascii="Arial Narrow" w:eastAsia="Arial Narrow" w:hAnsi="Arial Narrow" w:cs="Arial Narrow"/>
              <w:sz w:val="18"/>
              <w:szCs w:val="18"/>
              <w:lang w:bidi="cs-CZ"/>
            </w:rPr>
            <w:instrText>PAGE   \* MERGEFORMAT</w:instrText>
          </w:r>
          <w:r w:rsidRPr="009A490E">
            <w:rPr>
              <w:rFonts w:ascii="Arial Narrow" w:eastAsia="Arial Narrow" w:hAnsi="Arial Narrow" w:cs="Arial Narrow"/>
              <w:sz w:val="18"/>
              <w:szCs w:val="18"/>
              <w:lang w:bidi="cs-CZ"/>
            </w:rPr>
            <w:fldChar w:fldCharType="separate"/>
          </w:r>
          <w:r w:rsidR="00D34141">
            <w:rPr>
              <w:rFonts w:ascii="Arial Narrow" w:eastAsia="Arial Narrow" w:hAnsi="Arial Narrow" w:cs="Arial Narrow"/>
              <w:noProof/>
              <w:sz w:val="18"/>
              <w:szCs w:val="18"/>
              <w:lang w:bidi="cs-CZ"/>
            </w:rPr>
            <w:t>2</w:t>
          </w:r>
          <w:r w:rsidRPr="009A490E">
            <w:rPr>
              <w:rFonts w:ascii="Arial Narrow" w:eastAsia="Arial Narrow" w:hAnsi="Arial Narrow" w:cs="Arial Narrow"/>
              <w:sz w:val="18"/>
              <w:szCs w:val="18"/>
              <w:lang w:bidi="cs-CZ"/>
            </w:rPr>
            <w:fldChar w:fldCharType="end"/>
          </w:r>
        </w:p>
      </w:tc>
      <w:tc>
        <w:tcPr>
          <w:tcW w:w="5616" w:type="dxa"/>
          <w:shd w:val="clear" w:color="auto" w:fill="FFFFFF"/>
          <w:vAlign w:val="center"/>
        </w:tcPr>
        <w:p w:rsidR="003D1902" w:rsidRPr="00653872" w:rsidRDefault="003D1902" w:rsidP="0004198D">
          <w:pPr>
            <w:spacing w:line="276" w:lineRule="auto"/>
            <w:jc w:val="right"/>
            <w:rPr>
              <w:rFonts w:ascii="Times New Roman" w:hAnsi="Times New Roman" w:cs="Times New Roman"/>
              <w:i/>
              <w:sz w:val="18"/>
              <w:szCs w:val="18"/>
            </w:rPr>
          </w:pPr>
        </w:p>
      </w:tc>
    </w:tr>
  </w:tbl>
  <w:p w:rsidR="003D1902" w:rsidRDefault="003D190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Overlap w:val="never"/>
      <w:tblW w:w="0" w:type="auto"/>
      <w:tblInd w:w="10" w:type="dxa"/>
      <w:tblLayout w:type="fixed"/>
      <w:tblCellMar>
        <w:left w:w="10" w:type="dxa"/>
        <w:right w:w="10" w:type="dxa"/>
      </w:tblCellMar>
      <w:tblLook w:val="04A0" w:firstRow="1" w:lastRow="0" w:firstColumn="1" w:lastColumn="0" w:noHBand="0" w:noVBand="1"/>
    </w:tblPr>
    <w:tblGrid>
      <w:gridCol w:w="7176"/>
      <w:gridCol w:w="3610"/>
    </w:tblGrid>
    <w:tr w:rsidR="003D1902" w:rsidRPr="00C25380" w:rsidTr="00D10EC2">
      <w:trPr>
        <w:trHeight w:val="230"/>
      </w:trPr>
      <w:tc>
        <w:tcPr>
          <w:tcW w:w="7176" w:type="dxa"/>
          <w:shd w:val="clear" w:color="auto" w:fill="FFFFFF"/>
        </w:tcPr>
        <w:p w:rsidR="003D1902" w:rsidRPr="00653872" w:rsidRDefault="003D1902" w:rsidP="00D10EC2">
          <w:pPr>
            <w:spacing w:line="276" w:lineRule="auto"/>
            <w:rPr>
              <w:rFonts w:ascii="Times New Roman" w:hAnsi="Times New Roman" w:cs="Times New Roman"/>
              <w:i/>
              <w:sz w:val="18"/>
              <w:szCs w:val="18"/>
            </w:rPr>
          </w:pPr>
        </w:p>
      </w:tc>
      <w:tc>
        <w:tcPr>
          <w:tcW w:w="3610" w:type="dxa"/>
          <w:shd w:val="clear" w:color="auto" w:fill="FFFFFF"/>
        </w:tcPr>
        <w:p w:rsidR="003D1902" w:rsidRPr="00C25380" w:rsidRDefault="003D1902" w:rsidP="00D10EC2">
          <w:pPr>
            <w:spacing w:line="276" w:lineRule="auto"/>
            <w:jc w:val="right"/>
            <w:rPr>
              <w:rFonts w:ascii="Arial Narrow" w:hAnsi="Arial Narrow"/>
              <w:sz w:val="18"/>
              <w:szCs w:val="18"/>
            </w:rPr>
          </w:pPr>
          <w:r w:rsidRPr="009A490E">
            <w:rPr>
              <w:rFonts w:ascii="Arial Narrow" w:eastAsia="Arial Narrow" w:hAnsi="Arial Narrow" w:cs="Arial Narrow"/>
              <w:sz w:val="18"/>
              <w:szCs w:val="18"/>
              <w:lang w:bidi="cs-CZ"/>
            </w:rPr>
            <w:fldChar w:fldCharType="begin"/>
          </w:r>
          <w:r w:rsidRPr="009A490E">
            <w:rPr>
              <w:rFonts w:ascii="Arial Narrow" w:eastAsia="Arial Narrow" w:hAnsi="Arial Narrow" w:cs="Arial Narrow"/>
              <w:sz w:val="18"/>
              <w:szCs w:val="18"/>
              <w:lang w:bidi="cs-CZ"/>
            </w:rPr>
            <w:instrText>PAGE   \* MERGEFORMAT</w:instrText>
          </w:r>
          <w:r w:rsidRPr="009A490E">
            <w:rPr>
              <w:rFonts w:ascii="Arial Narrow" w:eastAsia="Arial Narrow" w:hAnsi="Arial Narrow" w:cs="Arial Narrow"/>
              <w:sz w:val="18"/>
              <w:szCs w:val="18"/>
              <w:lang w:bidi="cs-CZ"/>
            </w:rPr>
            <w:fldChar w:fldCharType="separate"/>
          </w:r>
          <w:r w:rsidR="00D34141">
            <w:rPr>
              <w:rFonts w:ascii="Arial Narrow" w:eastAsia="Arial Narrow" w:hAnsi="Arial Narrow" w:cs="Arial Narrow"/>
              <w:noProof/>
              <w:sz w:val="18"/>
              <w:szCs w:val="18"/>
              <w:lang w:bidi="cs-CZ"/>
            </w:rPr>
            <w:t>3</w:t>
          </w:r>
          <w:r w:rsidRPr="009A490E">
            <w:rPr>
              <w:rFonts w:ascii="Arial Narrow" w:eastAsia="Arial Narrow" w:hAnsi="Arial Narrow" w:cs="Arial Narrow"/>
              <w:sz w:val="18"/>
              <w:szCs w:val="18"/>
              <w:lang w:bidi="cs-CZ"/>
            </w:rPr>
            <w:fldChar w:fldCharType="end"/>
          </w:r>
        </w:p>
      </w:tc>
    </w:tr>
  </w:tbl>
  <w:p w:rsidR="003D1902" w:rsidRDefault="003D190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902" w:rsidRPr="00C25380" w:rsidRDefault="003D1902" w:rsidP="003D1902">
    <w:pPr>
      <w:outlineLvl w:val="3"/>
      <w:rPr>
        <w:rFonts w:ascii="Arial Narrow" w:hAnsi="Arial Narrow"/>
        <w:b/>
        <w:sz w:val="18"/>
        <w:szCs w:val="18"/>
      </w:rPr>
    </w:pPr>
  </w:p>
  <w:p w:rsidR="003D1902" w:rsidRDefault="003D1902" w:rsidP="003D1902">
    <w:pPr>
      <w:outlineLvl w:val="3"/>
    </w:pPr>
  </w:p>
  <w:p w:rsidR="003D1902" w:rsidRDefault="003D190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3E9" w:rsidRDefault="000423E9" w:rsidP="000423E9">
    <w:pPr>
      <w:outlineLvl w:val="3"/>
    </w:pPr>
  </w:p>
  <w:p w:rsidR="000423E9" w:rsidRDefault="000423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14C2" w:rsidRDefault="00BB14C2"/>
  </w:footnote>
  <w:footnote w:type="continuationSeparator" w:id="0">
    <w:p w:rsidR="00BB14C2" w:rsidRDefault="00BB14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18" w:rsidRDefault="008C2A1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2A18" w:rsidRDefault="008C2A1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D18" w:rsidRDefault="00D47D18">
    <w:pPr>
      <w:pStyle w:val="Zhlav"/>
    </w:pPr>
    <w:r w:rsidRPr="00D47D18">
      <w:rPr>
        <w:rFonts w:ascii="Calibri" w:eastAsia="Calibri" w:hAnsi="Calibri" w:cs="Times New Roman"/>
        <w:bCs/>
        <w:color w:val="auto"/>
        <w:sz w:val="22"/>
        <w:szCs w:val="22"/>
        <w:lang w:val="en-US" w:bidi="ar-SA"/>
      </w:rPr>
      <w:t xml:space="preserve">Text </w:t>
    </w:r>
    <w:proofErr w:type="spellStart"/>
    <w:r>
      <w:rPr>
        <w:rFonts w:ascii="Calibri" w:eastAsia="Calibri" w:hAnsi="Calibri" w:cs="Times New Roman"/>
        <w:bCs/>
        <w:color w:val="auto"/>
        <w:sz w:val="22"/>
        <w:szCs w:val="22"/>
        <w:lang w:val="en-US" w:bidi="ar-SA"/>
      </w:rPr>
      <w:t>návodu</w:t>
    </w:r>
    <w:proofErr w:type="spellEnd"/>
    <w:r>
      <w:rPr>
        <w:rFonts w:ascii="Calibri" w:eastAsia="Calibri" w:hAnsi="Calibri" w:cs="Times New Roman"/>
        <w:bCs/>
        <w:color w:val="auto"/>
        <w:sz w:val="22"/>
        <w:szCs w:val="22"/>
        <w:lang w:val="en-US" w:bidi="ar-SA"/>
      </w:rPr>
      <w:t xml:space="preserve"> k </w:t>
    </w:r>
    <w:proofErr w:type="spellStart"/>
    <w:r>
      <w:rPr>
        <w:rFonts w:ascii="Calibri" w:eastAsia="Calibri" w:hAnsi="Calibri" w:cs="Times New Roman"/>
        <w:bCs/>
        <w:color w:val="auto"/>
        <w:sz w:val="22"/>
        <w:szCs w:val="22"/>
        <w:lang w:val="en-US" w:bidi="ar-SA"/>
      </w:rPr>
      <w:t>použití</w:t>
    </w:r>
    <w:proofErr w:type="spellEnd"/>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součást</w:t>
    </w:r>
    <w:proofErr w:type="spellEnd"/>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dokumentace</w:t>
    </w:r>
    <w:proofErr w:type="spellEnd"/>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schválené</w:t>
    </w:r>
    <w:proofErr w:type="spellEnd"/>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rozhodnutím</w:t>
    </w:r>
    <w:proofErr w:type="spellEnd"/>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sp.zn</w:t>
    </w:r>
    <w:proofErr w:type="spellEnd"/>
    <w:r w:rsidRPr="00D47D18">
      <w:rPr>
        <w:rFonts w:ascii="Calibri" w:eastAsia="Calibri" w:hAnsi="Calibri" w:cs="Times New Roman"/>
        <w:bCs/>
        <w:color w:val="auto"/>
        <w:sz w:val="22"/>
        <w:szCs w:val="22"/>
        <w:lang w:val="en-US" w:bidi="ar-SA"/>
      </w:rPr>
      <w:t xml:space="preserve">. </w:t>
    </w:r>
    <w:sdt>
      <w:sdtPr>
        <w:rPr>
          <w:rFonts w:ascii="Calibri" w:eastAsia="Calibri" w:hAnsi="Calibri" w:cs="Times New Roman"/>
          <w:bCs/>
          <w:color w:val="auto"/>
          <w:sz w:val="22"/>
          <w:szCs w:val="22"/>
          <w:lang w:val="en-US" w:bidi="ar-SA"/>
        </w:rPr>
        <w:id w:val="1980487294"/>
        <w:placeholder>
          <w:docPart w:val="6747223B8EF543A790F21328FFFAE351"/>
        </w:placeholder>
        <w:text/>
      </w:sdtPr>
      <w:sdtEndPr/>
      <w:sdtContent>
        <w:r w:rsidRPr="00D47D18">
          <w:rPr>
            <w:rFonts w:ascii="Calibri" w:eastAsia="Calibri" w:hAnsi="Calibri" w:cs="Times New Roman"/>
            <w:bCs/>
            <w:color w:val="auto"/>
            <w:sz w:val="22"/>
            <w:szCs w:val="22"/>
            <w:lang w:val="en-US" w:bidi="ar-SA"/>
          </w:rPr>
          <w:t>USKVBL/15059/2024/POD</w:t>
        </w:r>
      </w:sdtContent>
    </w:sdt>
    <w:r w:rsidRPr="00D47D18">
      <w:rPr>
        <w:rFonts w:ascii="Calibri" w:eastAsia="Calibri" w:hAnsi="Calibri" w:cs="Times New Roman"/>
        <w:bCs/>
        <w:color w:val="auto"/>
        <w:sz w:val="22"/>
        <w:szCs w:val="22"/>
        <w:lang w:val="en-US" w:bidi="ar-SA"/>
      </w:rPr>
      <w:t xml:space="preserve">, </w:t>
    </w:r>
    <w:proofErr w:type="spellStart"/>
    <w:r w:rsidRPr="00D47D18">
      <w:rPr>
        <w:rFonts w:ascii="Calibri" w:eastAsia="Calibri" w:hAnsi="Calibri" w:cs="Times New Roman"/>
        <w:bCs/>
        <w:color w:val="auto"/>
        <w:sz w:val="22"/>
        <w:szCs w:val="22"/>
        <w:lang w:val="en-US" w:bidi="ar-SA"/>
      </w:rPr>
      <w:t>č.j</w:t>
    </w:r>
    <w:proofErr w:type="spellEnd"/>
    <w:r w:rsidRPr="00D47D18">
      <w:rPr>
        <w:rFonts w:ascii="Calibri" w:eastAsia="Calibri" w:hAnsi="Calibri" w:cs="Times New Roman"/>
        <w:bCs/>
        <w:color w:val="auto"/>
        <w:sz w:val="22"/>
        <w:szCs w:val="22"/>
        <w:lang w:val="en-US" w:bidi="ar-SA"/>
      </w:rPr>
      <w:t xml:space="preserve">. </w:t>
    </w:r>
    <w:sdt>
      <w:sdtPr>
        <w:rPr>
          <w:rFonts w:ascii="Calibri" w:eastAsia="Calibri" w:hAnsi="Calibri" w:cs="Times New Roman"/>
          <w:bCs/>
          <w:color w:val="auto"/>
          <w:sz w:val="22"/>
          <w:szCs w:val="22"/>
          <w:lang w:val="en-US" w:bidi="ar-SA"/>
        </w:rPr>
        <w:id w:val="473950226"/>
        <w:placeholder>
          <w:docPart w:val="6747223B8EF543A790F21328FFFAE351"/>
        </w:placeholder>
        <w:text/>
      </w:sdtPr>
      <w:sdtContent>
        <w:r w:rsidR="008C2A18" w:rsidRPr="008C2A18">
          <w:rPr>
            <w:rFonts w:ascii="Calibri" w:eastAsia="Calibri" w:hAnsi="Calibri" w:cs="Times New Roman"/>
            <w:bCs/>
            <w:color w:val="auto"/>
            <w:sz w:val="22"/>
            <w:szCs w:val="22"/>
            <w:lang w:val="en-US" w:bidi="ar-SA"/>
          </w:rPr>
          <w:t>USKVBL/282/2025/REG-Gro</w:t>
        </w:r>
      </w:sdtContent>
    </w:sdt>
    <w:r w:rsidRPr="00D47D18">
      <w:rPr>
        <w:rFonts w:ascii="Calibri" w:eastAsia="Calibri" w:hAnsi="Calibri" w:cs="Times New Roman"/>
        <w:bCs/>
        <w:color w:val="auto"/>
        <w:sz w:val="22"/>
        <w:szCs w:val="22"/>
        <w:lang w:val="en-US" w:bidi="ar-SA"/>
      </w:rPr>
      <w:t xml:space="preserve"> ze </w:t>
    </w:r>
    <w:proofErr w:type="spellStart"/>
    <w:r w:rsidRPr="00D47D18">
      <w:rPr>
        <w:rFonts w:ascii="Calibri" w:eastAsia="Calibri" w:hAnsi="Calibri" w:cs="Times New Roman"/>
        <w:bCs/>
        <w:color w:val="auto"/>
        <w:sz w:val="22"/>
        <w:szCs w:val="22"/>
        <w:lang w:val="en-US" w:bidi="ar-SA"/>
      </w:rPr>
      <w:t>dne</w:t>
    </w:r>
    <w:proofErr w:type="spellEnd"/>
    <w:r w:rsidRPr="00D47D18">
      <w:rPr>
        <w:rFonts w:ascii="Calibri" w:eastAsia="Calibri" w:hAnsi="Calibri" w:cs="Times New Roman"/>
        <w:bCs/>
        <w:color w:val="auto"/>
        <w:sz w:val="22"/>
        <w:szCs w:val="22"/>
        <w:lang w:val="en-US" w:bidi="ar-SA"/>
      </w:rPr>
      <w:t xml:space="preserve"> </w:t>
    </w:r>
    <w:sdt>
      <w:sdtPr>
        <w:rPr>
          <w:rFonts w:ascii="Calibri" w:eastAsia="Calibri" w:hAnsi="Calibri" w:cs="Times New Roman"/>
          <w:bCs/>
          <w:color w:val="auto"/>
          <w:sz w:val="22"/>
          <w:szCs w:val="22"/>
          <w:lang w:val="en-US" w:bidi="ar-SA"/>
        </w:rPr>
        <w:id w:val="1763483650"/>
        <w:placeholder>
          <w:docPart w:val="9081E42048734E1EB5B1D4521915B09E"/>
        </w:placeholder>
        <w:date w:fullDate="2025-01-10T00:00:00Z">
          <w:dateFormat w:val="d.M.yyyy"/>
          <w:lid w:val="cs-CZ"/>
          <w:storeMappedDataAs w:val="dateTime"/>
          <w:calendar w:val="gregorian"/>
        </w:date>
      </w:sdtPr>
      <w:sdtEndPr/>
      <w:sdtContent>
        <w:r w:rsidR="008C2A18">
          <w:rPr>
            <w:rFonts w:ascii="Calibri" w:eastAsia="Calibri" w:hAnsi="Calibri" w:cs="Times New Roman"/>
            <w:bCs/>
            <w:color w:val="auto"/>
            <w:sz w:val="22"/>
            <w:szCs w:val="22"/>
            <w:lang w:bidi="ar-SA"/>
          </w:rPr>
          <w:t>10.1.2025</w:t>
        </w:r>
      </w:sdtContent>
    </w:sdt>
    <w:r w:rsidRPr="00D47D18">
      <w:rPr>
        <w:rFonts w:ascii="Calibri" w:eastAsia="Calibri" w:hAnsi="Calibri" w:cs="Times New Roman"/>
        <w:bCs/>
        <w:color w:val="auto"/>
        <w:sz w:val="22"/>
        <w:szCs w:val="22"/>
        <w:lang w:val="en-US" w:bidi="ar-SA"/>
      </w:rPr>
      <w:t xml:space="preserve"> o </w:t>
    </w:r>
    <w:sdt>
      <w:sdtPr>
        <w:rPr>
          <w:rFonts w:ascii="Calibri" w:eastAsia="Times New Roman" w:hAnsi="Calibri" w:cs="Calibri"/>
          <w:color w:val="auto"/>
          <w:sz w:val="22"/>
          <w:szCs w:val="22"/>
          <w:lang w:val="en-US" w:bidi="ar-SA"/>
        </w:rPr>
        <w:id w:val="-1147659314"/>
        <w:placeholder>
          <w:docPart w:val="1B680A1E3D20491EAD3DC0B6AF78351B"/>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sdtContent>
        <w:r w:rsidRPr="00D47D18">
          <w:rPr>
            <w:rFonts w:ascii="Calibri" w:eastAsia="Times New Roman" w:hAnsi="Calibri" w:cs="Calibri"/>
            <w:color w:val="auto"/>
            <w:sz w:val="22"/>
            <w:szCs w:val="22"/>
            <w:lang w:val="en-US" w:bidi="ar-SA"/>
          </w:rPr>
          <w:t>prodloužení platnosti rozhodnutí o schválení veterinárního přípravku</w:t>
        </w:r>
      </w:sdtContent>
    </w:sdt>
    <w:r w:rsidRPr="00D47D18">
      <w:rPr>
        <w:rFonts w:ascii="Calibri" w:eastAsia="Calibri" w:hAnsi="Calibri" w:cs="Times New Roman"/>
        <w:bCs/>
        <w:color w:val="auto"/>
        <w:sz w:val="22"/>
        <w:szCs w:val="22"/>
        <w:lang w:val="en-US" w:bidi="ar-SA"/>
      </w:rPr>
      <w:t xml:space="preserve"> </w:t>
    </w:r>
    <w:sdt>
      <w:sdtPr>
        <w:rPr>
          <w:rFonts w:ascii="Calibri" w:eastAsia="Calibri" w:hAnsi="Calibri" w:cs="Times New Roman"/>
          <w:color w:val="auto"/>
          <w:sz w:val="22"/>
          <w:szCs w:val="22"/>
          <w:lang w:val="en-US" w:bidi="ar-SA"/>
        </w:rPr>
        <w:id w:val="-130401005"/>
        <w:placeholder>
          <w:docPart w:val="F1B4D614196C4A22AB2FC5B96343C37E"/>
        </w:placeholder>
        <w:text/>
      </w:sdtPr>
      <w:sdtEndPr/>
      <w:sdtContent>
        <w:r w:rsidRPr="00D47D18">
          <w:rPr>
            <w:rFonts w:ascii="Calibri" w:eastAsia="Calibri" w:hAnsi="Calibri" w:cs="Times New Roman"/>
            <w:color w:val="auto"/>
            <w:sz w:val="22"/>
            <w:szCs w:val="22"/>
            <w:lang w:val="en-US" w:bidi="ar-SA"/>
          </w:rPr>
          <w:t xml:space="preserve">VETMAX PORCINE PCV2 </w:t>
        </w:r>
        <w:r>
          <w:rPr>
            <w:rFonts w:ascii="Calibri" w:eastAsia="Calibri" w:hAnsi="Calibri" w:cs="Times New Roman"/>
            <w:color w:val="auto"/>
            <w:sz w:val="22"/>
            <w:szCs w:val="22"/>
            <w:lang w:val="en-US" w:bidi="ar-SA"/>
          </w:rPr>
          <w:t>QUANT KIT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7F3"/>
    <w:multiLevelType w:val="hybridMultilevel"/>
    <w:tmpl w:val="F9D4CDBC"/>
    <w:lvl w:ilvl="0" w:tplc="9684E212">
      <w:start w:val="1"/>
      <w:numFmt w:val="bullet"/>
      <w:lvlText w:val="•"/>
      <w:lvlJc w:val="left"/>
      <w:pPr>
        <w:ind w:left="720" w:hanging="360"/>
      </w:pPr>
      <w:rPr>
        <w:rFonts w:ascii="Times New Roman" w:eastAsia="Courier New"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1C7DAA"/>
    <w:multiLevelType w:val="hybridMultilevel"/>
    <w:tmpl w:val="9E602F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4F15B5"/>
    <w:multiLevelType w:val="hybridMultilevel"/>
    <w:tmpl w:val="FDE00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083CAE"/>
    <w:multiLevelType w:val="hybridMultilevel"/>
    <w:tmpl w:val="635AFB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79747C"/>
    <w:multiLevelType w:val="hybridMultilevel"/>
    <w:tmpl w:val="26C0F0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292590"/>
    <w:multiLevelType w:val="hybridMultilevel"/>
    <w:tmpl w:val="67AE1F2C"/>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9A7AAD"/>
    <w:multiLevelType w:val="hybridMultilevel"/>
    <w:tmpl w:val="47864F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16910E2"/>
    <w:multiLevelType w:val="hybridMultilevel"/>
    <w:tmpl w:val="35EE75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F973AB"/>
    <w:multiLevelType w:val="hybridMultilevel"/>
    <w:tmpl w:val="6C7C4BEC"/>
    <w:lvl w:ilvl="0" w:tplc="9684E212">
      <w:start w:val="1"/>
      <w:numFmt w:val="bullet"/>
      <w:lvlText w:val="•"/>
      <w:lvlJc w:val="left"/>
      <w:pPr>
        <w:ind w:left="720" w:hanging="360"/>
      </w:pPr>
      <w:rPr>
        <w:rFonts w:ascii="Times New Roman" w:eastAsia="Courier New" w:hAnsi="Times New Roman" w:cs="Times New Roman" w:hint="default"/>
      </w:rPr>
    </w:lvl>
    <w:lvl w:ilvl="1" w:tplc="2FCC1B42">
      <w:start w:val="1"/>
      <w:numFmt w:val="bullet"/>
      <w:lvlText w:val="-"/>
      <w:lvlJc w:val="left"/>
      <w:pPr>
        <w:ind w:left="1665" w:hanging="585"/>
      </w:pPr>
      <w:rPr>
        <w:rFonts w:ascii="Times New Roman" w:eastAsia="Courier New"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5331BF"/>
    <w:multiLevelType w:val="hybridMultilevel"/>
    <w:tmpl w:val="5B8A101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0146DE"/>
    <w:multiLevelType w:val="hybridMultilevel"/>
    <w:tmpl w:val="35F451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2B8056A"/>
    <w:multiLevelType w:val="hybridMultilevel"/>
    <w:tmpl w:val="776CE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7FC7C77"/>
    <w:multiLevelType w:val="hybridMultilevel"/>
    <w:tmpl w:val="02F27A6A"/>
    <w:lvl w:ilvl="0" w:tplc="34DC502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93C7845"/>
    <w:multiLevelType w:val="hybridMultilevel"/>
    <w:tmpl w:val="5A9CA1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D17810"/>
    <w:multiLevelType w:val="hybridMultilevel"/>
    <w:tmpl w:val="BD6C8BF2"/>
    <w:lvl w:ilvl="0" w:tplc="9684E212">
      <w:start w:val="1"/>
      <w:numFmt w:val="bullet"/>
      <w:lvlText w:val="•"/>
      <w:lvlJc w:val="left"/>
      <w:pPr>
        <w:ind w:left="720" w:hanging="360"/>
      </w:pPr>
      <w:rPr>
        <w:rFonts w:ascii="Times New Roman" w:eastAsia="Courier New"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2626CB9"/>
    <w:multiLevelType w:val="hybridMultilevel"/>
    <w:tmpl w:val="71D46F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897061A"/>
    <w:multiLevelType w:val="hybridMultilevel"/>
    <w:tmpl w:val="A16AEE80"/>
    <w:lvl w:ilvl="0" w:tplc="9684E212">
      <w:start w:val="1"/>
      <w:numFmt w:val="bullet"/>
      <w:lvlText w:val="•"/>
      <w:lvlJc w:val="left"/>
      <w:pPr>
        <w:ind w:left="720" w:hanging="360"/>
      </w:pPr>
      <w:rPr>
        <w:rFonts w:ascii="Times New Roman" w:eastAsia="Courier New"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987761E"/>
    <w:multiLevelType w:val="hybridMultilevel"/>
    <w:tmpl w:val="3D22A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8"/>
  </w:num>
  <w:num w:numId="5">
    <w:abstractNumId w:val="16"/>
  </w:num>
  <w:num w:numId="6">
    <w:abstractNumId w:val="0"/>
  </w:num>
  <w:num w:numId="7">
    <w:abstractNumId w:val="12"/>
  </w:num>
  <w:num w:numId="8">
    <w:abstractNumId w:val="1"/>
  </w:num>
  <w:num w:numId="9">
    <w:abstractNumId w:val="13"/>
  </w:num>
  <w:num w:numId="10">
    <w:abstractNumId w:val="10"/>
  </w:num>
  <w:num w:numId="11">
    <w:abstractNumId w:val="3"/>
  </w:num>
  <w:num w:numId="12">
    <w:abstractNumId w:val="5"/>
  </w:num>
  <w:num w:numId="13">
    <w:abstractNumId w:val="9"/>
  </w:num>
  <w:num w:numId="14">
    <w:abstractNumId w:val="11"/>
  </w:num>
  <w:num w:numId="15">
    <w:abstractNumId w:val="15"/>
  </w:num>
  <w:num w:numId="16">
    <w:abstractNumId w:val="14"/>
  </w:num>
  <w:num w:numId="17">
    <w:abstractNumId w:val="1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43"/>
    <w:rsid w:val="0004198D"/>
    <w:rsid w:val="000423E9"/>
    <w:rsid w:val="0010365B"/>
    <w:rsid w:val="001126FE"/>
    <w:rsid w:val="00175E95"/>
    <w:rsid w:val="00314B84"/>
    <w:rsid w:val="00395945"/>
    <w:rsid w:val="003A68B0"/>
    <w:rsid w:val="003D1902"/>
    <w:rsid w:val="00413EBB"/>
    <w:rsid w:val="004B0F70"/>
    <w:rsid w:val="00540A31"/>
    <w:rsid w:val="00584B34"/>
    <w:rsid w:val="005D5924"/>
    <w:rsid w:val="005F3247"/>
    <w:rsid w:val="00623CB5"/>
    <w:rsid w:val="00653872"/>
    <w:rsid w:val="00786BCC"/>
    <w:rsid w:val="00883E4C"/>
    <w:rsid w:val="008B5E0E"/>
    <w:rsid w:val="008C2A18"/>
    <w:rsid w:val="008D5EEF"/>
    <w:rsid w:val="00906BB6"/>
    <w:rsid w:val="00976E86"/>
    <w:rsid w:val="00981497"/>
    <w:rsid w:val="009D4A1D"/>
    <w:rsid w:val="00A10A95"/>
    <w:rsid w:val="00A12922"/>
    <w:rsid w:val="00BB14C2"/>
    <w:rsid w:val="00C24863"/>
    <w:rsid w:val="00C4300C"/>
    <w:rsid w:val="00CA09C9"/>
    <w:rsid w:val="00CE3D57"/>
    <w:rsid w:val="00D34141"/>
    <w:rsid w:val="00D47D18"/>
    <w:rsid w:val="00E9218C"/>
    <w:rsid w:val="00E97DDF"/>
    <w:rsid w:val="00EB0772"/>
    <w:rsid w:val="00EC7360"/>
    <w:rsid w:val="00FA50DA"/>
    <w:rsid w:val="00FD5443"/>
  </w:rsids>
  <m:mathPr>
    <m:mathFont m:val="Cambria Math"/>
    <m:brkBin m:val="before"/>
    <m:brkBinSub m:val="--"/>
    <m:smallFrac m:val="0"/>
    <m:dispDef/>
    <m:lMargin m:val="0"/>
    <m:rMargin m:val="0"/>
    <m:defJc m:val="centerGroup"/>
    <m:wrapIndent m:val="1440"/>
    <m:intLim m:val="subSup"/>
    <m:naryLim m:val="undOvr"/>
  </m:mathPr>
  <w:themeFontLang w:val="cs-C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C9C6AF-43A3-451D-AB34-00382CD6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cs-CZ"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0080"/>
      <w:u w:val="single"/>
    </w:rPr>
  </w:style>
  <w:style w:type="paragraph" w:styleId="Textbubliny">
    <w:name w:val="Balloon Text"/>
    <w:basedOn w:val="Normln"/>
    <w:link w:val="TextbublinyChar"/>
    <w:uiPriority w:val="99"/>
    <w:semiHidden/>
    <w:unhideWhenUsed/>
    <w:rsid w:val="00976E86"/>
    <w:rPr>
      <w:rFonts w:ascii="Tahoma" w:hAnsi="Tahoma" w:cs="Tahoma"/>
      <w:sz w:val="16"/>
      <w:szCs w:val="16"/>
    </w:rPr>
  </w:style>
  <w:style w:type="character" w:customStyle="1" w:styleId="TextbublinyChar">
    <w:name w:val="Text bubliny Char"/>
    <w:basedOn w:val="Standardnpsmoodstavce"/>
    <w:link w:val="Textbubliny"/>
    <w:uiPriority w:val="99"/>
    <w:semiHidden/>
    <w:rsid w:val="00976E86"/>
    <w:rPr>
      <w:rFonts w:ascii="Tahoma" w:hAnsi="Tahoma" w:cs="Tahoma"/>
      <w:color w:val="000000"/>
      <w:sz w:val="16"/>
      <w:szCs w:val="16"/>
    </w:rPr>
  </w:style>
  <w:style w:type="paragraph" w:styleId="Odstavecseseznamem">
    <w:name w:val="List Paragraph"/>
    <w:basedOn w:val="Normln"/>
    <w:uiPriority w:val="34"/>
    <w:qFormat/>
    <w:rsid w:val="008B5E0E"/>
    <w:pPr>
      <w:ind w:left="720"/>
      <w:contextualSpacing/>
    </w:pPr>
  </w:style>
  <w:style w:type="paragraph" w:styleId="Zhlav">
    <w:name w:val="header"/>
    <w:basedOn w:val="Normln"/>
    <w:link w:val="ZhlavChar"/>
    <w:uiPriority w:val="99"/>
    <w:unhideWhenUsed/>
    <w:rsid w:val="003D1902"/>
    <w:pPr>
      <w:tabs>
        <w:tab w:val="center" w:pos="4536"/>
        <w:tab w:val="right" w:pos="9072"/>
      </w:tabs>
    </w:pPr>
  </w:style>
  <w:style w:type="character" w:customStyle="1" w:styleId="ZhlavChar">
    <w:name w:val="Záhlaví Char"/>
    <w:basedOn w:val="Standardnpsmoodstavce"/>
    <w:link w:val="Zhlav"/>
    <w:uiPriority w:val="99"/>
    <w:rsid w:val="003D1902"/>
    <w:rPr>
      <w:color w:val="000000"/>
    </w:rPr>
  </w:style>
  <w:style w:type="paragraph" w:styleId="Zpat">
    <w:name w:val="footer"/>
    <w:basedOn w:val="Normln"/>
    <w:link w:val="ZpatChar"/>
    <w:uiPriority w:val="99"/>
    <w:unhideWhenUsed/>
    <w:rsid w:val="003D1902"/>
    <w:pPr>
      <w:tabs>
        <w:tab w:val="center" w:pos="4536"/>
        <w:tab w:val="right" w:pos="9072"/>
      </w:tabs>
    </w:pPr>
  </w:style>
  <w:style w:type="character" w:customStyle="1" w:styleId="ZpatChar">
    <w:name w:val="Zápatí Char"/>
    <w:basedOn w:val="Standardnpsmoodstavce"/>
    <w:link w:val="Zpat"/>
    <w:uiPriority w:val="99"/>
    <w:rsid w:val="003D190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47223B8EF543A790F21328FFFAE351"/>
        <w:category>
          <w:name w:val="Obecné"/>
          <w:gallery w:val="placeholder"/>
        </w:category>
        <w:types>
          <w:type w:val="bbPlcHdr"/>
        </w:types>
        <w:behaviors>
          <w:behavior w:val="content"/>
        </w:behaviors>
        <w:guid w:val="{F2C5A993-1452-4D76-9431-D13A1327B3AC}"/>
      </w:docPartPr>
      <w:docPartBody>
        <w:p w:rsidR="00BA0C0C" w:rsidRDefault="008414AA" w:rsidP="008414AA">
          <w:pPr>
            <w:pStyle w:val="6747223B8EF543A790F21328FFFAE351"/>
          </w:pPr>
          <w:r w:rsidRPr="00AD42B7">
            <w:rPr>
              <w:rStyle w:val="Zstupntext"/>
            </w:rPr>
            <w:t>Klikněte sem a zadejte text.</w:t>
          </w:r>
        </w:p>
      </w:docPartBody>
    </w:docPart>
    <w:docPart>
      <w:docPartPr>
        <w:name w:val="9081E42048734E1EB5B1D4521915B09E"/>
        <w:category>
          <w:name w:val="Obecné"/>
          <w:gallery w:val="placeholder"/>
        </w:category>
        <w:types>
          <w:type w:val="bbPlcHdr"/>
        </w:types>
        <w:behaviors>
          <w:behavior w:val="content"/>
        </w:behaviors>
        <w:guid w:val="{202CFE90-A3B8-4C84-A753-A1FD765EB720}"/>
      </w:docPartPr>
      <w:docPartBody>
        <w:p w:rsidR="00BA0C0C" w:rsidRDefault="008414AA" w:rsidP="008414AA">
          <w:pPr>
            <w:pStyle w:val="9081E42048734E1EB5B1D4521915B09E"/>
          </w:pPr>
          <w:r w:rsidRPr="00AD42B7">
            <w:rPr>
              <w:rStyle w:val="Zstupntext"/>
            </w:rPr>
            <w:t>Klikněte sem a zadejte datum.</w:t>
          </w:r>
        </w:p>
      </w:docPartBody>
    </w:docPart>
    <w:docPart>
      <w:docPartPr>
        <w:name w:val="1B680A1E3D20491EAD3DC0B6AF78351B"/>
        <w:category>
          <w:name w:val="Obecné"/>
          <w:gallery w:val="placeholder"/>
        </w:category>
        <w:types>
          <w:type w:val="bbPlcHdr"/>
        </w:types>
        <w:behaviors>
          <w:behavior w:val="content"/>
        </w:behaviors>
        <w:guid w:val="{5ABC75E2-3BEC-4282-A5EC-C1ACE97AD7E7}"/>
      </w:docPartPr>
      <w:docPartBody>
        <w:p w:rsidR="00BA0C0C" w:rsidRDefault="008414AA" w:rsidP="008414AA">
          <w:pPr>
            <w:pStyle w:val="1B680A1E3D20491EAD3DC0B6AF78351B"/>
          </w:pPr>
          <w:r w:rsidRPr="00AD42B7">
            <w:rPr>
              <w:rStyle w:val="Zstupntext"/>
            </w:rPr>
            <w:t>Zvolte položku.</w:t>
          </w:r>
        </w:p>
      </w:docPartBody>
    </w:docPart>
    <w:docPart>
      <w:docPartPr>
        <w:name w:val="F1B4D614196C4A22AB2FC5B96343C37E"/>
        <w:category>
          <w:name w:val="Obecné"/>
          <w:gallery w:val="placeholder"/>
        </w:category>
        <w:types>
          <w:type w:val="bbPlcHdr"/>
        </w:types>
        <w:behaviors>
          <w:behavior w:val="content"/>
        </w:behaviors>
        <w:guid w:val="{77295A65-ECE9-42E4-BD73-A0DF95825B9A}"/>
      </w:docPartPr>
      <w:docPartBody>
        <w:p w:rsidR="00BA0C0C" w:rsidRDefault="008414AA" w:rsidP="008414AA">
          <w:pPr>
            <w:pStyle w:val="F1B4D614196C4A22AB2FC5B96343C37E"/>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AA"/>
    <w:rsid w:val="008414AA"/>
    <w:rsid w:val="00A51950"/>
    <w:rsid w:val="00BA0C0C"/>
    <w:rsid w:val="00CD6E94"/>
    <w:rsid w:val="00E56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8414AA"/>
    <w:rPr>
      <w:color w:val="808080"/>
    </w:rPr>
  </w:style>
  <w:style w:type="paragraph" w:customStyle="1" w:styleId="6747223B8EF543A790F21328FFFAE351">
    <w:name w:val="6747223B8EF543A790F21328FFFAE351"/>
    <w:rsid w:val="008414AA"/>
  </w:style>
  <w:style w:type="paragraph" w:customStyle="1" w:styleId="9081E42048734E1EB5B1D4521915B09E">
    <w:name w:val="9081E42048734E1EB5B1D4521915B09E"/>
    <w:rsid w:val="008414AA"/>
  </w:style>
  <w:style w:type="paragraph" w:customStyle="1" w:styleId="1B680A1E3D20491EAD3DC0B6AF78351B">
    <w:name w:val="1B680A1E3D20491EAD3DC0B6AF78351B"/>
    <w:rsid w:val="008414AA"/>
  </w:style>
  <w:style w:type="paragraph" w:customStyle="1" w:styleId="F1B4D614196C4A22AB2FC5B96343C37E">
    <w:name w:val="F1B4D614196C4A22AB2FC5B96343C37E"/>
    <w:rsid w:val="00841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2233</Words>
  <Characters>13180</Characters>
  <Application>Microsoft Office Word</Application>
  <DocSecurity>0</DocSecurity>
  <Lines>109</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VetMAX™ Schmallenberg Virus Kit Instructions for Use (EN)(MAN0008328 Rev.B)</vt:lpstr>
      <vt:lpstr>VetMAX™ Schmallenberg Virus Kit Instructions for Use (EN)(MAN0008328 Rev.B)</vt:lpstr>
    </vt:vector>
  </TitlesOfParts>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VetMAX™ Schmallenberg Virus Kit Instructions for Use (EN)(MAN0008328 Rev.B)</dc:title>
  <dc:subject>VetMAX™ Schmallenberg Virus Kit (SBVS50)</dc:subject>
  <dc:creator>uzivatel</dc:creator>
  <cp:lastModifiedBy>Grodová Lenka</cp:lastModifiedBy>
  <cp:revision>5</cp:revision>
  <dcterms:created xsi:type="dcterms:W3CDTF">2025-01-06T13:46:00Z</dcterms:created>
  <dcterms:modified xsi:type="dcterms:W3CDTF">2025-01-10T11:50:00Z</dcterms:modified>
</cp:coreProperties>
</file>